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CFBF5">
      <w:pPr>
        <w:pageBreakBefore w:val="0"/>
        <w:widowControl w:val="0"/>
        <w:kinsoku/>
        <w:wordWrap/>
        <w:overflowPunct/>
        <w:topLinePunct w:val="0"/>
        <w:bidi w:val="0"/>
        <w:adjustRightInd w:val="0"/>
        <w:snapToGrid/>
        <w:ind w:left="0" w:leftChars="0" w:right="0" w:firstLine="0" w:firstLineChars="0"/>
        <w:jc w:val="center"/>
        <w:textAlignment w:val="auto"/>
      </w:pPr>
      <w:r>
        <w:rPr>
          <w:rFonts w:hint="eastAsia" w:ascii="Arial" w:hAnsi="Arial" w:eastAsia="黑体" w:cs="Arial"/>
          <w:sz w:val="36"/>
          <w:szCs w:val="36"/>
          <w:lang w:val="en-US" w:eastAsia="zh-CN"/>
        </w:rPr>
        <w:t>特殊气体全自动气柜系统比选公告说明</w:t>
      </w:r>
    </w:p>
    <w:p w14:paraId="29300FB9">
      <w:pPr>
        <w:pStyle w:val="3"/>
        <w:numPr>
          <w:ilvl w:val="0"/>
          <w:numId w:val="2"/>
        </w:numPr>
        <w:bidi w:val="0"/>
        <w:ind w:left="0" w:leftChars="0" w:firstLine="0" w:firstLineChars="0"/>
        <w:rPr>
          <w:rFonts w:hint="default" w:ascii="Times New Roman" w:hAnsi="Times New Roman"/>
          <w:lang w:val="en-US" w:eastAsia="zh-CN"/>
        </w:rPr>
      </w:pPr>
      <w:bookmarkStart w:id="0" w:name="_Toc136463835"/>
      <w:r>
        <w:rPr>
          <w:rFonts w:hint="eastAsia" w:ascii="Times New Roman" w:hAnsi="Times New Roman"/>
          <w:lang w:val="en-US" w:eastAsia="zh-CN"/>
        </w:rPr>
        <w:t>供应商资质要求</w:t>
      </w:r>
    </w:p>
    <w:p w14:paraId="43A5BB34">
      <w:pPr>
        <w:numPr>
          <w:ilvl w:val="0"/>
          <w:numId w:val="3"/>
        </w:numPr>
        <w:bidi w:val="0"/>
        <w:ind w:left="0" w:leftChars="0" w:firstLine="403" w:firstLineChars="0"/>
        <w:rPr>
          <w:rFonts w:hint="eastAsia"/>
          <w:lang w:val="en-US" w:eastAsia="zh-CN"/>
        </w:rPr>
      </w:pPr>
      <w:r>
        <w:rPr>
          <w:rFonts w:hint="eastAsia"/>
          <w:lang w:val="en-US" w:eastAsia="zh-CN"/>
        </w:rPr>
        <w:t>营业执照包含“特气供气系统”的业务范围（需提供营业执照）；</w:t>
      </w:r>
    </w:p>
    <w:p w14:paraId="049D0CC9">
      <w:pPr>
        <w:numPr>
          <w:ilvl w:val="0"/>
          <w:numId w:val="3"/>
        </w:numPr>
        <w:bidi w:val="0"/>
        <w:ind w:left="0" w:leftChars="0" w:firstLine="403" w:firstLineChars="0"/>
        <w:rPr>
          <w:rFonts w:hint="eastAsia"/>
          <w:lang w:val="en-US" w:eastAsia="zh-CN"/>
        </w:rPr>
      </w:pPr>
      <w:r>
        <w:rPr>
          <w:rFonts w:hint="eastAsia"/>
          <w:lang w:val="en-US" w:eastAsia="zh-CN"/>
        </w:rPr>
        <w:t>公司注册资金500万以上，公司成立10年以上，公司参保人员10人以上（参保证明）；</w:t>
      </w:r>
    </w:p>
    <w:p w14:paraId="1B901B61">
      <w:pPr>
        <w:numPr>
          <w:ilvl w:val="0"/>
          <w:numId w:val="3"/>
        </w:numPr>
        <w:bidi w:val="0"/>
        <w:ind w:left="0" w:leftChars="0" w:firstLine="403" w:firstLineChars="0"/>
        <w:rPr>
          <w:rFonts w:hint="eastAsia"/>
          <w:lang w:val="en-US" w:eastAsia="zh-CN"/>
        </w:rPr>
      </w:pPr>
      <w:r>
        <w:rPr>
          <w:rFonts w:hint="eastAsia"/>
          <w:lang w:val="en-US" w:eastAsia="zh-CN"/>
        </w:rPr>
        <w:t>业绩要求：具有</w:t>
      </w:r>
      <w:r>
        <w:rPr>
          <w:rFonts w:hint="eastAsia"/>
          <w:vertAlign w:val="baseline"/>
          <w:lang w:val="en-US" w:eastAsia="zh-CN"/>
        </w:rPr>
        <w:t>特气柜业绩（给出业绩证明，优先</w:t>
      </w:r>
      <w:r>
        <w:rPr>
          <w:rFonts w:hint="eastAsia"/>
          <w:lang w:val="en-US" w:eastAsia="zh-CN"/>
        </w:rPr>
        <w:t>氢气H</w:t>
      </w:r>
      <w:r>
        <w:rPr>
          <w:rFonts w:hint="eastAsia"/>
          <w:vertAlign w:val="subscript"/>
          <w:lang w:val="en-US" w:eastAsia="zh-CN"/>
        </w:rPr>
        <w:t>2</w:t>
      </w:r>
      <w:r>
        <w:rPr>
          <w:rFonts w:hint="eastAsia"/>
          <w:lang w:val="en-US" w:eastAsia="zh-CN"/>
        </w:rPr>
        <w:t>、氨气NH</w:t>
      </w:r>
      <w:r>
        <w:rPr>
          <w:rFonts w:hint="eastAsia"/>
          <w:vertAlign w:val="subscript"/>
          <w:lang w:val="en-US" w:eastAsia="zh-CN"/>
        </w:rPr>
        <w:t>3</w:t>
      </w:r>
      <w:r>
        <w:rPr>
          <w:rFonts w:hint="eastAsia"/>
          <w:vertAlign w:val="baseline"/>
          <w:lang w:val="en-US" w:eastAsia="zh-CN"/>
        </w:rPr>
        <w:t>）；</w:t>
      </w:r>
    </w:p>
    <w:p w14:paraId="7D33BF0E">
      <w:pPr>
        <w:numPr>
          <w:ilvl w:val="0"/>
          <w:numId w:val="3"/>
        </w:numPr>
        <w:bidi w:val="0"/>
        <w:ind w:left="0" w:leftChars="0" w:firstLine="403" w:firstLineChars="0"/>
        <w:rPr>
          <w:rFonts w:hint="default"/>
          <w:lang w:val="en-US" w:eastAsia="zh-CN"/>
        </w:rPr>
      </w:pPr>
      <w:r>
        <w:rPr>
          <w:rFonts w:hint="eastAsia"/>
          <w:lang w:val="en-US" w:eastAsia="zh-CN"/>
        </w:rPr>
        <w:t>具有特种设备生产许可证GC2证书。</w:t>
      </w:r>
    </w:p>
    <w:p w14:paraId="6CF1EC05">
      <w:pPr>
        <w:pStyle w:val="3"/>
        <w:numPr>
          <w:ilvl w:val="0"/>
          <w:numId w:val="2"/>
        </w:numPr>
        <w:bidi w:val="0"/>
        <w:ind w:left="0" w:leftChars="0" w:firstLine="0" w:firstLineChars="0"/>
      </w:pPr>
      <w:r>
        <w:t>总则</w:t>
      </w:r>
      <w:bookmarkEnd w:id="0"/>
    </w:p>
    <w:p w14:paraId="29F488C1">
      <w:pPr>
        <w:numPr>
          <w:ilvl w:val="0"/>
          <w:numId w:val="4"/>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本招标书规定了 H2与NH3气体供应系统 供货的最低要求，包括设计、制造、检验、验收、运输、卸货、安装、调试、培训和售后服务。</w:t>
      </w:r>
    </w:p>
    <w:p w14:paraId="650491FA">
      <w:pPr>
        <w:numPr>
          <w:ilvl w:val="0"/>
          <w:numId w:val="4"/>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设备的设计、制造、检验、验收和</w:t>
      </w:r>
      <w:r>
        <w:rPr>
          <w:rFonts w:hint="eastAsia"/>
          <w:lang w:val="en-US" w:eastAsia="zh-CN"/>
        </w:rPr>
        <w:t>安装</w:t>
      </w:r>
      <w:r>
        <w:rPr>
          <w:rFonts w:hint="eastAsia" w:ascii="Times New Roman" w:hAnsi="Times New Roman"/>
          <w:lang w:val="en-US" w:eastAsia="zh-CN"/>
        </w:rPr>
        <w:t>应完全符合本技术文件，若卖方对本技术文件指定内容有偏离或替代，应</w:t>
      </w:r>
      <w:r>
        <w:rPr>
          <w:rFonts w:hint="eastAsia"/>
          <w:lang w:val="en-US" w:eastAsia="zh-CN"/>
        </w:rPr>
        <w:t>在投标文件中清楚地标明</w:t>
      </w:r>
      <w:r>
        <w:rPr>
          <w:rFonts w:hint="eastAsia" w:ascii="Times New Roman" w:hAnsi="Times New Roman"/>
          <w:lang w:val="en-US" w:eastAsia="zh-CN"/>
        </w:rPr>
        <w:t>。如果没有，将认为投标文件与招标书完全一致</w:t>
      </w:r>
      <w:r>
        <w:rPr>
          <w:rFonts w:hint="eastAsia"/>
          <w:lang w:val="en-US" w:eastAsia="zh-CN"/>
        </w:rPr>
        <w:t>，</w:t>
      </w:r>
      <w:r>
        <w:rPr>
          <w:rFonts w:hint="eastAsia" w:ascii="Times New Roman" w:hAnsi="Times New Roman"/>
          <w:lang w:val="en-US" w:eastAsia="zh-CN"/>
        </w:rPr>
        <w:t>两者有矛盾时，卖方有责任迅速</w:t>
      </w:r>
      <w:r>
        <w:rPr>
          <w:rFonts w:hint="eastAsia"/>
          <w:lang w:val="en-US" w:eastAsia="zh-CN"/>
        </w:rPr>
        <w:t>以书面形式向</w:t>
      </w:r>
      <w:r>
        <w:rPr>
          <w:rFonts w:hint="eastAsia" w:ascii="Times New Roman" w:hAnsi="Times New Roman"/>
          <w:lang w:val="en-US" w:eastAsia="zh-CN"/>
        </w:rPr>
        <w:t>买方和业主</w:t>
      </w:r>
      <w:r>
        <w:rPr>
          <w:rFonts w:hint="eastAsia"/>
          <w:lang w:val="en-US" w:eastAsia="zh-CN"/>
        </w:rPr>
        <w:t>方</w:t>
      </w:r>
      <w:r>
        <w:rPr>
          <w:rFonts w:hint="eastAsia" w:ascii="Times New Roman" w:hAnsi="Times New Roman"/>
          <w:lang w:val="en-US" w:eastAsia="zh-CN"/>
        </w:rPr>
        <w:t>提请注意并加以澄清</w:t>
      </w:r>
      <w:r>
        <w:rPr>
          <w:rFonts w:hint="eastAsia"/>
          <w:lang w:val="en-US" w:eastAsia="zh-CN"/>
        </w:rPr>
        <w:t>或</w:t>
      </w:r>
      <w:r>
        <w:rPr>
          <w:rFonts w:hint="eastAsia" w:ascii="Times New Roman" w:hAnsi="Times New Roman"/>
          <w:lang w:val="en-US" w:eastAsia="zh-CN"/>
        </w:rPr>
        <w:t>解决；当标准、规范、设计文件在同一问题的规定不一致时，应按</w:t>
      </w:r>
      <w:r>
        <w:rPr>
          <w:rFonts w:hint="eastAsia"/>
          <w:lang w:val="en-US" w:eastAsia="zh-CN"/>
        </w:rPr>
        <w:t>更严格的规定</w:t>
      </w:r>
      <w:r>
        <w:rPr>
          <w:rFonts w:hint="eastAsia" w:ascii="Times New Roman" w:hAnsi="Times New Roman"/>
          <w:lang w:val="en-US" w:eastAsia="zh-CN"/>
        </w:rPr>
        <w:t>执行。</w:t>
      </w:r>
    </w:p>
    <w:p w14:paraId="06D69220">
      <w:pPr>
        <w:numPr>
          <w:ilvl w:val="0"/>
          <w:numId w:val="4"/>
        </w:numPr>
        <w:bidi w:val="0"/>
        <w:ind w:left="0" w:leftChars="0" w:firstLine="403" w:firstLineChars="0"/>
        <w:rPr>
          <w:rFonts w:hint="default" w:ascii="Times New Roman" w:hAnsi="Times New Roman"/>
          <w:lang w:val="en-US" w:eastAsia="zh-CN"/>
        </w:rPr>
      </w:pPr>
      <w:r>
        <w:rPr>
          <w:rFonts w:hint="eastAsia" w:ascii="Times New Roman" w:hAnsi="Times New Roman"/>
          <w:lang w:val="en-US" w:eastAsia="zh-CN"/>
        </w:rPr>
        <w:t>设备的设计、制造过程接受买方的监检；如卖方有分包厂商或供应商，应报告给买方和业主，并需得到买方或业主书面同意。</w:t>
      </w:r>
    </w:p>
    <w:p w14:paraId="7C6893ED">
      <w:pPr>
        <w:pStyle w:val="3"/>
        <w:numPr>
          <w:ilvl w:val="0"/>
          <w:numId w:val="2"/>
        </w:numPr>
        <w:bidi w:val="0"/>
        <w:ind w:left="0" w:leftChars="0" w:firstLine="0" w:firstLineChars="0"/>
        <w:rPr>
          <w:rFonts w:hint="eastAsia" w:ascii="Times New Roman" w:hAnsi="Times New Roman"/>
          <w:lang w:val="en-US" w:eastAsia="zh-CN"/>
        </w:rPr>
      </w:pPr>
      <w:bookmarkStart w:id="1" w:name="_Toc136463836"/>
      <w:r>
        <w:rPr>
          <w:rFonts w:hint="eastAsia" w:ascii="Times New Roman" w:hAnsi="Times New Roman"/>
          <w:lang w:val="en-US" w:eastAsia="zh-CN"/>
        </w:rPr>
        <w:t>供货范围</w:t>
      </w:r>
      <w:bookmarkEnd w:id="1"/>
    </w:p>
    <w:p w14:paraId="70A04860">
      <w:pPr>
        <w:pStyle w:val="5"/>
        <w:pageBreakBefore w:val="0"/>
        <w:widowControl w:val="0"/>
        <w:kinsoku/>
        <w:wordWrap/>
        <w:overflowPunct/>
        <w:topLinePunct w:val="0"/>
        <w:bidi w:val="0"/>
        <w:adjustRightInd w:val="0"/>
        <w:snapToGrid/>
        <w:spacing w:after="0" w:line="360" w:lineRule="auto"/>
        <w:ind w:left="0" w:right="0" w:firstLine="480" w:firstLineChars="200"/>
        <w:textAlignment w:val="auto"/>
        <w:rPr>
          <w:rFonts w:ascii="Arial" w:hAnsi="Arial" w:cs="Arial"/>
          <w:sz w:val="24"/>
          <w:highlight w:val="yellow"/>
        </w:rPr>
      </w:pPr>
      <w:r>
        <w:rPr>
          <w:rFonts w:ascii="Arial" w:hAnsi="Arial" w:cs="Arial"/>
          <w:sz w:val="24"/>
        </w:rPr>
        <w:t>供货方应按照本招标书要求设计并提供成套设备。</w:t>
      </w:r>
      <w:r>
        <w:rPr>
          <w:rFonts w:hint="eastAsia" w:ascii="黑体" w:hAnsi="黑体" w:eastAsia="黑体" w:cs="黑体"/>
          <w:b/>
          <w:bCs/>
          <w:color w:val="FF0000"/>
          <w:sz w:val="24"/>
          <w:szCs w:val="22"/>
        </w:rPr>
        <w:t>供货方的供货范围应</w:t>
      </w:r>
      <w:r>
        <w:rPr>
          <w:rFonts w:hint="eastAsia" w:ascii="黑体" w:hAnsi="黑体" w:eastAsia="黑体" w:cs="黑体"/>
          <w:b/>
          <w:bCs/>
          <w:color w:val="FF0000"/>
          <w:sz w:val="24"/>
          <w:szCs w:val="22"/>
          <w:lang w:eastAsia="zh-CN"/>
        </w:rPr>
        <w:t>包括</w:t>
      </w:r>
      <w:r>
        <w:rPr>
          <w:rFonts w:hint="eastAsia" w:ascii="黑体" w:hAnsi="黑体" w:eastAsia="黑体" w:cs="黑体"/>
          <w:b/>
          <w:bCs/>
          <w:color w:val="FF0000"/>
          <w:sz w:val="24"/>
          <w:szCs w:val="22"/>
        </w:rPr>
        <w:t>保证</w:t>
      </w:r>
      <w:r>
        <w:rPr>
          <w:rFonts w:hint="eastAsia" w:ascii="黑体" w:hAnsi="黑体" w:eastAsia="黑体" w:cs="黑体"/>
          <w:b/>
          <w:bCs/>
          <w:color w:val="FF0000"/>
          <w:sz w:val="24"/>
          <w:szCs w:val="22"/>
          <w:lang w:val="en-US" w:eastAsia="zh-CN"/>
        </w:rPr>
        <w:t>H2与NH3特气柜气体供应系统安全、稳定、全自动化</w:t>
      </w:r>
      <w:r>
        <w:rPr>
          <w:rFonts w:hint="eastAsia" w:ascii="黑体" w:hAnsi="黑体" w:eastAsia="黑体" w:cs="黑体"/>
          <w:b/>
          <w:bCs/>
          <w:color w:val="FF0000"/>
          <w:sz w:val="24"/>
          <w:szCs w:val="22"/>
        </w:rPr>
        <w:t>运行</w:t>
      </w:r>
      <w:r>
        <w:rPr>
          <w:rFonts w:hint="eastAsia" w:ascii="黑体" w:hAnsi="黑体" w:eastAsia="黑体" w:cs="黑体"/>
          <w:b/>
          <w:bCs/>
          <w:color w:val="FF0000"/>
          <w:sz w:val="24"/>
          <w:szCs w:val="22"/>
          <w:lang w:val="en-US" w:eastAsia="zh-CN"/>
        </w:rPr>
        <w:t>供气</w:t>
      </w:r>
      <w:r>
        <w:rPr>
          <w:rFonts w:hint="eastAsia" w:ascii="黑体" w:hAnsi="黑体" w:eastAsia="黑体" w:cs="黑体"/>
          <w:b/>
          <w:bCs/>
          <w:color w:val="FF0000"/>
          <w:sz w:val="24"/>
          <w:szCs w:val="22"/>
        </w:rPr>
        <w:t>所需的全部设计、工程、预制、检验、测试等项目。</w:t>
      </w:r>
      <w:r>
        <w:rPr>
          <w:rFonts w:ascii="Arial" w:hAnsi="Arial" w:cs="Arial"/>
          <w:sz w:val="24"/>
        </w:rPr>
        <w:t>供货方的供货范围应包括但不限于以下内容：</w:t>
      </w:r>
    </w:p>
    <w:p w14:paraId="585394FA">
      <w:pPr>
        <w:numPr>
          <w:ilvl w:val="0"/>
          <w:numId w:val="5"/>
        </w:numPr>
        <w:bidi w:val="0"/>
        <w:ind w:left="0" w:leftChars="0" w:firstLine="403" w:firstLineChars="0"/>
        <w:rPr>
          <w:rFonts w:hint="eastAsia" w:ascii="Times New Roman" w:hAnsi="Times New Roman"/>
          <w:b/>
          <w:bCs/>
          <w:color w:val="FF0000"/>
          <w:lang w:val="en-US" w:eastAsia="zh-CN"/>
        </w:rPr>
      </w:pPr>
      <w:r>
        <w:rPr>
          <w:rFonts w:hint="eastAsia" w:ascii="Times New Roman" w:hAnsi="Times New Roman"/>
          <w:b/>
          <w:bCs/>
          <w:color w:val="FF0000"/>
          <w:lang w:val="en-US" w:eastAsia="zh-CN"/>
        </w:rPr>
        <w:t>一套全自动H2</w:t>
      </w:r>
      <w:r>
        <w:rPr>
          <w:rFonts w:hint="eastAsia"/>
          <w:b/>
          <w:bCs/>
          <w:color w:val="FF0000"/>
          <w:lang w:val="en-US" w:eastAsia="zh-CN"/>
        </w:rPr>
        <w:t>特气柜</w:t>
      </w:r>
      <w:r>
        <w:rPr>
          <w:rFonts w:hint="eastAsia" w:ascii="Times New Roman" w:hAnsi="Times New Roman"/>
          <w:b/>
          <w:bCs/>
          <w:color w:val="FF0000"/>
          <w:lang w:val="en-US" w:eastAsia="zh-CN"/>
        </w:rPr>
        <w:t>供应系统和一套全自动NH3特气柜供应系统；</w:t>
      </w:r>
    </w:p>
    <w:p w14:paraId="3ACFDBCF">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H2与NH3气体供应系统应包含的设备、管道、管件、电气和仪表、辅件、特气柜钢架平台及其他必要的辅助设施及设备；</w:t>
      </w:r>
    </w:p>
    <w:p w14:paraId="50AAE645">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装置内的连接管道、管件、辅件和必须附有的仪表及阀门；</w:t>
      </w:r>
    </w:p>
    <w:p w14:paraId="38B721FD">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各路管线进、出装置区所必须的配对法兰、螺栓、螺母及垫片；</w:t>
      </w:r>
    </w:p>
    <w:p w14:paraId="4196841F">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设备安装所必须的地脚螺栓及螺母等；</w:t>
      </w:r>
    </w:p>
    <w:p w14:paraId="5901CAC4">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电气仪表箱及相应的接线工作；</w:t>
      </w:r>
    </w:p>
    <w:p w14:paraId="243124A3">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安装和开车备件；</w:t>
      </w:r>
    </w:p>
    <w:p w14:paraId="16A66869">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安装和维修用专用工具；</w:t>
      </w:r>
    </w:p>
    <w:p w14:paraId="37998D22">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操作及维修的相关技术文件：设备安装手册，维修手册等；</w:t>
      </w:r>
    </w:p>
    <w:p w14:paraId="25A9EA75">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免费配备的备品备件；</w:t>
      </w:r>
    </w:p>
    <w:p w14:paraId="5A99165A">
      <w:pPr>
        <w:numPr>
          <w:ilvl w:val="0"/>
          <w:numId w:val="5"/>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运输及安装、人员培训及调试等。</w:t>
      </w:r>
    </w:p>
    <w:p w14:paraId="5605362E">
      <w:pPr>
        <w:pStyle w:val="3"/>
        <w:numPr>
          <w:ilvl w:val="0"/>
          <w:numId w:val="2"/>
        </w:numPr>
        <w:bidi w:val="0"/>
        <w:ind w:left="0" w:leftChars="0" w:firstLine="0" w:firstLineChars="0"/>
        <w:rPr>
          <w:rFonts w:hint="eastAsia" w:ascii="Times New Roman" w:hAnsi="Times New Roman"/>
          <w:lang w:val="en-US" w:eastAsia="zh-CN"/>
        </w:rPr>
      </w:pPr>
      <w:r>
        <w:rPr>
          <w:rFonts w:hint="eastAsia" w:ascii="Times New Roman" w:hAnsi="Times New Roman"/>
          <w:lang w:val="en-US" w:eastAsia="zh-CN"/>
        </w:rPr>
        <w:t>接口范围情况</w:t>
      </w:r>
    </w:p>
    <w:p w14:paraId="29437123">
      <w:pPr>
        <w:bidi w:val="0"/>
        <w:rPr>
          <w:rFonts w:hint="default"/>
          <w:lang w:val="en-US" w:eastAsia="zh-CN"/>
        </w:rPr>
      </w:pPr>
      <w:r>
        <w:rPr>
          <w:rFonts w:hint="eastAsia"/>
          <w:b/>
          <w:bCs/>
          <w:color w:val="FF0000"/>
          <w:lang w:val="en-US" w:eastAsia="zh-CN"/>
        </w:rPr>
        <w:t>我方现有气体供应系统与排风系统，见附件图片所示，厂家根据现场情况，将特气柜输出的气体（H2与NH3）接入现有供气管路，将特气柜排风接入现有排风系统，特气柜废气的接口位置需要现场商定。请厂家预留这部分管道及安装费用，确保整体特气系统稳定安全运行。</w:t>
      </w:r>
    </w:p>
    <w:p w14:paraId="56B41F03">
      <w:pPr>
        <w:bidi w:val="0"/>
        <w:rPr>
          <w:rFonts w:hint="default"/>
          <w:b/>
          <w:bCs/>
          <w:color w:val="FF0000"/>
          <w:lang w:val="en-US" w:eastAsia="zh-CN"/>
        </w:rPr>
      </w:pPr>
      <w:r>
        <w:rPr>
          <w:rFonts w:hint="eastAsia"/>
          <w:b/>
          <w:bCs/>
          <w:color w:val="FF0000"/>
          <w:lang w:val="en-US" w:eastAsia="zh-CN"/>
        </w:rPr>
        <w:t>另外，甲方准备后期集成自动化流程，特气柜需确保可以引出</w:t>
      </w:r>
      <w:r>
        <w:rPr>
          <w:rFonts w:hint="eastAsia" w:ascii="Times New Roman" w:hAnsi="Times New Roman" w:cs="Times New Roman"/>
          <w:b/>
          <w:bCs/>
          <w:color w:val="FF0000"/>
          <w:lang w:val="en-US" w:eastAsia="zh-CN"/>
        </w:rPr>
        <w:t>需远程控制和采集的主要信号如下：1、气瓶压力；2、气瓶阀门的开关；3、气瓶柜泄漏报警信号；信号形式：4</w:t>
      </w:r>
      <w:r>
        <w:rPr>
          <w:rFonts w:hint="eastAsia" w:cs="Times New Roman"/>
          <w:b/>
          <w:bCs/>
          <w:color w:val="FF0000"/>
          <w:lang w:val="en-US" w:eastAsia="zh-CN"/>
        </w:rPr>
        <w:t>-</w:t>
      </w:r>
      <w:r>
        <w:rPr>
          <w:rFonts w:hint="eastAsia" w:ascii="Times New Roman" w:hAnsi="Times New Roman" w:cs="Times New Roman"/>
          <w:b/>
          <w:bCs/>
          <w:color w:val="FF0000"/>
          <w:lang w:val="en-US" w:eastAsia="zh-CN"/>
        </w:rPr>
        <w:t>20mA/RS485 MODBUS-RTU</w:t>
      </w:r>
    </w:p>
    <w:p w14:paraId="6EED4597">
      <w:pPr>
        <w:pStyle w:val="3"/>
        <w:numPr>
          <w:ilvl w:val="0"/>
          <w:numId w:val="2"/>
        </w:numPr>
        <w:bidi w:val="0"/>
        <w:ind w:left="0" w:leftChars="0" w:firstLine="0" w:firstLineChars="0"/>
        <w:rPr>
          <w:rFonts w:hint="default" w:ascii="Times New Roman" w:hAnsi="Times New Roman"/>
          <w:lang w:val="en-US" w:eastAsia="zh-CN"/>
        </w:rPr>
      </w:pPr>
      <w:r>
        <w:rPr>
          <w:rFonts w:hint="eastAsia" w:ascii="Times New Roman" w:hAnsi="Times New Roman"/>
          <w:lang w:val="en-US" w:eastAsia="zh-CN"/>
        </w:rPr>
        <w:t>特气柜气体供应系统性能要求</w:t>
      </w:r>
    </w:p>
    <w:p w14:paraId="18610513">
      <w:pPr>
        <w:numPr>
          <w:ilvl w:val="0"/>
          <w:numId w:val="6"/>
        </w:numPr>
        <w:bidi w:val="0"/>
        <w:ind w:left="0" w:leftChars="0" w:firstLine="403" w:firstLineChars="0"/>
        <w:rPr>
          <w:rFonts w:hint="default" w:ascii="Times New Roman" w:hAnsi="Times New Roman"/>
          <w:lang w:val="en-US" w:eastAsia="zh-CN"/>
        </w:rPr>
      </w:pPr>
      <w:r>
        <w:rPr>
          <w:rFonts w:hint="eastAsia" w:ascii="Times New Roman" w:hAnsi="Times New Roman"/>
          <w:lang w:val="en-US" w:eastAsia="zh-CN"/>
        </w:rPr>
        <w:t>2套特气柜气体供应系统：H2气体</w:t>
      </w:r>
      <w:r>
        <w:rPr>
          <w:rFonts w:hint="default" w:ascii="Times New Roman" w:hAnsi="Times New Roman"/>
          <w:lang w:val="en-US" w:eastAsia="zh-CN"/>
        </w:rPr>
        <w:t>全自动供应</w:t>
      </w:r>
      <w:r>
        <w:rPr>
          <w:rFonts w:hint="eastAsia" w:ascii="Times New Roman" w:hAnsi="Times New Roman"/>
          <w:lang w:val="en-US" w:eastAsia="zh-CN"/>
        </w:rPr>
        <w:t>特气柜系统1台套，氨气NH3</w:t>
      </w:r>
      <w:r>
        <w:rPr>
          <w:rFonts w:hint="default" w:ascii="Times New Roman" w:hAnsi="Times New Roman"/>
          <w:lang w:val="en-US" w:eastAsia="zh-CN"/>
        </w:rPr>
        <w:t>全自动供应</w:t>
      </w:r>
      <w:r>
        <w:rPr>
          <w:rFonts w:hint="eastAsia" w:ascii="Times New Roman" w:hAnsi="Times New Roman"/>
          <w:lang w:val="en-US" w:eastAsia="zh-CN"/>
        </w:rPr>
        <w:t>特气柜系统1台套</w:t>
      </w:r>
      <w:r>
        <w:rPr>
          <w:rFonts w:hint="eastAsia"/>
          <w:lang w:val="en-US" w:eastAsia="zh-CN"/>
        </w:rPr>
        <w:t>，含双瓶气瓶架（保压/吹扫/抽真空/驱动气用辅助气架）以及达到供气所需</w:t>
      </w:r>
      <w:bookmarkStart w:id="4" w:name="_GoBack"/>
      <w:bookmarkEnd w:id="4"/>
      <w:r>
        <w:rPr>
          <w:rFonts w:hint="eastAsia"/>
          <w:lang w:val="en-US" w:eastAsia="zh-CN"/>
        </w:rPr>
        <w:t>的所有辅机及配件，系统安装完成可直接运行。</w:t>
      </w:r>
    </w:p>
    <w:p w14:paraId="0A0ABC58">
      <w:pPr>
        <w:numPr>
          <w:ilvl w:val="0"/>
          <w:numId w:val="6"/>
        </w:numPr>
        <w:bidi w:val="0"/>
        <w:ind w:left="0" w:leftChars="0" w:firstLine="403" w:firstLineChars="0"/>
        <w:rPr>
          <w:rFonts w:hint="default" w:ascii="Times New Roman" w:hAnsi="Times New Roman"/>
          <w:lang w:val="en-US" w:eastAsia="zh-CN"/>
        </w:rPr>
      </w:pPr>
      <w:r>
        <w:rPr>
          <w:rFonts w:hint="eastAsia" w:ascii="Times New Roman" w:hAnsi="Times New Roman"/>
          <w:lang w:val="en-US" w:eastAsia="zh-CN"/>
        </w:rPr>
        <w:t>气体</w:t>
      </w:r>
      <w:r>
        <w:rPr>
          <w:rFonts w:hint="default" w:ascii="Times New Roman" w:hAnsi="Times New Roman"/>
          <w:lang w:val="en-US" w:eastAsia="zh-CN"/>
        </w:rPr>
        <w:t>介质</w:t>
      </w:r>
      <w:r>
        <w:rPr>
          <w:rFonts w:hint="eastAsia" w:ascii="Times New Roman" w:hAnsi="Times New Roman"/>
          <w:lang w:val="en-US" w:eastAsia="zh-CN"/>
        </w:rPr>
        <w:t>：</w:t>
      </w:r>
      <w:r>
        <w:rPr>
          <w:rFonts w:hint="default" w:ascii="Times New Roman" w:hAnsi="Times New Roman"/>
          <w:lang w:val="en-US" w:eastAsia="zh-CN"/>
        </w:rPr>
        <w:t>氢气H2，</w:t>
      </w:r>
      <w:r>
        <w:rPr>
          <w:rFonts w:hint="eastAsia" w:ascii="Times New Roman" w:hAnsi="Times New Roman"/>
          <w:lang w:val="en-US" w:eastAsia="zh-CN"/>
        </w:rPr>
        <w:t>主要用于开展燃烧实验</w:t>
      </w:r>
      <w:r>
        <w:rPr>
          <w:rFonts w:hint="eastAsia"/>
          <w:lang w:val="en-US" w:eastAsia="zh-CN"/>
        </w:rPr>
        <w:t>，工艺要求一般为</w:t>
      </w:r>
      <w:r>
        <w:rPr>
          <w:rFonts w:hint="eastAsia" w:ascii="Times New Roman" w:hAnsi="Times New Roman"/>
          <w:lang w:val="en-US" w:eastAsia="zh-CN"/>
        </w:rPr>
        <w:t>纯</w:t>
      </w:r>
      <w:r>
        <w:rPr>
          <w:rFonts w:hint="eastAsia"/>
          <w:lang w:val="en-US" w:eastAsia="zh-CN"/>
        </w:rPr>
        <w:t>氢</w:t>
      </w:r>
      <w:r>
        <w:rPr>
          <w:rFonts w:hint="default" w:ascii="Times New Roman" w:hAnsi="Times New Roman"/>
          <w:lang w:val="en-US" w:eastAsia="zh-CN"/>
        </w:rPr>
        <w:t>99.9</w:t>
      </w:r>
      <w:r>
        <w:rPr>
          <w:rFonts w:hint="eastAsia"/>
          <w:lang w:val="en-US" w:eastAsia="zh-CN"/>
        </w:rPr>
        <w:t>9%</w:t>
      </w:r>
      <w:r>
        <w:rPr>
          <w:rFonts w:hint="eastAsia" w:ascii="Times New Roman" w:hAnsi="Times New Roman"/>
          <w:lang w:val="en-US" w:eastAsia="zh-CN"/>
        </w:rPr>
        <w:t>，</w:t>
      </w:r>
      <w:r>
        <w:rPr>
          <w:rFonts w:hint="eastAsia"/>
          <w:lang w:val="en-US" w:eastAsia="zh-CN"/>
        </w:rPr>
        <w:t>无强制要求为</w:t>
      </w:r>
      <w:r>
        <w:rPr>
          <w:rFonts w:hint="eastAsia" w:ascii="Times New Roman" w:hAnsi="Times New Roman"/>
          <w:lang w:val="en-US" w:eastAsia="zh-CN"/>
        </w:rPr>
        <w:t>高纯</w:t>
      </w:r>
      <w:r>
        <w:rPr>
          <w:rFonts w:hint="eastAsia"/>
          <w:lang w:val="en-US" w:eastAsia="zh-CN"/>
        </w:rPr>
        <w:t>气体；</w:t>
      </w:r>
      <w:r>
        <w:rPr>
          <w:rFonts w:hint="eastAsia" w:ascii="Times New Roman" w:hAnsi="Times New Roman"/>
          <w:lang w:val="en-US" w:eastAsia="zh-CN"/>
        </w:rPr>
        <w:t>氨气NH3，主要用于开展燃烧实验，</w:t>
      </w:r>
      <w:r>
        <w:rPr>
          <w:rFonts w:hint="eastAsia"/>
          <w:lang w:val="en-US" w:eastAsia="zh-CN"/>
        </w:rPr>
        <w:t>工艺要求一般为</w:t>
      </w:r>
      <w:r>
        <w:rPr>
          <w:rFonts w:hint="eastAsia" w:ascii="Times New Roman" w:hAnsi="Times New Roman"/>
          <w:lang w:val="en-US" w:eastAsia="zh-CN"/>
        </w:rPr>
        <w:t>纯</w:t>
      </w:r>
      <w:r>
        <w:rPr>
          <w:rFonts w:hint="eastAsia"/>
          <w:lang w:val="en-US" w:eastAsia="zh-CN"/>
        </w:rPr>
        <w:t>氨</w:t>
      </w:r>
      <w:r>
        <w:rPr>
          <w:rFonts w:hint="default" w:ascii="Times New Roman" w:hAnsi="Times New Roman"/>
          <w:lang w:val="en-US" w:eastAsia="zh-CN"/>
        </w:rPr>
        <w:t>99.9</w:t>
      </w:r>
      <w:r>
        <w:rPr>
          <w:rFonts w:hint="eastAsia"/>
          <w:lang w:val="en-US" w:eastAsia="zh-CN"/>
        </w:rPr>
        <w:t>9%，不强制要求</w:t>
      </w:r>
      <w:r>
        <w:rPr>
          <w:rFonts w:hint="eastAsia" w:ascii="Times New Roman" w:hAnsi="Times New Roman"/>
          <w:lang w:val="en-US" w:eastAsia="zh-CN"/>
        </w:rPr>
        <w:t>高纯</w:t>
      </w:r>
      <w:r>
        <w:rPr>
          <w:rFonts w:hint="eastAsia"/>
          <w:lang w:val="en-US" w:eastAsia="zh-CN"/>
        </w:rPr>
        <w:t>气体</w:t>
      </w:r>
      <w:r>
        <w:rPr>
          <w:rFonts w:hint="eastAsia" w:ascii="Times New Roman" w:hAnsi="Times New Roman"/>
          <w:lang w:val="en-US" w:eastAsia="zh-CN"/>
        </w:rPr>
        <w:t>。</w:t>
      </w:r>
      <w:r>
        <w:rPr>
          <w:rFonts w:hint="eastAsia"/>
          <w:lang w:val="en-US" w:eastAsia="zh-CN"/>
        </w:rPr>
        <w:t>实际采购的气体根据校试剂平台上供应商能提供的产品类型进行选择，大部分为高纯5N气体，柜内管路阀门及管道材质请根据以上需求严格按照国标规范进行选取。现有气体管路材质及管径为</w:t>
      </w:r>
      <w:r>
        <w:rPr>
          <w:highlight w:val="none"/>
          <w:lang w:eastAsia="zh-CN"/>
        </w:rPr>
        <w:t>SS316L BA级 1/</w:t>
      </w:r>
      <w:r>
        <w:rPr>
          <w:rFonts w:hint="eastAsia"/>
          <w:highlight w:val="none"/>
          <w:lang w:eastAsia="zh-CN"/>
        </w:rPr>
        <w:t>2</w:t>
      </w:r>
      <w:r>
        <w:rPr>
          <w:highlight w:val="none"/>
          <w:lang w:eastAsia="zh-CN"/>
        </w:rPr>
        <w:t>"</w:t>
      </w:r>
      <w:r>
        <w:rPr>
          <w:rFonts w:hint="eastAsia"/>
          <w:highlight w:val="none"/>
          <w:lang w:val="en-US" w:eastAsia="zh-CN"/>
        </w:rPr>
        <w:t xml:space="preserve"> </w:t>
      </w:r>
      <w:r>
        <w:rPr>
          <w:highlight w:val="none"/>
          <w:lang w:eastAsia="zh-CN"/>
        </w:rPr>
        <w:t>*1.24</w:t>
      </w:r>
      <w:r>
        <w:rPr>
          <w:rFonts w:hint="eastAsia"/>
          <w:highlight w:val="none"/>
          <w:lang w:val="en-US" w:eastAsia="zh-CN"/>
        </w:rPr>
        <w:t xml:space="preserve"> </w:t>
      </w:r>
      <w:r>
        <w:rPr>
          <w:rFonts w:hint="eastAsia"/>
          <w:highlight w:val="none"/>
          <w:lang w:eastAsia="zh-CN"/>
        </w:rPr>
        <w:t>。</w:t>
      </w:r>
    </w:p>
    <w:p w14:paraId="41BDF52A">
      <w:pPr>
        <w:numPr>
          <w:ilvl w:val="0"/>
          <w:numId w:val="6"/>
        </w:numPr>
        <w:bidi w:val="0"/>
        <w:ind w:left="0" w:leftChars="0" w:firstLine="403" w:firstLineChars="0"/>
        <w:rPr>
          <w:rFonts w:hint="default" w:ascii="Times New Roman" w:hAnsi="Times New Roman"/>
          <w:lang w:val="en-US" w:eastAsia="zh-CN"/>
        </w:rPr>
      </w:pPr>
      <w:r>
        <w:rPr>
          <w:rFonts w:hint="default" w:ascii="Times New Roman" w:hAnsi="Times New Roman"/>
          <w:lang w:val="en-US" w:eastAsia="zh-CN"/>
        </w:rPr>
        <w:t>供应方式</w:t>
      </w:r>
      <w:r>
        <w:rPr>
          <w:rFonts w:hint="eastAsia" w:ascii="Times New Roman" w:hAnsi="Times New Roman"/>
          <w:lang w:val="en-US" w:eastAsia="zh-CN"/>
        </w:rPr>
        <w:t>：</w:t>
      </w:r>
      <w:r>
        <w:rPr>
          <w:rFonts w:hint="default" w:ascii="Times New Roman" w:hAnsi="Times New Roman"/>
          <w:lang w:val="en-US" w:eastAsia="zh-CN"/>
        </w:rPr>
        <w:t>全自动</w:t>
      </w:r>
      <w:r>
        <w:rPr>
          <w:rFonts w:hint="eastAsia" w:ascii="Times New Roman" w:hAnsi="Times New Roman"/>
          <w:lang w:val="en-US" w:eastAsia="zh-CN"/>
        </w:rPr>
        <w:t>操作，双瓶柜系统，</w:t>
      </w:r>
      <w:r>
        <w:rPr>
          <w:rFonts w:hint="default" w:ascii="Times New Roman" w:hAnsi="Times New Roman"/>
          <w:lang w:val="en-US" w:eastAsia="zh-CN"/>
        </w:rPr>
        <w:t>1用1备</w:t>
      </w:r>
      <w:r>
        <w:rPr>
          <w:rFonts w:hint="eastAsia" w:ascii="Times New Roman" w:hAnsi="Times New Roman"/>
          <w:lang w:val="en-US" w:eastAsia="zh-CN"/>
        </w:rPr>
        <w:t>；</w:t>
      </w:r>
    </w:p>
    <w:p w14:paraId="14089251">
      <w:pPr>
        <w:numPr>
          <w:ilvl w:val="0"/>
          <w:numId w:val="6"/>
        </w:numPr>
        <w:bidi w:val="0"/>
        <w:ind w:left="0" w:leftChars="0" w:firstLine="403" w:firstLineChars="0"/>
        <w:rPr>
          <w:rFonts w:hint="default" w:ascii="Times New Roman" w:hAnsi="Times New Roman"/>
          <w:lang w:val="en-US" w:eastAsia="zh-CN"/>
        </w:rPr>
      </w:pPr>
      <w:r>
        <w:rPr>
          <w:rFonts w:hint="eastAsia" w:ascii="Times New Roman" w:hAnsi="Times New Roman"/>
          <w:lang w:val="en-US" w:eastAsia="zh-CN"/>
        </w:rPr>
        <w:t>配置功能包括但不限于：</w:t>
      </w:r>
      <w:r>
        <w:rPr>
          <w:rFonts w:hint="default" w:ascii="Times New Roman" w:hAnsi="Times New Roman"/>
          <w:lang w:val="en-US" w:eastAsia="zh-CN"/>
        </w:rPr>
        <w:t>紧急关断，全自动高低压抽真空</w:t>
      </w:r>
      <w:r>
        <w:rPr>
          <w:rFonts w:hint="eastAsia" w:ascii="Times New Roman" w:hAnsi="Times New Roman"/>
          <w:lang w:val="en-US" w:eastAsia="zh-CN"/>
        </w:rPr>
        <w:t>，</w:t>
      </w:r>
      <w:r>
        <w:rPr>
          <w:rFonts w:hint="default" w:ascii="Times New Roman" w:hAnsi="Times New Roman"/>
          <w:lang w:val="en-US" w:eastAsia="zh-CN"/>
        </w:rPr>
        <w:t>全自动吹扫</w:t>
      </w:r>
      <w:r>
        <w:rPr>
          <w:rFonts w:hint="eastAsia" w:ascii="Times New Roman" w:hAnsi="Times New Roman"/>
          <w:lang w:val="en-US" w:eastAsia="zh-CN"/>
        </w:rPr>
        <w:t>，</w:t>
      </w:r>
      <w:r>
        <w:rPr>
          <w:rFonts w:hint="default" w:ascii="Times New Roman" w:hAnsi="Times New Roman"/>
          <w:lang w:val="en-US" w:eastAsia="zh-CN"/>
        </w:rPr>
        <w:t>外置氮气吹扫及置换</w:t>
      </w:r>
      <w:r>
        <w:rPr>
          <w:rFonts w:hint="eastAsia" w:ascii="Times New Roman" w:hAnsi="Times New Roman"/>
          <w:lang w:val="en-US" w:eastAsia="zh-CN"/>
        </w:rPr>
        <w:t>，</w:t>
      </w:r>
      <w:r>
        <w:rPr>
          <w:rFonts w:hint="default" w:ascii="Times New Roman" w:hAnsi="Times New Roman"/>
          <w:lang w:val="en-US" w:eastAsia="zh-CN"/>
        </w:rPr>
        <w:t>钢瓶气</w:t>
      </w:r>
      <w:r>
        <w:rPr>
          <w:rFonts w:hint="eastAsia"/>
          <w:lang w:val="en-US" w:eastAsia="zh-CN"/>
        </w:rPr>
        <w:t>体</w:t>
      </w:r>
      <w:r>
        <w:rPr>
          <w:rFonts w:hint="default" w:ascii="Times New Roman" w:hAnsi="Times New Roman"/>
          <w:lang w:val="en-US" w:eastAsia="zh-CN"/>
        </w:rPr>
        <w:t>压力检测，供应</w:t>
      </w:r>
      <w:r>
        <w:rPr>
          <w:rFonts w:hint="eastAsia"/>
          <w:lang w:val="en-US" w:eastAsia="zh-CN"/>
        </w:rPr>
        <w:t>气体</w:t>
      </w:r>
      <w:r>
        <w:rPr>
          <w:rFonts w:hint="default" w:ascii="Times New Roman" w:hAnsi="Times New Roman"/>
          <w:lang w:val="en-US" w:eastAsia="zh-CN"/>
        </w:rPr>
        <w:t>压力监测，抽真空压力监测，</w:t>
      </w:r>
      <w:r>
        <w:rPr>
          <w:rFonts w:hint="eastAsia" w:ascii="Times New Roman" w:hAnsi="Times New Roman"/>
          <w:lang w:val="en-US" w:eastAsia="zh-CN"/>
        </w:rPr>
        <w:t>喷淋，</w:t>
      </w:r>
      <w:r>
        <w:rPr>
          <w:rFonts w:hint="default" w:ascii="Times New Roman" w:hAnsi="Times New Roman"/>
          <w:lang w:val="en-US" w:eastAsia="zh-CN"/>
        </w:rPr>
        <w:t>防倒灌及防交叉污染</w:t>
      </w:r>
      <w:r>
        <w:rPr>
          <w:rFonts w:hint="eastAsia" w:ascii="Times New Roman" w:hAnsi="Times New Roman"/>
          <w:lang w:val="en-US" w:eastAsia="zh-CN"/>
        </w:rPr>
        <w:t>等</w:t>
      </w:r>
      <w:r>
        <w:rPr>
          <w:rFonts w:hint="default" w:ascii="Times New Roman" w:hAnsi="Times New Roman"/>
          <w:lang w:val="en-US" w:eastAsia="zh-CN"/>
        </w:rPr>
        <w:t>功能</w:t>
      </w:r>
      <w:r>
        <w:rPr>
          <w:rFonts w:hint="eastAsia" w:ascii="Times New Roman" w:hAnsi="Times New Roman"/>
          <w:lang w:val="en-US" w:eastAsia="zh-CN"/>
        </w:rPr>
        <w:t>，以及厂家从专业角度出发配置的确保气体安全无泄漏</w:t>
      </w:r>
      <w:r>
        <w:rPr>
          <w:rFonts w:hint="eastAsia"/>
          <w:lang w:val="en-US" w:eastAsia="zh-CN"/>
        </w:rPr>
        <w:t>、</w:t>
      </w:r>
      <w:r>
        <w:rPr>
          <w:rFonts w:hint="eastAsia" w:ascii="Times New Roman" w:hAnsi="Times New Roman"/>
          <w:lang w:val="en-US" w:eastAsia="zh-CN"/>
        </w:rPr>
        <w:t>稳定全自动运行的其他功能模块。</w:t>
      </w:r>
    </w:p>
    <w:p w14:paraId="5A593C81">
      <w:pPr>
        <w:numPr>
          <w:ilvl w:val="0"/>
          <w:numId w:val="6"/>
        </w:numPr>
        <w:bidi w:val="0"/>
        <w:ind w:left="0" w:leftChars="0" w:firstLine="403" w:firstLineChars="0"/>
        <w:rPr>
          <w:rFonts w:hint="default" w:ascii="Times New Roman" w:hAnsi="Times New Roman"/>
          <w:lang w:val="en-US" w:eastAsia="zh-CN"/>
        </w:rPr>
      </w:pPr>
      <w:r>
        <w:rPr>
          <w:rFonts w:hint="default" w:ascii="Times New Roman" w:hAnsi="Times New Roman"/>
          <w:lang w:val="en-US" w:eastAsia="zh-CN"/>
        </w:rPr>
        <w:t>气瓶出口压力15-20MPa</w:t>
      </w:r>
      <w:r>
        <w:rPr>
          <w:rFonts w:hint="eastAsia" w:ascii="Times New Roman" w:hAnsi="Times New Roman"/>
          <w:lang w:val="en-US" w:eastAsia="zh-CN"/>
        </w:rPr>
        <w:t>，</w:t>
      </w:r>
      <w:r>
        <w:rPr>
          <w:rFonts w:hint="default" w:ascii="Times New Roman" w:hAnsi="Times New Roman"/>
          <w:lang w:val="en-US" w:eastAsia="zh-CN"/>
        </w:rPr>
        <w:t>气柜出口</w:t>
      </w:r>
      <w:r>
        <w:rPr>
          <w:rFonts w:hint="eastAsia" w:ascii="Times New Roman" w:hAnsi="Times New Roman"/>
          <w:lang w:val="en-US" w:eastAsia="zh-CN"/>
        </w:rPr>
        <w:t>气体</w:t>
      </w:r>
      <w:r>
        <w:rPr>
          <w:rFonts w:hint="default" w:ascii="Times New Roman" w:hAnsi="Times New Roman"/>
          <w:lang w:val="en-US" w:eastAsia="zh-CN"/>
        </w:rPr>
        <w:t>压力</w:t>
      </w:r>
      <w:r>
        <w:rPr>
          <w:rFonts w:hint="eastAsia"/>
          <w:lang w:val="en-US" w:eastAsia="zh-CN"/>
        </w:rPr>
        <w:t>0-6MPa可调</w:t>
      </w:r>
      <w:r>
        <w:rPr>
          <w:rFonts w:hint="eastAsia" w:ascii="Times New Roman" w:hAnsi="Times New Roman"/>
          <w:lang w:val="en-US" w:eastAsia="zh-CN"/>
        </w:rPr>
        <w:t>；出气柜外，连接设备段</w:t>
      </w:r>
      <w:r>
        <w:rPr>
          <w:rFonts w:hint="eastAsia"/>
          <w:lang w:val="en-US" w:eastAsia="zh-CN"/>
        </w:rPr>
        <w:t>（从新气柜到引入现有供气系统的管路段）</w:t>
      </w:r>
      <w:r>
        <w:rPr>
          <w:rFonts w:hint="eastAsia" w:ascii="Times New Roman" w:hAnsi="Times New Roman"/>
          <w:lang w:val="en-US" w:eastAsia="zh-CN"/>
        </w:rPr>
        <w:t>，阀门至少耐压</w:t>
      </w:r>
      <w:r>
        <w:rPr>
          <w:rFonts w:hint="eastAsia"/>
          <w:lang w:val="en-US" w:eastAsia="zh-CN"/>
        </w:rPr>
        <w:t>7.5</w:t>
      </w:r>
      <w:r>
        <w:rPr>
          <w:rFonts w:hint="eastAsia" w:ascii="Times New Roman" w:hAnsi="Times New Roman"/>
          <w:lang w:val="en-US" w:eastAsia="zh-CN"/>
        </w:rPr>
        <w:t>MPa；</w:t>
      </w:r>
    </w:p>
    <w:p w14:paraId="6244FA08">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材质及防腐要求：碳钢烤漆防爆柜体加防爆可视窗，</w:t>
      </w:r>
      <w:r>
        <w:rPr>
          <w:rFonts w:hint="default" w:ascii="Times New Roman" w:hAnsi="Times New Roman"/>
          <w:lang w:val="en-US" w:eastAsia="zh-CN"/>
        </w:rPr>
        <w:t>外壳须有抗腐蚀环氧涂层，并且所有材料都必须是非易燃的</w:t>
      </w:r>
      <w:r>
        <w:rPr>
          <w:rFonts w:hint="eastAsia" w:ascii="Times New Roman" w:hAnsi="Times New Roman"/>
          <w:lang w:val="en-US" w:eastAsia="zh-CN"/>
        </w:rPr>
        <w:t>，</w:t>
      </w:r>
      <w:r>
        <w:rPr>
          <w:rFonts w:hint="default" w:ascii="Times New Roman" w:hAnsi="Times New Roman"/>
          <w:lang w:val="en-US" w:eastAsia="zh-CN"/>
        </w:rPr>
        <w:t>气柜面板的厚度</w:t>
      </w:r>
      <w:r>
        <w:rPr>
          <w:rFonts w:hint="eastAsia" w:ascii="Times New Roman" w:hAnsi="Times New Roman"/>
          <w:lang w:val="en-US" w:eastAsia="zh-CN"/>
        </w:rPr>
        <w:t>≥</w:t>
      </w:r>
      <w:r>
        <w:rPr>
          <w:rFonts w:hint="default" w:ascii="Times New Roman" w:hAnsi="Times New Roman"/>
          <w:lang w:val="en-US" w:eastAsia="zh-CN"/>
        </w:rPr>
        <w:t>2</w:t>
      </w:r>
      <w:r>
        <w:rPr>
          <w:rFonts w:hint="eastAsia" w:ascii="Times New Roman" w:hAnsi="Times New Roman"/>
          <w:lang w:val="en-US" w:eastAsia="zh-CN"/>
        </w:rPr>
        <w:t>.5</w:t>
      </w:r>
      <w:r>
        <w:rPr>
          <w:rFonts w:hint="default" w:ascii="Times New Roman" w:hAnsi="Times New Roman"/>
          <w:lang w:val="en-US" w:eastAsia="zh-CN"/>
        </w:rPr>
        <w:t>mm，底板厚度</w:t>
      </w:r>
      <w:r>
        <w:rPr>
          <w:rFonts w:hint="eastAsia" w:ascii="Times New Roman" w:hAnsi="Times New Roman"/>
          <w:lang w:val="en-US" w:eastAsia="zh-CN"/>
        </w:rPr>
        <w:t>≥</w:t>
      </w:r>
      <w:r>
        <w:rPr>
          <w:rFonts w:hint="default" w:ascii="Times New Roman" w:hAnsi="Times New Roman"/>
          <w:lang w:val="en-US" w:eastAsia="zh-CN"/>
        </w:rPr>
        <w:t>3.4mm，并铺盖有防滑垫</w:t>
      </w:r>
      <w:r>
        <w:rPr>
          <w:rFonts w:hint="eastAsia"/>
          <w:lang w:val="en-US" w:eastAsia="zh-CN"/>
        </w:rPr>
        <w:t>片</w:t>
      </w:r>
      <w:r>
        <w:rPr>
          <w:rFonts w:hint="eastAsia" w:ascii="Times New Roman" w:hAnsi="Times New Roman"/>
          <w:lang w:val="en-US" w:eastAsia="zh-CN"/>
        </w:rPr>
        <w:t>，</w:t>
      </w:r>
      <w:r>
        <w:rPr>
          <w:rFonts w:hint="default" w:ascii="Times New Roman" w:hAnsi="Times New Roman"/>
          <w:lang w:val="en-US" w:eastAsia="zh-CN"/>
        </w:rPr>
        <w:t>设备全表面都不能有</w:t>
      </w:r>
      <w:r>
        <w:rPr>
          <w:rFonts w:hint="eastAsia"/>
          <w:lang w:val="en-US" w:eastAsia="zh-CN"/>
        </w:rPr>
        <w:t>振动</w:t>
      </w:r>
      <w:r>
        <w:rPr>
          <w:rFonts w:hint="default" w:ascii="Times New Roman" w:hAnsi="Times New Roman"/>
          <w:lang w:val="en-US" w:eastAsia="zh-CN"/>
        </w:rPr>
        <w:t>，</w:t>
      </w:r>
      <w:r>
        <w:rPr>
          <w:rFonts w:hint="eastAsia" w:ascii="Times New Roman" w:hAnsi="Times New Roman"/>
          <w:lang w:val="en-US" w:eastAsia="zh-CN"/>
        </w:rPr>
        <w:t>避免出现</w:t>
      </w:r>
      <w:r>
        <w:rPr>
          <w:rFonts w:hint="default" w:ascii="Times New Roman" w:hAnsi="Times New Roman"/>
          <w:lang w:val="en-US" w:eastAsia="zh-CN"/>
        </w:rPr>
        <w:t>锋利的边缘及可能导致操作人员受伤的其他缺陷</w:t>
      </w:r>
      <w:r>
        <w:rPr>
          <w:rFonts w:hint="eastAsia" w:ascii="Times New Roman" w:hAnsi="Times New Roman"/>
          <w:lang w:val="en-US" w:eastAsia="zh-CN"/>
        </w:rPr>
        <w:t>；</w:t>
      </w:r>
    </w:p>
    <w:p w14:paraId="128DDDED">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管路系统：所有管道（如</w:t>
      </w:r>
      <w:r>
        <w:rPr>
          <w:rFonts w:hint="default" w:ascii="Times New Roman" w:hAnsi="Times New Roman"/>
          <w:lang w:val="en-US" w:eastAsia="zh-CN"/>
        </w:rPr>
        <w:t>工艺气体</w:t>
      </w:r>
      <w:r>
        <w:rPr>
          <w:rFonts w:hint="eastAsia"/>
          <w:lang w:val="en-US" w:eastAsia="zh-CN"/>
        </w:rPr>
        <w:t>管路、</w:t>
      </w:r>
      <w:r>
        <w:rPr>
          <w:rFonts w:hint="default" w:ascii="Times New Roman" w:hAnsi="Times New Roman"/>
          <w:lang w:val="en-US" w:eastAsia="zh-CN"/>
        </w:rPr>
        <w:t>吹扫氮气管路</w:t>
      </w:r>
      <w:r>
        <w:rPr>
          <w:rFonts w:hint="eastAsia"/>
          <w:lang w:val="en-US" w:eastAsia="zh-CN"/>
        </w:rPr>
        <w:t>、</w:t>
      </w:r>
      <w:r>
        <w:rPr>
          <w:rFonts w:hint="default" w:ascii="Times New Roman" w:hAnsi="Times New Roman"/>
          <w:lang w:val="en-US" w:eastAsia="zh-CN"/>
        </w:rPr>
        <w:t>抽真空氮气管路</w:t>
      </w:r>
      <w:r>
        <w:rPr>
          <w:rFonts w:hint="eastAsia"/>
          <w:lang w:val="en-US" w:eastAsia="zh-CN"/>
        </w:rPr>
        <w:t>、</w:t>
      </w:r>
      <w:r>
        <w:rPr>
          <w:rFonts w:hint="default" w:ascii="Times New Roman" w:hAnsi="Times New Roman"/>
          <w:lang w:val="en-US" w:eastAsia="zh-CN"/>
        </w:rPr>
        <w:t>气动阀气源</w:t>
      </w:r>
      <w:r>
        <w:rPr>
          <w:rFonts w:hint="eastAsia"/>
          <w:lang w:val="en-US" w:eastAsia="zh-CN"/>
        </w:rPr>
        <w:t>管路、</w:t>
      </w:r>
      <w:r>
        <w:rPr>
          <w:rFonts w:hint="default" w:ascii="Times New Roman" w:hAnsi="Times New Roman"/>
          <w:lang w:val="en-US" w:eastAsia="zh-CN"/>
        </w:rPr>
        <w:t>尾气排放管路</w:t>
      </w:r>
      <w:r>
        <w:rPr>
          <w:rFonts w:hint="eastAsia" w:ascii="Times New Roman" w:hAnsi="Times New Roman"/>
          <w:lang w:val="en-US" w:eastAsia="zh-CN"/>
        </w:rPr>
        <w:t>）</w:t>
      </w:r>
      <w:r>
        <w:rPr>
          <w:rFonts w:hint="eastAsia"/>
          <w:lang w:val="en-US" w:eastAsia="zh-CN"/>
        </w:rPr>
        <w:t>材质</w:t>
      </w:r>
      <w:r>
        <w:rPr>
          <w:rFonts w:hint="eastAsia" w:ascii="Times New Roman" w:hAnsi="Times New Roman"/>
          <w:lang w:val="en-US" w:eastAsia="zh-CN"/>
        </w:rPr>
        <w:t>及阀门仪表的材质根据气体种类、纯度、压力严格按照国标规范进行配置（竣工后甲方按照规范验收），气路系统构造要符合ASTM标准，所有的弯头、接头都必须使用标准配件，</w:t>
      </w:r>
      <w:r>
        <w:rPr>
          <w:rFonts w:hint="default" w:ascii="Times New Roman" w:hAnsi="Times New Roman"/>
          <w:lang w:val="en-US" w:eastAsia="zh-CN"/>
        </w:rPr>
        <w:t>管路焊接</w:t>
      </w:r>
      <w:r>
        <w:rPr>
          <w:rFonts w:hint="eastAsia" w:ascii="Times New Roman" w:hAnsi="Times New Roman"/>
          <w:lang w:val="en-US" w:eastAsia="zh-CN"/>
        </w:rPr>
        <w:t>采用</w:t>
      </w:r>
      <w:r>
        <w:rPr>
          <w:rFonts w:hint="default" w:ascii="Times New Roman" w:hAnsi="Times New Roman"/>
          <w:lang w:val="en-US" w:eastAsia="zh-CN"/>
        </w:rPr>
        <w:t>自动焊，</w:t>
      </w:r>
      <w:r>
        <w:rPr>
          <w:rFonts w:hint="eastAsia" w:ascii="Times New Roman" w:hAnsi="Times New Roman"/>
          <w:lang w:val="en-US" w:eastAsia="zh-CN"/>
        </w:rPr>
        <w:t>焊接后</w:t>
      </w:r>
      <w:r>
        <w:rPr>
          <w:rFonts w:hint="default" w:ascii="Times New Roman" w:hAnsi="Times New Roman"/>
          <w:lang w:val="en-US" w:eastAsia="zh-CN"/>
        </w:rPr>
        <w:t>在买方现场安装完毕进行氦气检漏；</w:t>
      </w:r>
    </w:p>
    <w:p w14:paraId="2A1439A2">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安全要求：配置气体侦测系统；</w:t>
      </w:r>
      <w:r>
        <w:rPr>
          <w:rFonts w:hint="eastAsia"/>
          <w:lang w:val="en-US" w:eastAsia="zh-CN"/>
        </w:rPr>
        <w:t>配备</w:t>
      </w:r>
      <w:r>
        <w:rPr>
          <w:rFonts w:hint="eastAsia" w:ascii="Times New Roman" w:hAnsi="Times New Roman"/>
          <w:lang w:val="en-US" w:eastAsia="zh-CN"/>
        </w:rPr>
        <w:t>三色塔灯及蜂鸣器，根据运行状态及报警等级显示不同警示颜色并发出报警声；所有特气柜标明其供应特殊气体的种类及其浓度，特气柜内部所有的管路及阀件应该标明其作用，例如供气，吹扫或排气。设备带有气体铭牌，并贴有所承载气体的CSL</w:t>
      </w:r>
      <w:r>
        <w:rPr>
          <w:rFonts w:hint="eastAsia"/>
          <w:lang w:val="en-US" w:eastAsia="zh-CN"/>
        </w:rPr>
        <w:t>标识</w:t>
      </w:r>
      <w:r>
        <w:rPr>
          <w:rFonts w:hint="eastAsia" w:ascii="Times New Roman" w:hAnsi="Times New Roman"/>
          <w:lang w:val="en-US" w:eastAsia="zh-CN"/>
        </w:rPr>
        <w:t>，配置A4 纸大小的MSDS 放置盒，并带有MSDS字样；底面设计要便于放置或移走钢瓶而不必调整钢瓶高度；</w:t>
      </w:r>
    </w:p>
    <w:p w14:paraId="0E769204">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电气要求：电气控制箱二区防爆（EXDIICT4），设备左右供气盘面须可以独立维护及测试；</w:t>
      </w:r>
    </w:p>
    <w:p w14:paraId="334BE11E">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电控要求：特气柜体上有PLC控制，带触摸屏显示。可输出甲方后期需要的远程控制和采集的主要信号：1、气瓶压力；2、气瓶阀门的开关；3、气瓶柜泄漏报警信号，</w:t>
      </w:r>
      <w:r>
        <w:rPr>
          <w:rFonts w:hint="eastAsia"/>
          <w:lang w:val="en-US" w:eastAsia="zh-CN"/>
        </w:rPr>
        <w:t>信号型式</w:t>
      </w:r>
      <w:r>
        <w:rPr>
          <w:rFonts w:hint="eastAsia" w:ascii="Times New Roman" w:hAnsi="Times New Roman"/>
          <w:lang w:val="en-US" w:eastAsia="zh-CN"/>
        </w:rPr>
        <w:t>：4</w:t>
      </w:r>
      <w:r>
        <w:rPr>
          <w:rFonts w:hint="eastAsia"/>
          <w:lang w:val="en-US" w:eastAsia="zh-CN"/>
        </w:rPr>
        <w:t>-</w:t>
      </w:r>
      <w:r>
        <w:rPr>
          <w:rFonts w:hint="eastAsia" w:ascii="Times New Roman" w:hAnsi="Times New Roman"/>
          <w:lang w:val="en-US" w:eastAsia="zh-CN"/>
        </w:rPr>
        <w:t>20mA/RS485 MODBUS-RTU。</w:t>
      </w:r>
    </w:p>
    <w:p w14:paraId="6DAD4390">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特气柜包含的最基本的报警功能包括但不限于：</w:t>
      </w:r>
    </w:p>
    <w:p w14:paraId="6596AA4E">
      <w:pPr>
        <w:numPr>
          <w:ilvl w:val="0"/>
          <w:numId w:val="7"/>
        </w:numPr>
        <w:bidi w:val="0"/>
        <w:ind w:left="0" w:leftChars="0" w:firstLine="960" w:firstLineChars="400"/>
        <w:rPr>
          <w:rFonts w:hint="eastAsia" w:ascii="Times New Roman" w:hAnsi="Times New Roman"/>
          <w:lang w:val="en-US" w:eastAsia="zh-CN"/>
        </w:rPr>
      </w:pPr>
      <w:r>
        <w:rPr>
          <w:rFonts w:hint="eastAsia" w:ascii="Times New Roman" w:hAnsi="Times New Roman"/>
          <w:lang w:val="en-US" w:eastAsia="zh-CN"/>
        </w:rPr>
        <w:t>排风风压负压报警功能；</w:t>
      </w:r>
    </w:p>
    <w:p w14:paraId="5D518172">
      <w:pPr>
        <w:numPr>
          <w:ilvl w:val="0"/>
          <w:numId w:val="7"/>
        </w:numPr>
        <w:bidi w:val="0"/>
        <w:ind w:left="0" w:leftChars="0" w:firstLine="960" w:firstLineChars="400"/>
        <w:rPr>
          <w:rFonts w:hint="eastAsia" w:ascii="Times New Roman" w:hAnsi="Times New Roman"/>
          <w:lang w:val="en-US" w:eastAsia="zh-CN"/>
        </w:rPr>
      </w:pPr>
      <w:r>
        <w:rPr>
          <w:rFonts w:hint="eastAsia" w:ascii="Times New Roman" w:hAnsi="Times New Roman"/>
          <w:lang w:val="en-US" w:eastAsia="zh-CN"/>
        </w:rPr>
        <w:t>Z-purge报警功能；</w:t>
      </w:r>
    </w:p>
    <w:p w14:paraId="7479A7BF">
      <w:pPr>
        <w:numPr>
          <w:ilvl w:val="0"/>
          <w:numId w:val="7"/>
        </w:numPr>
        <w:bidi w:val="0"/>
        <w:ind w:left="0" w:leftChars="0" w:firstLine="960" w:firstLineChars="400"/>
        <w:rPr>
          <w:rFonts w:hint="eastAsia" w:ascii="Times New Roman" w:hAnsi="Times New Roman"/>
          <w:lang w:val="en-US" w:eastAsia="zh-CN"/>
        </w:rPr>
      </w:pPr>
      <w:r>
        <w:rPr>
          <w:rFonts w:hint="eastAsia" w:ascii="Times New Roman" w:hAnsi="Times New Roman"/>
          <w:lang w:val="en-US" w:eastAsia="zh-CN"/>
        </w:rPr>
        <w:t>过流量报警联动功能；</w:t>
      </w:r>
    </w:p>
    <w:p w14:paraId="7C7C4B8C">
      <w:pPr>
        <w:numPr>
          <w:ilvl w:val="0"/>
          <w:numId w:val="7"/>
        </w:numPr>
        <w:bidi w:val="0"/>
        <w:ind w:left="0" w:leftChars="0" w:firstLine="960" w:firstLineChars="400"/>
        <w:rPr>
          <w:rFonts w:hint="eastAsia" w:ascii="Times New Roman" w:hAnsi="Times New Roman"/>
          <w:lang w:val="en-US" w:eastAsia="zh-CN"/>
        </w:rPr>
      </w:pPr>
      <w:r>
        <w:rPr>
          <w:rFonts w:hint="eastAsia" w:ascii="Times New Roman" w:hAnsi="Times New Roman"/>
          <w:lang w:val="en-US" w:eastAsia="zh-CN"/>
        </w:rPr>
        <w:t>气柜各种压力报警联动阀门自动开关、供气路线自动切换；</w:t>
      </w:r>
    </w:p>
    <w:p w14:paraId="63240C35">
      <w:pPr>
        <w:numPr>
          <w:ilvl w:val="0"/>
          <w:numId w:val="7"/>
        </w:numPr>
        <w:bidi w:val="0"/>
        <w:ind w:left="0" w:leftChars="0" w:firstLine="960" w:firstLineChars="400"/>
        <w:rPr>
          <w:rFonts w:hint="eastAsia" w:ascii="Times New Roman" w:hAnsi="Times New Roman"/>
          <w:lang w:val="en-US" w:eastAsia="zh-CN"/>
        </w:rPr>
      </w:pPr>
      <w:r>
        <w:rPr>
          <w:rFonts w:hint="eastAsia" w:ascii="Times New Roman" w:hAnsi="Times New Roman"/>
          <w:lang w:val="en-US" w:eastAsia="zh-CN"/>
        </w:rPr>
        <w:t>气体、温度及烟雾侦测器报警功能；</w:t>
      </w:r>
    </w:p>
    <w:p w14:paraId="3778AF1D">
      <w:pPr>
        <w:numPr>
          <w:ilvl w:val="0"/>
          <w:numId w:val="7"/>
        </w:numPr>
        <w:bidi w:val="0"/>
        <w:ind w:left="0" w:leftChars="0" w:firstLine="960" w:firstLineChars="400"/>
        <w:rPr>
          <w:rFonts w:hint="eastAsia" w:ascii="Times New Roman" w:hAnsi="Times New Roman"/>
          <w:lang w:val="en-US" w:eastAsia="zh-CN"/>
        </w:rPr>
      </w:pPr>
      <w:r>
        <w:rPr>
          <w:rFonts w:hint="eastAsia" w:ascii="Times New Roman" w:hAnsi="Times New Roman"/>
          <w:lang w:val="en-US" w:eastAsia="zh-CN"/>
        </w:rPr>
        <w:t>所有安全装置</w:t>
      </w:r>
      <w:r>
        <w:rPr>
          <w:rFonts w:hint="eastAsia"/>
          <w:lang w:val="en-US" w:eastAsia="zh-CN"/>
        </w:rPr>
        <w:t>及</w:t>
      </w:r>
      <w:r>
        <w:rPr>
          <w:rFonts w:hint="eastAsia" w:ascii="Times New Roman" w:hAnsi="Times New Roman"/>
          <w:lang w:val="en-US" w:eastAsia="zh-CN"/>
        </w:rPr>
        <w:t>控制器的触摸屏必须有失效互锁保护</w:t>
      </w:r>
      <w:r>
        <w:rPr>
          <w:rFonts w:hint="eastAsia"/>
          <w:lang w:val="en-US" w:eastAsia="zh-CN"/>
        </w:rPr>
        <w:t>功能</w:t>
      </w:r>
      <w:r>
        <w:rPr>
          <w:rFonts w:hint="eastAsia" w:ascii="Times New Roman" w:hAnsi="Times New Roman"/>
          <w:lang w:val="en-US" w:eastAsia="zh-CN"/>
        </w:rPr>
        <w:t>。</w:t>
      </w:r>
    </w:p>
    <w:p w14:paraId="092FFB00">
      <w:pPr>
        <w:numPr>
          <w:ilvl w:val="0"/>
          <w:numId w:val="6"/>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以上仅列出甲方基础要求，其余未列出要求可按照乙方专业设计完成，</w:t>
      </w:r>
      <w:r>
        <w:rPr>
          <w:rFonts w:hint="eastAsia"/>
          <w:lang w:val="en-US" w:eastAsia="zh-CN"/>
        </w:rPr>
        <w:t>最终</w:t>
      </w:r>
      <w:r>
        <w:rPr>
          <w:rFonts w:hint="eastAsia" w:ascii="Times New Roman" w:hAnsi="Times New Roman"/>
          <w:lang w:val="en-US" w:eastAsia="zh-CN"/>
        </w:rPr>
        <w:t>以特气柜系统自动</w:t>
      </w:r>
      <w:r>
        <w:rPr>
          <w:rFonts w:hint="eastAsia"/>
          <w:lang w:val="en-US" w:eastAsia="zh-CN"/>
        </w:rPr>
        <w:t>、</w:t>
      </w:r>
      <w:r>
        <w:rPr>
          <w:rFonts w:hint="eastAsia" w:ascii="Times New Roman" w:hAnsi="Times New Roman"/>
          <w:lang w:val="en-US" w:eastAsia="zh-CN"/>
        </w:rPr>
        <w:t>稳定</w:t>
      </w:r>
      <w:r>
        <w:rPr>
          <w:rFonts w:hint="eastAsia"/>
          <w:lang w:val="en-US" w:eastAsia="zh-CN"/>
        </w:rPr>
        <w:t>、</w:t>
      </w:r>
      <w:r>
        <w:rPr>
          <w:rFonts w:hint="eastAsia" w:ascii="Times New Roman" w:hAnsi="Times New Roman"/>
          <w:lang w:val="en-US" w:eastAsia="zh-CN"/>
        </w:rPr>
        <w:t>安全运行为准则。</w:t>
      </w:r>
    </w:p>
    <w:p w14:paraId="58E5C964">
      <w:pPr>
        <w:pStyle w:val="3"/>
        <w:numPr>
          <w:ilvl w:val="0"/>
          <w:numId w:val="2"/>
        </w:numPr>
        <w:bidi w:val="0"/>
        <w:ind w:left="0" w:leftChars="0" w:firstLine="0" w:firstLineChars="0"/>
        <w:rPr>
          <w:rFonts w:hint="default" w:ascii="Times New Roman" w:hAnsi="Times New Roman"/>
          <w:lang w:val="en-US" w:eastAsia="zh-CN"/>
        </w:rPr>
      </w:pPr>
      <w:bookmarkStart w:id="2" w:name="_TOC_250015"/>
      <w:bookmarkEnd w:id="2"/>
      <w:bookmarkStart w:id="3" w:name="_Toc136463839"/>
      <w:r>
        <w:rPr>
          <w:rFonts w:hint="eastAsia" w:ascii="Times New Roman" w:hAnsi="Times New Roman"/>
          <w:lang w:val="en-US" w:eastAsia="zh-CN"/>
        </w:rPr>
        <w:t>供货方</w:t>
      </w:r>
      <w:bookmarkEnd w:id="3"/>
      <w:r>
        <w:rPr>
          <w:rFonts w:hint="eastAsia" w:ascii="Times New Roman" w:hAnsi="Times New Roman"/>
          <w:lang w:val="en-US" w:eastAsia="zh-CN"/>
        </w:rPr>
        <w:t>交货时应提交的资料</w:t>
      </w:r>
    </w:p>
    <w:p w14:paraId="7C6EC98B">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工艺方案设计说明电子版及纸质盖章版1份；</w:t>
      </w:r>
    </w:p>
    <w:p w14:paraId="1BDA11AE">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工艺详细计算书电子版及纸质盖章版1份；</w:t>
      </w:r>
    </w:p>
    <w:p w14:paraId="41452DDE">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工艺流程简图电子版及纸质盖章版1份；</w:t>
      </w:r>
    </w:p>
    <w:p w14:paraId="32CACB8F">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工艺流程全系统图（列明所有管道设备及装置）电子版及纸质盖章版1份；</w:t>
      </w:r>
    </w:p>
    <w:p w14:paraId="61041030">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电气接线图，电气控制原理图电子版及纸质盖章版1份；</w:t>
      </w:r>
    </w:p>
    <w:p w14:paraId="179CE8B6">
      <w:pPr>
        <w:numPr>
          <w:ilvl w:val="0"/>
          <w:numId w:val="8"/>
        </w:numPr>
        <w:bidi w:val="0"/>
        <w:ind w:left="0" w:leftChars="0" w:firstLine="403" w:firstLineChars="0"/>
        <w:rPr>
          <w:rFonts w:hint="eastAsia" w:ascii="Times New Roman" w:hAnsi="Times New Roman"/>
          <w:lang w:val="en-US" w:eastAsia="zh-CN"/>
        </w:rPr>
      </w:pPr>
      <w:r>
        <w:rPr>
          <w:sz w:val="24"/>
          <w:szCs w:val="24"/>
          <w:lang w:eastAsia="zh-CN"/>
        </w:rPr>
        <w:t>系统材料</w:t>
      </w:r>
      <w:r>
        <w:rPr>
          <w:rFonts w:hint="eastAsia"/>
          <w:sz w:val="24"/>
          <w:szCs w:val="24"/>
          <w:lang w:val="en-US" w:eastAsia="zh-CN"/>
        </w:rPr>
        <w:t>与仪表</w:t>
      </w:r>
      <w:r>
        <w:rPr>
          <w:sz w:val="24"/>
          <w:szCs w:val="24"/>
          <w:lang w:eastAsia="zh-CN"/>
        </w:rPr>
        <w:t>清单</w:t>
      </w:r>
      <w:r>
        <w:rPr>
          <w:rFonts w:hint="eastAsia"/>
          <w:sz w:val="24"/>
          <w:szCs w:val="24"/>
          <w:lang w:eastAsia="zh-CN"/>
        </w:rPr>
        <w:t>，</w:t>
      </w:r>
      <w:r>
        <w:rPr>
          <w:rFonts w:hint="eastAsia" w:ascii="Times New Roman" w:hAnsi="Times New Roman"/>
          <w:lang w:val="en-US" w:eastAsia="zh-CN"/>
        </w:rPr>
        <w:t>列明规格参数，材质、主要尺寸、重量及载荷数据、接口数据等电子版及纸质盖章版1份；</w:t>
      </w:r>
    </w:p>
    <w:p w14:paraId="5768498C">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设备产品质量合格证（包含</w:t>
      </w:r>
      <w:r>
        <w:rPr>
          <w:sz w:val="24"/>
          <w:szCs w:val="24"/>
          <w:lang w:eastAsia="zh-CN"/>
        </w:rPr>
        <w:t>外购设备</w:t>
      </w:r>
      <w:r>
        <w:rPr>
          <w:rFonts w:hint="eastAsia"/>
          <w:sz w:val="24"/>
          <w:szCs w:val="24"/>
          <w:lang w:eastAsia="zh-CN"/>
        </w:rPr>
        <w:t>、</w:t>
      </w:r>
      <w:r>
        <w:rPr>
          <w:rFonts w:hint="eastAsia" w:ascii="Times New Roman" w:hAnsi="Times New Roman"/>
          <w:lang w:val="en-US" w:eastAsia="zh-CN"/>
        </w:rPr>
        <w:t>管道材质、管道阀门等附件）；</w:t>
      </w:r>
    </w:p>
    <w:p w14:paraId="639A8E63">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产品出厂检测报告（包括但不限于氦泄漏检测，</w:t>
      </w:r>
      <w:r>
        <w:rPr>
          <w:rFonts w:hint="eastAsia"/>
          <w:lang w:val="en-US" w:eastAsia="zh-CN"/>
        </w:rPr>
        <w:t>水分含量</w:t>
      </w:r>
      <w:r>
        <w:rPr>
          <w:rFonts w:hint="eastAsia" w:ascii="Times New Roman" w:hAnsi="Times New Roman"/>
          <w:lang w:val="en-US" w:eastAsia="zh-CN"/>
        </w:rPr>
        <w:t>检测，</w:t>
      </w:r>
      <w:r>
        <w:rPr>
          <w:rFonts w:hint="eastAsia"/>
          <w:lang w:val="en-US" w:eastAsia="zh-CN"/>
        </w:rPr>
        <w:t>氧分含量</w:t>
      </w:r>
      <w:r>
        <w:rPr>
          <w:rFonts w:hint="eastAsia" w:ascii="Times New Roman" w:hAnsi="Times New Roman"/>
          <w:lang w:val="en-US" w:eastAsia="zh-CN"/>
        </w:rPr>
        <w:t>检测，颗粒测试，压力测试等5项检测内容）纸质盖章版1份及盖章版的扫描件1份；</w:t>
      </w:r>
    </w:p>
    <w:p w14:paraId="63A4F33C">
      <w:pPr>
        <w:numPr>
          <w:ilvl w:val="0"/>
          <w:numId w:val="8"/>
        </w:numPr>
        <w:bidi w:val="0"/>
        <w:ind w:left="0" w:leftChars="0" w:firstLine="403" w:firstLineChars="0"/>
        <w:rPr>
          <w:rFonts w:hint="eastAsia" w:ascii="Times New Roman" w:hAnsi="Times New Roman"/>
          <w:lang w:val="en-US" w:eastAsia="zh-CN"/>
        </w:rPr>
      </w:pPr>
      <w:r>
        <w:rPr>
          <w:rFonts w:hint="eastAsia" w:ascii="Times New Roman" w:hAnsi="Times New Roman"/>
          <w:lang w:val="en-US" w:eastAsia="zh-CN"/>
        </w:rPr>
        <w:t>特气柜系统使用说明书/操作说明书/培训手册电子版及纸质盖章版1份；</w:t>
      </w:r>
    </w:p>
    <w:p w14:paraId="7A928143">
      <w:pPr>
        <w:pStyle w:val="3"/>
        <w:numPr>
          <w:ilvl w:val="0"/>
          <w:numId w:val="2"/>
        </w:numPr>
        <w:bidi w:val="0"/>
        <w:ind w:left="0" w:leftChars="0" w:firstLine="0" w:firstLineChars="0"/>
        <w:rPr>
          <w:rFonts w:hint="eastAsia" w:ascii="Times New Roman" w:hAnsi="Times New Roman"/>
          <w:lang w:val="en-US" w:eastAsia="zh-CN"/>
        </w:rPr>
      </w:pPr>
      <w:r>
        <w:rPr>
          <w:rFonts w:hint="eastAsia" w:ascii="Times New Roman" w:hAnsi="Times New Roman"/>
          <w:lang w:val="en-US" w:eastAsia="zh-CN"/>
        </w:rPr>
        <w:t>标准及规范</w:t>
      </w:r>
    </w:p>
    <w:p w14:paraId="42933F7E">
      <w:pPr>
        <w:spacing w:line="360" w:lineRule="auto"/>
        <w:ind w:left="218" w:right="225" w:firstLine="480"/>
        <w:rPr>
          <w:rFonts w:hint="default" w:ascii="Arial" w:hAnsi="Arial" w:eastAsia="宋体" w:cs="Arial"/>
          <w:sz w:val="24"/>
          <w:lang w:val="en-US" w:eastAsia="zh-CN"/>
        </w:rPr>
      </w:pPr>
      <w:r>
        <w:rPr>
          <w:rFonts w:ascii="Arial" w:hAnsi="Arial" w:cs="Arial"/>
          <w:sz w:val="24"/>
        </w:rPr>
        <w:t>本设施的设计、制造、检验、验收应遵照但不限于以下标准和规范</w:t>
      </w:r>
      <w:r>
        <w:rPr>
          <w:rFonts w:hint="eastAsia" w:ascii="Arial" w:hAnsi="Arial" w:cs="Arial"/>
          <w:sz w:val="24"/>
          <w:lang w:eastAsia="zh-CN"/>
        </w:rPr>
        <w:t>，</w:t>
      </w:r>
      <w:r>
        <w:rPr>
          <w:rFonts w:hint="eastAsia" w:ascii="Arial" w:hAnsi="Arial" w:cs="Arial"/>
          <w:sz w:val="24"/>
          <w:lang w:val="en-US" w:eastAsia="zh-CN"/>
        </w:rPr>
        <w:t>以下规范若有更新版本，采用较新版本。</w:t>
      </w:r>
    </w:p>
    <w:tbl>
      <w:tblPr>
        <w:tblStyle w:val="7"/>
        <w:tblW w:w="53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6"/>
        <w:gridCol w:w="6273"/>
        <w:gridCol w:w="2292"/>
      </w:tblGrid>
      <w:tr w14:paraId="5FD4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2A04059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w:t>
            </w:r>
          </w:p>
        </w:tc>
        <w:tc>
          <w:tcPr>
            <w:tcW w:w="3457" w:type="pct"/>
            <w:shd w:val="clear" w:color="auto" w:fill="auto"/>
            <w:noWrap/>
            <w:vAlign w:val="center"/>
          </w:tcPr>
          <w:p w14:paraId="65701B0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《工业设备及管道绝热工程设计规范》</w:t>
            </w:r>
          </w:p>
        </w:tc>
        <w:tc>
          <w:tcPr>
            <w:tcW w:w="1263" w:type="pct"/>
            <w:shd w:val="clear" w:color="auto" w:fill="auto"/>
            <w:noWrap/>
            <w:vAlign w:val="center"/>
          </w:tcPr>
          <w:p w14:paraId="0A3623A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 50264-2013</w:t>
            </w:r>
          </w:p>
        </w:tc>
      </w:tr>
      <w:tr w14:paraId="5B5EA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1CCB65A">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w:t>
            </w:r>
          </w:p>
        </w:tc>
        <w:tc>
          <w:tcPr>
            <w:tcW w:w="3457" w:type="pct"/>
            <w:shd w:val="clear" w:color="auto" w:fill="auto"/>
            <w:noWrap/>
            <w:vAlign w:val="center"/>
          </w:tcPr>
          <w:p w14:paraId="11B4B04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《工业设备及管道绝热工程施工规范》</w:t>
            </w:r>
          </w:p>
        </w:tc>
        <w:tc>
          <w:tcPr>
            <w:tcW w:w="1263" w:type="pct"/>
            <w:shd w:val="clear" w:color="auto" w:fill="auto"/>
            <w:noWrap/>
            <w:vAlign w:val="center"/>
          </w:tcPr>
          <w:p w14:paraId="15899D9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 50126-2008</w:t>
            </w:r>
          </w:p>
        </w:tc>
      </w:tr>
      <w:tr w14:paraId="30AE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546D614C">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w:t>
            </w:r>
          </w:p>
        </w:tc>
        <w:tc>
          <w:tcPr>
            <w:tcW w:w="3457" w:type="pct"/>
            <w:shd w:val="clear" w:color="auto" w:fill="auto"/>
            <w:noWrap/>
            <w:vAlign w:val="center"/>
          </w:tcPr>
          <w:p w14:paraId="48930BF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《风机、压缩机、泵安装工程施工及验收规范》</w:t>
            </w:r>
          </w:p>
        </w:tc>
        <w:tc>
          <w:tcPr>
            <w:tcW w:w="1263" w:type="pct"/>
            <w:shd w:val="clear" w:color="auto" w:fill="auto"/>
            <w:noWrap/>
            <w:vAlign w:val="center"/>
          </w:tcPr>
          <w:p w14:paraId="28556E2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GB50275-2010</w:t>
            </w:r>
          </w:p>
        </w:tc>
      </w:tr>
      <w:tr w14:paraId="6DB4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C093959">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w:t>
            </w:r>
          </w:p>
        </w:tc>
        <w:tc>
          <w:tcPr>
            <w:tcW w:w="3457" w:type="pct"/>
            <w:shd w:val="clear" w:color="auto" w:fill="auto"/>
            <w:noWrap/>
            <w:vAlign w:val="center"/>
          </w:tcPr>
          <w:p w14:paraId="0FA5233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《工业企业噪声控制设计规范》</w:t>
            </w:r>
          </w:p>
        </w:tc>
        <w:tc>
          <w:tcPr>
            <w:tcW w:w="1263" w:type="pct"/>
            <w:shd w:val="clear" w:color="auto" w:fill="auto"/>
            <w:noWrap/>
            <w:vAlign w:val="center"/>
          </w:tcPr>
          <w:p w14:paraId="5BF8080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GB/T50087-2013</w:t>
            </w:r>
          </w:p>
        </w:tc>
      </w:tr>
      <w:tr w14:paraId="2CD8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2F9C8087">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w:t>
            </w:r>
          </w:p>
        </w:tc>
        <w:tc>
          <w:tcPr>
            <w:tcW w:w="3457" w:type="pct"/>
            <w:shd w:val="clear" w:color="auto" w:fill="auto"/>
            <w:noWrap/>
            <w:vAlign w:val="center"/>
          </w:tcPr>
          <w:p w14:paraId="2B488F5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《化工粉体工程设计通用规范》</w:t>
            </w:r>
          </w:p>
        </w:tc>
        <w:tc>
          <w:tcPr>
            <w:tcW w:w="1263" w:type="pct"/>
            <w:shd w:val="clear" w:color="auto" w:fill="auto"/>
            <w:noWrap/>
            <w:vAlign w:val="center"/>
          </w:tcPr>
          <w:p w14:paraId="02FF6ED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HG/T20518-2008</w:t>
            </w:r>
          </w:p>
        </w:tc>
      </w:tr>
      <w:tr w14:paraId="3082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66174C00">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6</w:t>
            </w:r>
          </w:p>
        </w:tc>
        <w:tc>
          <w:tcPr>
            <w:tcW w:w="3457" w:type="pct"/>
            <w:shd w:val="clear" w:color="auto" w:fill="auto"/>
            <w:noWrap/>
            <w:vAlign w:val="center"/>
          </w:tcPr>
          <w:p w14:paraId="3F7ABFC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《化工粉体物料机械输送设计技术规定》</w:t>
            </w:r>
          </w:p>
        </w:tc>
        <w:tc>
          <w:tcPr>
            <w:tcW w:w="1263" w:type="pct"/>
            <w:shd w:val="clear" w:color="auto" w:fill="auto"/>
            <w:noWrap/>
            <w:vAlign w:val="center"/>
          </w:tcPr>
          <w:p w14:paraId="0E6D5EC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HG/T 20662-1999</w:t>
            </w:r>
          </w:p>
        </w:tc>
      </w:tr>
      <w:tr w14:paraId="6819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D5525CF">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7</w:t>
            </w:r>
          </w:p>
        </w:tc>
        <w:tc>
          <w:tcPr>
            <w:tcW w:w="3457" w:type="pct"/>
            <w:shd w:val="clear" w:color="auto" w:fill="auto"/>
            <w:noWrap/>
            <w:vAlign w:val="center"/>
          </w:tcPr>
          <w:p w14:paraId="271C356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《袋式除尘工程通用技术规范》</w:t>
            </w:r>
          </w:p>
        </w:tc>
        <w:tc>
          <w:tcPr>
            <w:tcW w:w="1263" w:type="pct"/>
            <w:shd w:val="clear" w:color="auto" w:fill="auto"/>
            <w:noWrap/>
            <w:vAlign w:val="center"/>
          </w:tcPr>
          <w:p w14:paraId="116274D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HJ 2020-2012</w:t>
            </w:r>
          </w:p>
        </w:tc>
      </w:tr>
      <w:tr w14:paraId="4B1B1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4450ED40">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8</w:t>
            </w:r>
          </w:p>
        </w:tc>
        <w:tc>
          <w:tcPr>
            <w:tcW w:w="3457" w:type="pct"/>
            <w:shd w:val="clear" w:color="auto" w:fill="auto"/>
            <w:noWrap/>
            <w:vAlign w:val="center"/>
          </w:tcPr>
          <w:p w14:paraId="794935B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《螺旋给料机技术条件》</w:t>
            </w:r>
          </w:p>
        </w:tc>
        <w:tc>
          <w:tcPr>
            <w:tcW w:w="1263" w:type="pct"/>
            <w:shd w:val="clear" w:color="auto" w:fill="auto"/>
            <w:noWrap/>
            <w:vAlign w:val="center"/>
          </w:tcPr>
          <w:p w14:paraId="7CF7CF5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JB/T 5363-2007</w:t>
            </w:r>
          </w:p>
        </w:tc>
      </w:tr>
      <w:tr w14:paraId="213D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3E6E686">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9</w:t>
            </w:r>
          </w:p>
        </w:tc>
        <w:tc>
          <w:tcPr>
            <w:tcW w:w="3457" w:type="pct"/>
            <w:shd w:val="clear" w:color="auto" w:fill="auto"/>
            <w:noWrap/>
            <w:vAlign w:val="center"/>
          </w:tcPr>
          <w:p w14:paraId="5DEDA4C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《一般货物运输包装通用技术条件》</w:t>
            </w:r>
          </w:p>
        </w:tc>
        <w:tc>
          <w:tcPr>
            <w:tcW w:w="1263" w:type="pct"/>
            <w:shd w:val="clear" w:color="auto" w:fill="auto"/>
            <w:noWrap/>
            <w:vAlign w:val="center"/>
          </w:tcPr>
          <w:p w14:paraId="04C9457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GB9174-2008</w:t>
            </w:r>
          </w:p>
        </w:tc>
      </w:tr>
      <w:tr w14:paraId="1E33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6C6211C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10</w:t>
            </w:r>
          </w:p>
        </w:tc>
        <w:tc>
          <w:tcPr>
            <w:tcW w:w="3457" w:type="pct"/>
            <w:shd w:val="clear" w:color="auto" w:fill="auto"/>
            <w:noWrap/>
            <w:vAlign w:val="center"/>
          </w:tcPr>
          <w:p w14:paraId="2E60D5E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《机电产品包装通用技术要求》</w:t>
            </w:r>
          </w:p>
        </w:tc>
        <w:tc>
          <w:tcPr>
            <w:tcW w:w="1263" w:type="pct"/>
            <w:shd w:val="clear" w:color="auto" w:fill="auto"/>
            <w:noWrap/>
            <w:vAlign w:val="center"/>
          </w:tcPr>
          <w:p w14:paraId="1120A98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GB/T13384-2008</w:t>
            </w:r>
          </w:p>
        </w:tc>
      </w:tr>
      <w:tr w14:paraId="615F2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EAEED1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11</w:t>
            </w:r>
          </w:p>
        </w:tc>
        <w:tc>
          <w:tcPr>
            <w:tcW w:w="3457" w:type="pct"/>
            <w:shd w:val="clear" w:color="auto" w:fill="auto"/>
            <w:noWrap/>
            <w:vAlign w:val="center"/>
          </w:tcPr>
          <w:p w14:paraId="51C11E5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《压力容器涂覆与运输包装》</w:t>
            </w:r>
          </w:p>
        </w:tc>
        <w:tc>
          <w:tcPr>
            <w:tcW w:w="1263" w:type="pct"/>
            <w:shd w:val="clear" w:color="auto" w:fill="auto"/>
            <w:noWrap/>
            <w:vAlign w:val="center"/>
          </w:tcPr>
          <w:p w14:paraId="1DE9707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JB/T4711-2003</w:t>
            </w:r>
          </w:p>
        </w:tc>
      </w:tr>
      <w:tr w14:paraId="67D27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4E8D08D">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12</w:t>
            </w:r>
          </w:p>
        </w:tc>
        <w:tc>
          <w:tcPr>
            <w:tcW w:w="3457" w:type="pct"/>
            <w:shd w:val="clear" w:color="auto" w:fill="auto"/>
            <w:noWrap/>
            <w:vAlign w:val="center"/>
          </w:tcPr>
          <w:p w14:paraId="086A8E5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《特种气体系统工程技术规范》</w:t>
            </w:r>
          </w:p>
        </w:tc>
        <w:tc>
          <w:tcPr>
            <w:tcW w:w="1263" w:type="pct"/>
            <w:shd w:val="clear" w:color="auto" w:fill="auto"/>
            <w:noWrap/>
            <w:vAlign w:val="center"/>
          </w:tcPr>
          <w:p w14:paraId="6633F9B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GB50646-2020</w:t>
            </w:r>
          </w:p>
        </w:tc>
      </w:tr>
      <w:tr w14:paraId="7286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58E1225E">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13</w:t>
            </w:r>
          </w:p>
        </w:tc>
        <w:tc>
          <w:tcPr>
            <w:tcW w:w="3457" w:type="pct"/>
            <w:shd w:val="clear" w:color="auto" w:fill="auto"/>
            <w:noWrap/>
            <w:vAlign w:val="center"/>
          </w:tcPr>
          <w:p w14:paraId="2823C0D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《自动化仪表工程施工及质量验收规范》</w:t>
            </w:r>
          </w:p>
        </w:tc>
        <w:tc>
          <w:tcPr>
            <w:tcW w:w="1263" w:type="pct"/>
            <w:shd w:val="clear" w:color="auto" w:fill="auto"/>
            <w:noWrap/>
            <w:vAlign w:val="center"/>
          </w:tcPr>
          <w:p w14:paraId="09817BB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GB50093-2013</w:t>
            </w:r>
          </w:p>
        </w:tc>
      </w:tr>
      <w:tr w14:paraId="536A5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1D25014">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14</w:t>
            </w:r>
          </w:p>
        </w:tc>
        <w:tc>
          <w:tcPr>
            <w:tcW w:w="3457" w:type="pct"/>
            <w:shd w:val="clear" w:color="auto" w:fill="auto"/>
            <w:noWrap/>
            <w:vAlign w:val="center"/>
          </w:tcPr>
          <w:p w14:paraId="03D2FFE4">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《工业金属管道工程施工规范》</w:t>
            </w:r>
          </w:p>
        </w:tc>
        <w:tc>
          <w:tcPr>
            <w:tcW w:w="1263" w:type="pct"/>
            <w:shd w:val="clear" w:color="auto" w:fill="auto"/>
            <w:noWrap/>
            <w:vAlign w:val="center"/>
          </w:tcPr>
          <w:p w14:paraId="6FBF4DA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GB50235-2010</w:t>
            </w:r>
          </w:p>
        </w:tc>
      </w:tr>
      <w:tr w14:paraId="5AC6D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91EA28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15</w:t>
            </w:r>
          </w:p>
        </w:tc>
        <w:tc>
          <w:tcPr>
            <w:tcW w:w="3457" w:type="pct"/>
            <w:shd w:val="clear" w:color="auto" w:fill="auto"/>
            <w:noWrap/>
            <w:vAlign w:val="center"/>
          </w:tcPr>
          <w:p w14:paraId="584A1CE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《现场设备、工业管道焊接工程施工及验收规范》</w:t>
            </w:r>
          </w:p>
        </w:tc>
        <w:tc>
          <w:tcPr>
            <w:tcW w:w="1263" w:type="pct"/>
            <w:shd w:val="clear" w:color="auto" w:fill="auto"/>
            <w:noWrap/>
            <w:vAlign w:val="center"/>
          </w:tcPr>
          <w:p w14:paraId="4C9CC3E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GB50236-2011</w:t>
            </w:r>
          </w:p>
        </w:tc>
      </w:tr>
      <w:tr w14:paraId="170C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0DD2771">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16</w:t>
            </w:r>
          </w:p>
        </w:tc>
        <w:tc>
          <w:tcPr>
            <w:tcW w:w="3457" w:type="pct"/>
            <w:shd w:val="clear" w:color="auto" w:fill="auto"/>
            <w:noWrap/>
            <w:vAlign w:val="center"/>
          </w:tcPr>
          <w:p w14:paraId="60B4567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《电子工厂化学品系统工程技术规范》</w:t>
            </w:r>
          </w:p>
        </w:tc>
        <w:tc>
          <w:tcPr>
            <w:tcW w:w="1263" w:type="pct"/>
            <w:shd w:val="clear" w:color="auto" w:fill="auto"/>
            <w:noWrap/>
            <w:vAlign w:val="center"/>
          </w:tcPr>
          <w:p w14:paraId="666CB1A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GB50781-2012</w:t>
            </w:r>
          </w:p>
        </w:tc>
      </w:tr>
      <w:tr w14:paraId="40167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60CCE21A">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17</w:t>
            </w:r>
          </w:p>
        </w:tc>
        <w:tc>
          <w:tcPr>
            <w:tcW w:w="3457" w:type="pct"/>
            <w:shd w:val="clear" w:color="auto" w:fill="auto"/>
            <w:noWrap/>
            <w:vAlign w:val="center"/>
          </w:tcPr>
          <w:p w14:paraId="717156A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《机械设备安装工程施工验收通用规范》</w:t>
            </w:r>
          </w:p>
        </w:tc>
        <w:tc>
          <w:tcPr>
            <w:tcW w:w="1263" w:type="pct"/>
            <w:shd w:val="clear" w:color="auto" w:fill="auto"/>
            <w:noWrap/>
            <w:vAlign w:val="center"/>
          </w:tcPr>
          <w:p w14:paraId="459F8FF4">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GB20531</w:t>
            </w:r>
          </w:p>
        </w:tc>
      </w:tr>
      <w:tr w14:paraId="175C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4F0B565E">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18</w:t>
            </w:r>
          </w:p>
        </w:tc>
        <w:tc>
          <w:tcPr>
            <w:tcW w:w="3457" w:type="pct"/>
            <w:shd w:val="clear" w:color="auto" w:fill="auto"/>
            <w:noWrap/>
            <w:vAlign w:val="center"/>
          </w:tcPr>
          <w:p w14:paraId="0E9FAE1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《工业设备及管道防腐蚀工程施工规范》</w:t>
            </w:r>
          </w:p>
        </w:tc>
        <w:tc>
          <w:tcPr>
            <w:tcW w:w="1263" w:type="pct"/>
            <w:shd w:val="clear" w:color="auto" w:fill="auto"/>
            <w:noWrap/>
            <w:vAlign w:val="center"/>
          </w:tcPr>
          <w:p w14:paraId="1FFD4B08">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GB50726</w:t>
            </w:r>
          </w:p>
        </w:tc>
      </w:tr>
      <w:tr w14:paraId="37B3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61B80DB6">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19</w:t>
            </w:r>
          </w:p>
        </w:tc>
        <w:tc>
          <w:tcPr>
            <w:tcW w:w="3457" w:type="pct"/>
            <w:shd w:val="clear" w:color="auto" w:fill="auto"/>
            <w:noWrap/>
            <w:vAlign w:val="center"/>
          </w:tcPr>
          <w:p w14:paraId="1405B78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《工业设备及管道防腐蚀工程施工质量验收规范》</w:t>
            </w:r>
          </w:p>
        </w:tc>
        <w:tc>
          <w:tcPr>
            <w:tcW w:w="1263" w:type="pct"/>
            <w:shd w:val="clear" w:color="auto" w:fill="auto"/>
            <w:noWrap/>
            <w:vAlign w:val="center"/>
          </w:tcPr>
          <w:p w14:paraId="5F32990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GB50727</w:t>
            </w:r>
          </w:p>
        </w:tc>
      </w:tr>
      <w:tr w14:paraId="0E645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721B74C1">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20</w:t>
            </w:r>
          </w:p>
        </w:tc>
        <w:tc>
          <w:tcPr>
            <w:tcW w:w="3457" w:type="pct"/>
            <w:shd w:val="clear" w:color="auto" w:fill="auto"/>
            <w:noWrap/>
            <w:vAlign w:val="center"/>
          </w:tcPr>
          <w:p w14:paraId="66AD118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《压力管道安全技术监察规程</w:t>
            </w:r>
            <w:r>
              <w:rPr>
                <w:rStyle w:val="12"/>
                <w:rFonts w:hint="default" w:ascii="Times New Roman" w:hAnsi="Times New Roman" w:eastAsia="宋体" w:cs="Times New Roman"/>
                <w:lang w:val="en-US" w:eastAsia="zh-CN" w:bidi="ar"/>
                <w14:ligatures w14:val="standardContextual"/>
              </w:rPr>
              <w:t>-</w:t>
            </w:r>
            <w:r>
              <w:rPr>
                <w:rStyle w:val="11"/>
                <w:rFonts w:hint="default" w:ascii="Times New Roman" w:hAnsi="Times New Roman" w:cs="Times New Roman"/>
                <w:lang w:val="en-US" w:eastAsia="zh-CN" w:bidi="ar"/>
                <w14:ligatures w14:val="standardContextual"/>
              </w:rPr>
              <w:t>工业管道》</w:t>
            </w:r>
          </w:p>
        </w:tc>
        <w:tc>
          <w:tcPr>
            <w:tcW w:w="1263" w:type="pct"/>
            <w:shd w:val="clear" w:color="auto" w:fill="auto"/>
            <w:noWrap/>
            <w:vAlign w:val="center"/>
          </w:tcPr>
          <w:p w14:paraId="2533518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TSG D0001-2009</w:t>
            </w:r>
          </w:p>
        </w:tc>
      </w:tr>
      <w:tr w14:paraId="3E8E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70DB61CB">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21</w:t>
            </w:r>
          </w:p>
        </w:tc>
        <w:tc>
          <w:tcPr>
            <w:tcW w:w="3457" w:type="pct"/>
            <w:shd w:val="clear" w:color="auto" w:fill="auto"/>
            <w:noWrap/>
            <w:vAlign w:val="center"/>
          </w:tcPr>
          <w:p w14:paraId="5DDF62A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w:t>
            </w:r>
            <w:r>
              <w:rPr>
                <w:rStyle w:val="11"/>
                <w:rFonts w:hint="default" w:ascii="Times New Roman" w:hAnsi="Times New Roman" w:cs="Times New Roman"/>
                <w:lang w:val="en-US" w:eastAsia="zh-CN" w:bidi="ar"/>
                <w14:ligatures w14:val="standardContextual"/>
              </w:rPr>
              <w:t>《压力管道规范工业管道》</w:t>
            </w:r>
          </w:p>
        </w:tc>
        <w:tc>
          <w:tcPr>
            <w:tcW w:w="1263" w:type="pct"/>
            <w:shd w:val="clear" w:color="auto" w:fill="auto"/>
            <w:noWrap/>
            <w:vAlign w:val="center"/>
          </w:tcPr>
          <w:p w14:paraId="6B022E5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 20801-2006</w:t>
            </w:r>
          </w:p>
        </w:tc>
      </w:tr>
      <w:tr w14:paraId="0F16E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A948C24">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22</w:t>
            </w:r>
          </w:p>
        </w:tc>
        <w:tc>
          <w:tcPr>
            <w:tcW w:w="3457" w:type="pct"/>
            <w:shd w:val="clear" w:color="auto" w:fill="auto"/>
            <w:noWrap/>
            <w:vAlign w:val="center"/>
          </w:tcPr>
          <w:p w14:paraId="439D7D3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《工业金属管道设计规范》</w:t>
            </w:r>
          </w:p>
        </w:tc>
        <w:tc>
          <w:tcPr>
            <w:tcW w:w="1263" w:type="pct"/>
            <w:shd w:val="clear" w:color="auto" w:fill="auto"/>
            <w:noWrap/>
            <w:vAlign w:val="center"/>
          </w:tcPr>
          <w:p w14:paraId="047285B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kern w:val="0"/>
                <w:sz w:val="24"/>
                <w:szCs w:val="24"/>
                <w:u w:val="none"/>
                <w:lang w:val="en-US" w:eastAsia="zh-CN" w:bidi="ar"/>
                <w14:ligatures w14:val="standardContextual"/>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GB50316-2000</w:t>
            </w:r>
          </w:p>
          <w:p w14:paraId="33A3551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(200</w:t>
            </w:r>
            <w:r>
              <w:rPr>
                <w:rFonts w:hint="eastAsia" w:cs="Times New Roman"/>
                <w:i w:val="0"/>
                <w:iCs w:val="0"/>
                <w:color w:val="000000"/>
                <w:kern w:val="0"/>
                <w:sz w:val="24"/>
                <w:szCs w:val="24"/>
                <w:u w:val="none"/>
                <w:lang w:val="en-US" w:eastAsia="zh-CN" w:bidi="ar"/>
                <w14:ligatures w14:val="standardContextual"/>
              </w:rPr>
              <w:t>8</w:t>
            </w:r>
            <w:r>
              <w:rPr>
                <w:rStyle w:val="11"/>
                <w:rFonts w:hint="default" w:ascii="Times New Roman" w:hAnsi="Times New Roman" w:cs="Times New Roman"/>
                <w:lang w:val="en-US" w:eastAsia="zh-CN" w:bidi="ar"/>
                <w14:ligatures w14:val="standardContextual"/>
              </w:rPr>
              <w:t>年版</w:t>
            </w:r>
            <w:r>
              <w:rPr>
                <w:rStyle w:val="11"/>
                <w:rFonts w:hint="eastAsia" w:cs="Times New Roman"/>
                <w:lang w:val="en-US" w:eastAsia="zh-CN" w:bidi="ar"/>
                <w14:ligatures w14:val="standardContextual"/>
              </w:rPr>
              <w:t>）</w:t>
            </w:r>
          </w:p>
        </w:tc>
      </w:tr>
      <w:tr w14:paraId="257CF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FE1686D">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23</w:t>
            </w:r>
          </w:p>
        </w:tc>
        <w:tc>
          <w:tcPr>
            <w:tcW w:w="3457" w:type="pct"/>
            <w:shd w:val="clear" w:color="auto" w:fill="auto"/>
            <w:noWrap/>
            <w:vAlign w:val="center"/>
          </w:tcPr>
          <w:p w14:paraId="4ABDCBA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《钢制管法兰（</w:t>
            </w:r>
            <w:r>
              <w:rPr>
                <w:rStyle w:val="12"/>
                <w:rFonts w:hint="default" w:ascii="Times New Roman" w:hAnsi="Times New Roman" w:eastAsia="宋体" w:cs="Times New Roman"/>
                <w:lang w:val="en-US" w:eastAsia="zh-CN" w:bidi="ar"/>
                <w14:ligatures w14:val="standardContextual"/>
              </w:rPr>
              <w:t>PN</w:t>
            </w:r>
            <w:r>
              <w:rPr>
                <w:rStyle w:val="11"/>
                <w:rFonts w:hint="default" w:ascii="Times New Roman" w:hAnsi="Times New Roman" w:cs="Times New Roman"/>
                <w:lang w:val="en-US" w:eastAsia="zh-CN" w:bidi="ar"/>
                <w14:ligatures w14:val="standardContextual"/>
              </w:rPr>
              <w:t>系列）》</w:t>
            </w:r>
          </w:p>
        </w:tc>
        <w:tc>
          <w:tcPr>
            <w:tcW w:w="1263" w:type="pct"/>
            <w:shd w:val="clear" w:color="auto" w:fill="auto"/>
            <w:noWrap/>
            <w:vAlign w:val="center"/>
          </w:tcPr>
          <w:p w14:paraId="465B58B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HG/T20592-2009</w:t>
            </w:r>
          </w:p>
        </w:tc>
      </w:tr>
      <w:tr w14:paraId="113E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453D31C">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24</w:t>
            </w:r>
          </w:p>
        </w:tc>
        <w:tc>
          <w:tcPr>
            <w:tcW w:w="3457" w:type="pct"/>
            <w:shd w:val="clear" w:color="auto" w:fill="auto"/>
            <w:noWrap/>
            <w:vAlign w:val="center"/>
          </w:tcPr>
          <w:p w14:paraId="7B2FBAD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《输送流体用无缝钢管》</w:t>
            </w:r>
          </w:p>
        </w:tc>
        <w:tc>
          <w:tcPr>
            <w:tcW w:w="1263" w:type="pct"/>
            <w:shd w:val="clear" w:color="auto" w:fill="auto"/>
            <w:noWrap/>
            <w:vAlign w:val="center"/>
          </w:tcPr>
          <w:p w14:paraId="504F05D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GB/T8163-2008</w:t>
            </w:r>
          </w:p>
        </w:tc>
      </w:tr>
      <w:tr w14:paraId="35C0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299C5FC1">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25</w:t>
            </w:r>
          </w:p>
        </w:tc>
        <w:tc>
          <w:tcPr>
            <w:tcW w:w="3457" w:type="pct"/>
            <w:shd w:val="clear" w:color="auto" w:fill="auto"/>
            <w:noWrap/>
            <w:vAlign w:val="center"/>
          </w:tcPr>
          <w:p w14:paraId="33E5236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《输送流体用不锈钢无缝钢管》</w:t>
            </w:r>
          </w:p>
        </w:tc>
        <w:tc>
          <w:tcPr>
            <w:tcW w:w="1263" w:type="pct"/>
            <w:shd w:val="clear" w:color="auto" w:fill="auto"/>
            <w:noWrap/>
            <w:vAlign w:val="center"/>
          </w:tcPr>
          <w:p w14:paraId="2ADE09DA">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GB/T14976-2012</w:t>
            </w:r>
          </w:p>
        </w:tc>
      </w:tr>
      <w:tr w14:paraId="42099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02CDF5D">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26</w:t>
            </w:r>
          </w:p>
        </w:tc>
        <w:tc>
          <w:tcPr>
            <w:tcW w:w="3457" w:type="pct"/>
            <w:shd w:val="clear" w:color="auto" w:fill="auto"/>
            <w:noWrap/>
            <w:vAlign w:val="center"/>
          </w:tcPr>
          <w:p w14:paraId="028D1238">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《化工配管用无缝及焊接钢管尺寸选用系列》</w:t>
            </w:r>
          </w:p>
        </w:tc>
        <w:tc>
          <w:tcPr>
            <w:tcW w:w="1263" w:type="pct"/>
            <w:shd w:val="clear" w:color="auto" w:fill="auto"/>
            <w:noWrap/>
            <w:vAlign w:val="center"/>
          </w:tcPr>
          <w:p w14:paraId="61C87D2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HG/T20553-2011</w:t>
            </w:r>
          </w:p>
        </w:tc>
      </w:tr>
      <w:tr w14:paraId="3C3E9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7BDBC2FD">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27</w:t>
            </w:r>
          </w:p>
        </w:tc>
        <w:tc>
          <w:tcPr>
            <w:tcW w:w="3457" w:type="pct"/>
            <w:shd w:val="clear" w:color="auto" w:fill="auto"/>
            <w:noWrap/>
            <w:vAlign w:val="center"/>
          </w:tcPr>
          <w:p w14:paraId="15CED0C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《钢制对焊无缝管件》</w:t>
            </w:r>
            <w:r>
              <w:rPr>
                <w:rStyle w:val="12"/>
                <w:rFonts w:hint="default" w:ascii="Times New Roman" w:hAnsi="Times New Roman" w:eastAsia="宋体" w:cs="Times New Roman"/>
                <w:lang w:val="en-US" w:eastAsia="zh-CN" w:bidi="ar"/>
                <w14:ligatures w14:val="standardContextual"/>
              </w:rPr>
              <w:t xml:space="preserve"> </w:t>
            </w:r>
          </w:p>
        </w:tc>
        <w:tc>
          <w:tcPr>
            <w:tcW w:w="1263" w:type="pct"/>
            <w:shd w:val="clear" w:color="auto" w:fill="auto"/>
            <w:noWrap/>
            <w:vAlign w:val="center"/>
          </w:tcPr>
          <w:p w14:paraId="1C4A673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GB/T12459-2017</w:t>
            </w:r>
          </w:p>
        </w:tc>
      </w:tr>
      <w:tr w14:paraId="1D709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4235A9E1">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28</w:t>
            </w:r>
          </w:p>
        </w:tc>
        <w:tc>
          <w:tcPr>
            <w:tcW w:w="3457" w:type="pct"/>
            <w:shd w:val="clear" w:color="auto" w:fill="auto"/>
            <w:noWrap/>
            <w:vAlign w:val="center"/>
          </w:tcPr>
          <w:p w14:paraId="0CEC2C7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《钢制管法兰用非金属平</w:t>
            </w:r>
            <w:r>
              <w:rPr>
                <w:rStyle w:val="11"/>
                <w:rFonts w:hint="eastAsia" w:cs="Times New Roman"/>
                <w:lang w:val="en-US" w:eastAsia="zh-CN" w:bidi="ar"/>
                <w14:ligatures w14:val="standardContextual"/>
              </w:rPr>
              <w:t>垫片》</w:t>
            </w:r>
          </w:p>
        </w:tc>
        <w:tc>
          <w:tcPr>
            <w:tcW w:w="1263" w:type="pct"/>
            <w:shd w:val="clear" w:color="auto" w:fill="auto"/>
            <w:noWrap/>
            <w:vAlign w:val="center"/>
          </w:tcPr>
          <w:p w14:paraId="3AE8389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HG/T20606-2009</w:t>
            </w:r>
          </w:p>
        </w:tc>
      </w:tr>
      <w:tr w14:paraId="776B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4FBA8CF">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29</w:t>
            </w:r>
          </w:p>
        </w:tc>
        <w:tc>
          <w:tcPr>
            <w:tcW w:w="3457" w:type="pct"/>
            <w:shd w:val="clear" w:color="auto" w:fill="auto"/>
            <w:noWrap/>
            <w:vAlign w:val="center"/>
          </w:tcPr>
          <w:p w14:paraId="6B1023A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w:t>
            </w:r>
            <w:r>
              <w:rPr>
                <w:rStyle w:val="11"/>
                <w:rFonts w:hint="default" w:ascii="Times New Roman" w:hAnsi="Times New Roman" w:cs="Times New Roman"/>
                <w:lang w:val="en-US" w:eastAsia="zh-CN" w:bidi="ar"/>
                <w14:ligatures w14:val="standardContextual"/>
              </w:rPr>
              <w:t>《钢制管法兰用紧固件（</w:t>
            </w:r>
            <w:r>
              <w:rPr>
                <w:rStyle w:val="12"/>
                <w:rFonts w:hint="default" w:ascii="Times New Roman" w:hAnsi="Times New Roman" w:eastAsia="宋体" w:cs="Times New Roman"/>
                <w:lang w:val="en-US" w:eastAsia="zh-CN" w:bidi="ar"/>
                <w14:ligatures w14:val="standardContextual"/>
              </w:rPr>
              <w:t>PN</w:t>
            </w:r>
            <w:r>
              <w:rPr>
                <w:rStyle w:val="11"/>
                <w:rFonts w:hint="default" w:ascii="Times New Roman" w:hAnsi="Times New Roman" w:cs="Times New Roman"/>
                <w:lang w:val="en-US" w:eastAsia="zh-CN" w:bidi="ar"/>
                <w14:ligatures w14:val="standardContextual"/>
              </w:rPr>
              <w:t>系列）》</w:t>
            </w:r>
          </w:p>
        </w:tc>
        <w:tc>
          <w:tcPr>
            <w:tcW w:w="1263" w:type="pct"/>
            <w:shd w:val="clear" w:color="auto" w:fill="auto"/>
            <w:noWrap/>
            <w:vAlign w:val="center"/>
          </w:tcPr>
          <w:p w14:paraId="16ECFA2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HG/T20613-2009</w:t>
            </w:r>
          </w:p>
        </w:tc>
      </w:tr>
      <w:tr w14:paraId="58C1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19D6CA4">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30</w:t>
            </w:r>
          </w:p>
        </w:tc>
        <w:tc>
          <w:tcPr>
            <w:tcW w:w="3457" w:type="pct"/>
            <w:shd w:val="clear" w:color="auto" w:fill="auto"/>
            <w:noWrap/>
            <w:vAlign w:val="center"/>
          </w:tcPr>
          <w:p w14:paraId="1A8D99B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w:t>
            </w:r>
            <w:r>
              <w:rPr>
                <w:rStyle w:val="11"/>
                <w:rFonts w:hint="default" w:ascii="Times New Roman" w:hAnsi="Times New Roman" w:cs="Times New Roman"/>
                <w:lang w:val="en-US" w:eastAsia="zh-CN" w:bidi="ar"/>
                <w14:ligatures w14:val="standardContextual"/>
              </w:rPr>
              <w:t>《自动化仪表工程施工及验收规范》</w:t>
            </w:r>
          </w:p>
        </w:tc>
        <w:tc>
          <w:tcPr>
            <w:tcW w:w="1263" w:type="pct"/>
            <w:shd w:val="clear" w:color="auto" w:fill="auto"/>
            <w:noWrap/>
            <w:vAlign w:val="center"/>
          </w:tcPr>
          <w:p w14:paraId="5F33751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GB50093-2013</w:t>
            </w:r>
          </w:p>
        </w:tc>
      </w:tr>
      <w:tr w14:paraId="69CF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76282730">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31</w:t>
            </w:r>
          </w:p>
        </w:tc>
        <w:tc>
          <w:tcPr>
            <w:tcW w:w="3457" w:type="pct"/>
            <w:shd w:val="clear" w:color="auto" w:fill="auto"/>
            <w:noWrap/>
            <w:vAlign w:val="center"/>
          </w:tcPr>
          <w:p w14:paraId="6A2A705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w:t>
            </w:r>
            <w:r>
              <w:rPr>
                <w:rStyle w:val="11"/>
                <w:rFonts w:hint="default" w:ascii="Times New Roman" w:hAnsi="Times New Roman" w:cs="Times New Roman"/>
                <w:lang w:val="en-US" w:eastAsia="zh-CN" w:bidi="ar"/>
                <w14:ligatures w14:val="standardContextual"/>
              </w:rPr>
              <w:t>《石油化工自动化仪表选型设计规范》</w:t>
            </w:r>
          </w:p>
        </w:tc>
        <w:tc>
          <w:tcPr>
            <w:tcW w:w="1263" w:type="pct"/>
            <w:shd w:val="clear" w:color="auto" w:fill="auto"/>
            <w:noWrap/>
            <w:vAlign w:val="center"/>
          </w:tcPr>
          <w:p w14:paraId="6B06400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SH/T 3005–2016</w:t>
            </w:r>
          </w:p>
        </w:tc>
      </w:tr>
      <w:tr w14:paraId="586D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54C9FF7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32</w:t>
            </w:r>
          </w:p>
        </w:tc>
        <w:tc>
          <w:tcPr>
            <w:tcW w:w="3457" w:type="pct"/>
            <w:shd w:val="clear" w:color="auto" w:fill="auto"/>
            <w:noWrap/>
            <w:vAlign w:val="center"/>
          </w:tcPr>
          <w:p w14:paraId="2DC265E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w:t>
            </w:r>
            <w:r>
              <w:rPr>
                <w:rStyle w:val="11"/>
                <w:rFonts w:hint="default" w:ascii="Times New Roman" w:hAnsi="Times New Roman" w:cs="Times New Roman"/>
                <w:lang w:val="en-US" w:eastAsia="zh-CN" w:bidi="ar"/>
                <w14:ligatures w14:val="standardContextual"/>
              </w:rPr>
              <w:t>《石油化工分散控制系统设计规范》</w:t>
            </w:r>
          </w:p>
        </w:tc>
        <w:tc>
          <w:tcPr>
            <w:tcW w:w="1263" w:type="pct"/>
            <w:shd w:val="clear" w:color="auto" w:fill="auto"/>
            <w:noWrap/>
            <w:vAlign w:val="center"/>
          </w:tcPr>
          <w:p w14:paraId="7FDBC94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SH/T 3092–2013</w:t>
            </w:r>
          </w:p>
        </w:tc>
      </w:tr>
      <w:tr w14:paraId="5897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4CE0CEDA">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33</w:t>
            </w:r>
          </w:p>
        </w:tc>
        <w:tc>
          <w:tcPr>
            <w:tcW w:w="3457" w:type="pct"/>
            <w:shd w:val="clear" w:color="auto" w:fill="auto"/>
            <w:noWrap/>
            <w:vAlign w:val="center"/>
          </w:tcPr>
          <w:p w14:paraId="3B7F153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 </w:t>
            </w:r>
            <w:r>
              <w:rPr>
                <w:rStyle w:val="11"/>
                <w:rFonts w:hint="default" w:ascii="Times New Roman" w:hAnsi="Times New Roman" w:cs="Times New Roman"/>
                <w:lang w:val="en-US" w:eastAsia="zh-CN" w:bidi="ar"/>
                <w14:ligatures w14:val="standardContextual"/>
              </w:rPr>
              <w:t>《石油化工紧急停车及安全连锁系统设计导则》</w:t>
            </w:r>
          </w:p>
        </w:tc>
        <w:tc>
          <w:tcPr>
            <w:tcW w:w="1263" w:type="pct"/>
            <w:shd w:val="clear" w:color="auto" w:fill="auto"/>
            <w:noWrap/>
            <w:vAlign w:val="center"/>
          </w:tcPr>
          <w:p w14:paraId="506E720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SHB-Z06–1999</w:t>
            </w:r>
          </w:p>
        </w:tc>
      </w:tr>
      <w:tr w14:paraId="0F2B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2F3ECDF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34</w:t>
            </w:r>
          </w:p>
        </w:tc>
        <w:tc>
          <w:tcPr>
            <w:tcW w:w="3457" w:type="pct"/>
            <w:shd w:val="clear" w:color="auto" w:fill="auto"/>
            <w:noWrap/>
            <w:vAlign w:val="center"/>
          </w:tcPr>
          <w:p w14:paraId="6B13ACE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《石油化工仪表管道线路设计规范》</w:t>
            </w:r>
          </w:p>
        </w:tc>
        <w:tc>
          <w:tcPr>
            <w:tcW w:w="1263" w:type="pct"/>
            <w:shd w:val="clear" w:color="auto" w:fill="auto"/>
            <w:noWrap/>
            <w:vAlign w:val="center"/>
          </w:tcPr>
          <w:p w14:paraId="4DA61BB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SH/T 3019-2016</w:t>
            </w:r>
          </w:p>
        </w:tc>
      </w:tr>
      <w:tr w14:paraId="26A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65D8B505">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35</w:t>
            </w:r>
          </w:p>
        </w:tc>
        <w:tc>
          <w:tcPr>
            <w:tcW w:w="3457" w:type="pct"/>
            <w:shd w:val="clear" w:color="auto" w:fill="auto"/>
            <w:noWrap/>
            <w:vAlign w:val="center"/>
          </w:tcPr>
          <w:p w14:paraId="5655367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《供配电系统设计规范》</w:t>
            </w:r>
          </w:p>
        </w:tc>
        <w:tc>
          <w:tcPr>
            <w:tcW w:w="1263" w:type="pct"/>
            <w:shd w:val="clear" w:color="auto" w:fill="auto"/>
            <w:noWrap/>
            <w:vAlign w:val="center"/>
          </w:tcPr>
          <w:p w14:paraId="28629CC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 50052-2009</w:t>
            </w:r>
          </w:p>
        </w:tc>
      </w:tr>
      <w:tr w14:paraId="77F8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1EE5CEE">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36</w:t>
            </w:r>
          </w:p>
        </w:tc>
        <w:tc>
          <w:tcPr>
            <w:tcW w:w="3457" w:type="pct"/>
            <w:shd w:val="clear" w:color="auto" w:fill="auto"/>
            <w:noWrap/>
            <w:vAlign w:val="center"/>
          </w:tcPr>
          <w:p w14:paraId="01669DA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《低压配电设计规范》</w:t>
            </w:r>
          </w:p>
        </w:tc>
        <w:tc>
          <w:tcPr>
            <w:tcW w:w="1263" w:type="pct"/>
            <w:shd w:val="clear" w:color="auto" w:fill="auto"/>
            <w:noWrap/>
            <w:vAlign w:val="center"/>
          </w:tcPr>
          <w:p w14:paraId="4623244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GB50054-2011</w:t>
            </w:r>
          </w:p>
        </w:tc>
      </w:tr>
      <w:tr w14:paraId="316B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FDC678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37</w:t>
            </w:r>
          </w:p>
        </w:tc>
        <w:tc>
          <w:tcPr>
            <w:tcW w:w="3457" w:type="pct"/>
            <w:shd w:val="clear" w:color="auto" w:fill="auto"/>
            <w:noWrap/>
            <w:vAlign w:val="center"/>
          </w:tcPr>
          <w:p w14:paraId="3F67EB8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《石油化工企业供电系统设计规范》</w:t>
            </w:r>
          </w:p>
        </w:tc>
        <w:tc>
          <w:tcPr>
            <w:tcW w:w="1263" w:type="pct"/>
            <w:shd w:val="clear" w:color="auto" w:fill="auto"/>
            <w:noWrap/>
            <w:vAlign w:val="center"/>
          </w:tcPr>
          <w:p w14:paraId="6EE46B2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SH/T 3060-2013</w:t>
            </w:r>
          </w:p>
        </w:tc>
      </w:tr>
      <w:tr w14:paraId="3E9B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0695D29">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38</w:t>
            </w:r>
          </w:p>
        </w:tc>
        <w:tc>
          <w:tcPr>
            <w:tcW w:w="3457" w:type="pct"/>
            <w:shd w:val="clear" w:color="auto" w:fill="auto"/>
            <w:noWrap/>
            <w:vAlign w:val="center"/>
          </w:tcPr>
          <w:p w14:paraId="086E8C5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Style w:val="11"/>
                <w:rFonts w:hint="default" w:ascii="Times New Roman" w:hAnsi="Times New Roman" w:cs="Times New Roman"/>
                <w:lang w:val="en-US" w:eastAsia="zh-CN" w:bidi="ar"/>
                <w14:ligatures w14:val="standardContextual"/>
              </w:rPr>
              <w:t>《石油化工静电接地设计规范》</w:t>
            </w:r>
          </w:p>
        </w:tc>
        <w:tc>
          <w:tcPr>
            <w:tcW w:w="1263" w:type="pct"/>
            <w:shd w:val="clear" w:color="auto" w:fill="auto"/>
            <w:noWrap/>
            <w:vAlign w:val="center"/>
          </w:tcPr>
          <w:p w14:paraId="25B9D028">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SH/T3097-2017</w:t>
            </w:r>
          </w:p>
        </w:tc>
      </w:tr>
      <w:tr w14:paraId="2839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55E00B7D">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39</w:t>
            </w:r>
          </w:p>
        </w:tc>
        <w:tc>
          <w:tcPr>
            <w:tcW w:w="3457" w:type="pct"/>
            <w:shd w:val="clear" w:color="auto" w:fill="auto"/>
            <w:noWrap/>
            <w:vAlign w:val="center"/>
          </w:tcPr>
          <w:p w14:paraId="5223882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《气瓶减压器安全规范》</w:t>
            </w:r>
          </w:p>
        </w:tc>
        <w:tc>
          <w:tcPr>
            <w:tcW w:w="1263" w:type="pct"/>
            <w:shd w:val="clear" w:color="auto" w:fill="auto"/>
            <w:noWrap/>
            <w:vAlign w:val="center"/>
          </w:tcPr>
          <w:p w14:paraId="3AD79D7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 14525-2010</w:t>
            </w:r>
          </w:p>
        </w:tc>
      </w:tr>
      <w:tr w14:paraId="03FA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23356AA">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40</w:t>
            </w:r>
          </w:p>
        </w:tc>
        <w:tc>
          <w:tcPr>
            <w:tcW w:w="3457" w:type="pct"/>
            <w:shd w:val="clear" w:color="auto" w:fill="auto"/>
            <w:noWrap/>
            <w:vAlign w:val="center"/>
          </w:tcPr>
          <w:p w14:paraId="16350C5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《气瓶安全技术规程（压力容器部分）》</w:t>
            </w:r>
          </w:p>
        </w:tc>
        <w:tc>
          <w:tcPr>
            <w:tcW w:w="1263" w:type="pct"/>
            <w:shd w:val="clear" w:color="auto" w:fill="auto"/>
            <w:noWrap/>
            <w:vAlign w:val="center"/>
          </w:tcPr>
          <w:p w14:paraId="7002B7B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TSG 23-2021</w:t>
            </w:r>
          </w:p>
        </w:tc>
      </w:tr>
      <w:tr w14:paraId="7DF9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591FC073">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41</w:t>
            </w:r>
          </w:p>
        </w:tc>
        <w:tc>
          <w:tcPr>
            <w:tcW w:w="3457" w:type="pct"/>
            <w:shd w:val="clear" w:color="auto" w:fill="auto"/>
            <w:noWrap/>
            <w:vAlign w:val="center"/>
          </w:tcPr>
          <w:p w14:paraId="59058C8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w:t>
            </w:r>
            <w:r>
              <w:rPr>
                <w:rFonts w:hint="eastAsia" w:cs="Times New Roman"/>
                <w:i w:val="0"/>
                <w:iCs w:val="0"/>
                <w:color w:val="000000"/>
                <w:kern w:val="0"/>
                <w:sz w:val="24"/>
                <w:szCs w:val="24"/>
                <w:u w:val="none"/>
                <w:lang w:val="en-US" w:eastAsia="zh-CN" w:bidi="ar"/>
                <w14:ligatures w14:val="standardContextual"/>
              </w:rPr>
              <w:t>流体</w:t>
            </w:r>
            <w:r>
              <w:rPr>
                <w:rFonts w:hint="default" w:ascii="Times New Roman" w:hAnsi="Times New Roman" w:eastAsia="宋体" w:cs="Times New Roman"/>
                <w:i w:val="0"/>
                <w:iCs w:val="0"/>
                <w:color w:val="000000"/>
                <w:kern w:val="0"/>
                <w:sz w:val="24"/>
                <w:szCs w:val="24"/>
                <w:u w:val="none"/>
                <w:lang w:val="en-US" w:eastAsia="zh-CN" w:bidi="ar"/>
                <w14:ligatures w14:val="standardContextual"/>
              </w:rPr>
              <w:t>输送用不锈钢无缝钢管》（</w:t>
            </w:r>
            <w:r>
              <w:rPr>
                <w:rStyle w:val="12"/>
                <w:rFonts w:hint="default" w:ascii="Times New Roman" w:hAnsi="Times New Roman" w:eastAsia="宋体" w:cs="Times New Roman"/>
                <w:lang w:val="en-US" w:eastAsia="zh-CN" w:bidi="ar"/>
                <w14:ligatures w14:val="standardContextual"/>
              </w:rPr>
              <w:t>316L</w:t>
            </w:r>
            <w:r>
              <w:rPr>
                <w:rStyle w:val="11"/>
                <w:rFonts w:hint="default" w:ascii="Times New Roman" w:hAnsi="Times New Roman" w:cs="Times New Roman"/>
                <w:lang w:val="en-US" w:eastAsia="zh-CN" w:bidi="ar"/>
                <w14:ligatures w14:val="standardContextual"/>
              </w:rPr>
              <w:t>等材质选用标准）</w:t>
            </w:r>
          </w:p>
        </w:tc>
        <w:tc>
          <w:tcPr>
            <w:tcW w:w="1263" w:type="pct"/>
            <w:shd w:val="clear" w:color="auto" w:fill="auto"/>
            <w:noWrap/>
            <w:vAlign w:val="center"/>
          </w:tcPr>
          <w:p w14:paraId="229C3A6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 14976-2012</w:t>
            </w:r>
          </w:p>
        </w:tc>
      </w:tr>
      <w:tr w14:paraId="6191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540DFB9">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42</w:t>
            </w:r>
          </w:p>
        </w:tc>
        <w:tc>
          <w:tcPr>
            <w:tcW w:w="3457" w:type="pct"/>
            <w:shd w:val="clear" w:color="auto" w:fill="auto"/>
            <w:noWrap/>
            <w:vAlign w:val="center"/>
          </w:tcPr>
          <w:p w14:paraId="35F0E0D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《压力管道规范》（工业管道设计、安装与验收）</w:t>
            </w:r>
          </w:p>
        </w:tc>
        <w:tc>
          <w:tcPr>
            <w:tcW w:w="1263" w:type="pct"/>
            <w:shd w:val="clear" w:color="auto" w:fill="auto"/>
            <w:noWrap/>
            <w:vAlign w:val="center"/>
          </w:tcPr>
          <w:p w14:paraId="327953C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GB/T 20801-2020</w:t>
            </w:r>
          </w:p>
        </w:tc>
      </w:tr>
      <w:tr w14:paraId="71E4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6280BE0A">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43</w:t>
            </w:r>
          </w:p>
        </w:tc>
        <w:tc>
          <w:tcPr>
            <w:tcW w:w="3457" w:type="pct"/>
            <w:shd w:val="clear" w:color="auto" w:fill="auto"/>
            <w:noWrap/>
            <w:vAlign w:val="center"/>
          </w:tcPr>
          <w:p w14:paraId="5A10F2E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《工业金属管道工程施工规范（管道焊接、试压要求）》</w:t>
            </w:r>
          </w:p>
        </w:tc>
        <w:tc>
          <w:tcPr>
            <w:tcW w:w="1263" w:type="pct"/>
            <w:shd w:val="clear" w:color="auto" w:fill="auto"/>
            <w:noWrap/>
            <w:vAlign w:val="center"/>
          </w:tcPr>
          <w:p w14:paraId="27E3ABF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 xml:space="preserve">GB 50235-2010 </w:t>
            </w:r>
          </w:p>
        </w:tc>
      </w:tr>
      <w:tr w14:paraId="6AC9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1B2F664">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44</w:t>
            </w:r>
          </w:p>
        </w:tc>
        <w:tc>
          <w:tcPr>
            <w:tcW w:w="3457" w:type="pct"/>
            <w:shd w:val="clear" w:color="auto" w:fill="auto"/>
            <w:noWrap/>
            <w:vAlign w:val="center"/>
          </w:tcPr>
          <w:p w14:paraId="2CEC9C6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《工业金属管道设计规范》</w:t>
            </w:r>
          </w:p>
        </w:tc>
        <w:tc>
          <w:tcPr>
            <w:tcW w:w="1263" w:type="pct"/>
            <w:shd w:val="clear" w:color="auto" w:fill="auto"/>
            <w:noWrap/>
            <w:vAlign w:val="center"/>
          </w:tcPr>
          <w:p w14:paraId="56FC210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GB50316</w:t>
            </w:r>
          </w:p>
        </w:tc>
      </w:tr>
      <w:tr w14:paraId="0B34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9A9E0D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45</w:t>
            </w:r>
          </w:p>
        </w:tc>
        <w:tc>
          <w:tcPr>
            <w:tcW w:w="3457" w:type="pct"/>
            <w:shd w:val="clear" w:color="auto" w:fill="auto"/>
            <w:noWrap/>
            <w:vAlign w:val="center"/>
          </w:tcPr>
          <w:p w14:paraId="2CD2A3E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《工业金属管道工程施工规范》</w:t>
            </w:r>
          </w:p>
        </w:tc>
        <w:tc>
          <w:tcPr>
            <w:tcW w:w="1263" w:type="pct"/>
            <w:shd w:val="clear" w:color="auto" w:fill="auto"/>
            <w:noWrap/>
            <w:vAlign w:val="center"/>
          </w:tcPr>
          <w:p w14:paraId="111BF8E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GB50235</w:t>
            </w:r>
          </w:p>
        </w:tc>
      </w:tr>
      <w:tr w14:paraId="6E057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1E80923">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46</w:t>
            </w:r>
          </w:p>
        </w:tc>
        <w:tc>
          <w:tcPr>
            <w:tcW w:w="3457" w:type="pct"/>
            <w:shd w:val="clear" w:color="auto" w:fill="auto"/>
            <w:noWrap/>
            <w:vAlign w:val="center"/>
          </w:tcPr>
          <w:p w14:paraId="23235AF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《工业金属管道工程施工质量验收规范》</w:t>
            </w:r>
          </w:p>
        </w:tc>
        <w:tc>
          <w:tcPr>
            <w:tcW w:w="1263" w:type="pct"/>
            <w:shd w:val="clear" w:color="auto" w:fill="auto"/>
            <w:noWrap/>
            <w:vAlign w:val="center"/>
          </w:tcPr>
          <w:p w14:paraId="6D1CEB5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GB50184</w:t>
            </w:r>
          </w:p>
        </w:tc>
      </w:tr>
      <w:tr w14:paraId="0E0D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7D6EF4C">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47</w:t>
            </w:r>
          </w:p>
        </w:tc>
        <w:tc>
          <w:tcPr>
            <w:tcW w:w="3457" w:type="pct"/>
            <w:shd w:val="clear" w:color="auto" w:fill="auto"/>
            <w:noWrap/>
            <w:vAlign w:val="center"/>
          </w:tcPr>
          <w:p w14:paraId="737BCBE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《现场设备、工业管道焊接工程施工及验收规范》</w:t>
            </w:r>
          </w:p>
        </w:tc>
        <w:tc>
          <w:tcPr>
            <w:tcW w:w="1263" w:type="pct"/>
            <w:shd w:val="clear" w:color="auto" w:fill="auto"/>
            <w:noWrap/>
            <w:vAlign w:val="center"/>
          </w:tcPr>
          <w:p w14:paraId="1751D24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GB50236</w:t>
            </w:r>
          </w:p>
        </w:tc>
      </w:tr>
      <w:tr w14:paraId="6985F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5564FD4C">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48</w:t>
            </w:r>
          </w:p>
        </w:tc>
        <w:tc>
          <w:tcPr>
            <w:tcW w:w="3457" w:type="pct"/>
            <w:shd w:val="clear" w:color="auto" w:fill="auto"/>
            <w:noWrap/>
            <w:vAlign w:val="center"/>
          </w:tcPr>
          <w:p w14:paraId="501310D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《建筑设计防火规范》</w:t>
            </w:r>
          </w:p>
        </w:tc>
        <w:tc>
          <w:tcPr>
            <w:tcW w:w="1263" w:type="pct"/>
            <w:shd w:val="clear" w:color="auto" w:fill="auto"/>
            <w:noWrap/>
            <w:vAlign w:val="center"/>
          </w:tcPr>
          <w:p w14:paraId="4379E17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GB50016</w:t>
            </w:r>
          </w:p>
        </w:tc>
      </w:tr>
      <w:tr w14:paraId="4A485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9AE2CD1">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49</w:t>
            </w:r>
          </w:p>
        </w:tc>
        <w:tc>
          <w:tcPr>
            <w:tcW w:w="3457" w:type="pct"/>
            <w:shd w:val="clear" w:color="auto" w:fill="auto"/>
            <w:noWrap/>
            <w:vAlign w:val="center"/>
          </w:tcPr>
          <w:p w14:paraId="23063DA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《氧气站设计规范》</w:t>
            </w:r>
          </w:p>
        </w:tc>
        <w:tc>
          <w:tcPr>
            <w:tcW w:w="1263" w:type="pct"/>
            <w:shd w:val="clear" w:color="auto" w:fill="auto"/>
            <w:noWrap/>
            <w:vAlign w:val="center"/>
          </w:tcPr>
          <w:p w14:paraId="2A090A7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GB50030</w:t>
            </w:r>
          </w:p>
        </w:tc>
      </w:tr>
      <w:tr w14:paraId="48511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0ED2A689">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50</w:t>
            </w:r>
          </w:p>
        </w:tc>
        <w:tc>
          <w:tcPr>
            <w:tcW w:w="3457" w:type="pct"/>
            <w:shd w:val="clear" w:color="auto" w:fill="auto"/>
            <w:noWrap/>
            <w:vAlign w:val="center"/>
          </w:tcPr>
          <w:p w14:paraId="7FEF0CB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《乙炔站设计规范》</w:t>
            </w:r>
          </w:p>
        </w:tc>
        <w:tc>
          <w:tcPr>
            <w:tcW w:w="1263" w:type="pct"/>
            <w:shd w:val="clear" w:color="auto" w:fill="auto"/>
            <w:noWrap/>
            <w:vAlign w:val="center"/>
          </w:tcPr>
          <w:p w14:paraId="0A5DC72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GB50031</w:t>
            </w:r>
          </w:p>
        </w:tc>
      </w:tr>
      <w:tr w14:paraId="18C0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15895F9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51</w:t>
            </w:r>
          </w:p>
        </w:tc>
        <w:tc>
          <w:tcPr>
            <w:tcW w:w="3457" w:type="pct"/>
            <w:shd w:val="clear" w:color="auto" w:fill="auto"/>
            <w:noWrap/>
            <w:vAlign w:val="center"/>
          </w:tcPr>
          <w:p w14:paraId="535B1BF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《氢气站设计规范》</w:t>
            </w:r>
          </w:p>
        </w:tc>
        <w:tc>
          <w:tcPr>
            <w:tcW w:w="1263" w:type="pct"/>
            <w:shd w:val="clear" w:color="auto" w:fill="auto"/>
            <w:noWrap/>
            <w:vAlign w:val="center"/>
          </w:tcPr>
          <w:p w14:paraId="1872923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GB50177</w:t>
            </w:r>
          </w:p>
        </w:tc>
      </w:tr>
      <w:tr w14:paraId="38E5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7F37B9DE">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52</w:t>
            </w:r>
          </w:p>
        </w:tc>
        <w:tc>
          <w:tcPr>
            <w:tcW w:w="3457" w:type="pct"/>
            <w:shd w:val="clear" w:color="auto" w:fill="auto"/>
            <w:noWrap/>
            <w:vAlign w:val="center"/>
          </w:tcPr>
          <w:p w14:paraId="46B8AC4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《洁净厂房设计规范》</w:t>
            </w:r>
          </w:p>
        </w:tc>
        <w:tc>
          <w:tcPr>
            <w:tcW w:w="1263" w:type="pct"/>
            <w:shd w:val="clear" w:color="auto" w:fill="auto"/>
            <w:noWrap/>
            <w:vAlign w:val="center"/>
          </w:tcPr>
          <w:p w14:paraId="104EAA81">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GB50073</w:t>
            </w:r>
          </w:p>
        </w:tc>
      </w:tr>
      <w:tr w14:paraId="701B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22ACCA2">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53</w:t>
            </w:r>
          </w:p>
        </w:tc>
        <w:tc>
          <w:tcPr>
            <w:tcW w:w="3457" w:type="pct"/>
            <w:shd w:val="clear" w:color="auto" w:fill="auto"/>
            <w:noWrap/>
            <w:vAlign w:val="center"/>
          </w:tcPr>
          <w:p w14:paraId="3A409EB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《实验室建筑技术规范》</w:t>
            </w:r>
          </w:p>
        </w:tc>
        <w:tc>
          <w:tcPr>
            <w:tcW w:w="1263" w:type="pct"/>
            <w:shd w:val="clear" w:color="auto" w:fill="auto"/>
            <w:noWrap/>
            <w:vAlign w:val="center"/>
          </w:tcPr>
          <w:p w14:paraId="7C55278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GB50346</w:t>
            </w:r>
          </w:p>
        </w:tc>
      </w:tr>
      <w:tr w14:paraId="6794F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20E80660">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54</w:t>
            </w:r>
          </w:p>
        </w:tc>
        <w:tc>
          <w:tcPr>
            <w:tcW w:w="3457" w:type="pct"/>
            <w:shd w:val="clear" w:color="auto" w:fill="auto"/>
            <w:noWrap/>
            <w:vAlign w:val="center"/>
          </w:tcPr>
          <w:p w14:paraId="7455159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《科学实验室建筑设计规范》</w:t>
            </w:r>
          </w:p>
        </w:tc>
        <w:tc>
          <w:tcPr>
            <w:tcW w:w="1263" w:type="pct"/>
            <w:shd w:val="clear" w:color="auto" w:fill="auto"/>
            <w:noWrap/>
            <w:vAlign w:val="center"/>
          </w:tcPr>
          <w:p w14:paraId="705647AF">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JGJ91-93</w:t>
            </w:r>
          </w:p>
        </w:tc>
      </w:tr>
      <w:tr w14:paraId="592E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78" w:type="pct"/>
            <w:shd w:val="clear" w:color="auto" w:fill="auto"/>
            <w:noWrap/>
            <w:vAlign w:val="center"/>
          </w:tcPr>
          <w:p w14:paraId="3B3D1CB4">
            <w:pPr>
              <w:keepNext w:val="0"/>
              <w:keepLines w:val="0"/>
              <w:pageBreakBefore w:val="0"/>
              <w:widowControl/>
              <w:suppressLineNumbers w:val="0"/>
              <w:kinsoku/>
              <w:wordWrap/>
              <w:overflowPunct/>
              <w:topLinePunct w:val="0"/>
              <w:autoSpaceDE/>
              <w:autoSpaceDN/>
              <w:bidi w:val="0"/>
              <w:adjustRightInd/>
              <w:snapToGrid/>
              <w:ind w:firstLine="0" w:firstLineChars="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14:ligatures w14:val="standardContextual"/>
              </w:rPr>
              <w:t>55</w:t>
            </w:r>
          </w:p>
        </w:tc>
        <w:tc>
          <w:tcPr>
            <w:tcW w:w="3457" w:type="pct"/>
            <w:shd w:val="clear" w:color="auto" w:fill="auto"/>
            <w:noWrap/>
            <w:vAlign w:val="center"/>
          </w:tcPr>
          <w:p w14:paraId="763D5A7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《石油化工企业气体检测报警设计规范》</w:t>
            </w:r>
          </w:p>
        </w:tc>
        <w:tc>
          <w:tcPr>
            <w:tcW w:w="1263" w:type="pct"/>
            <w:shd w:val="clear" w:color="auto" w:fill="auto"/>
            <w:noWrap/>
            <w:vAlign w:val="center"/>
          </w:tcPr>
          <w:p w14:paraId="743A877A">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14:ligatures w14:val="standardContextual"/>
              </w:rPr>
              <w:t>SH3063</w:t>
            </w:r>
          </w:p>
        </w:tc>
      </w:tr>
    </w:tbl>
    <w:p w14:paraId="30541EAA">
      <w:pPr>
        <w:pStyle w:val="3"/>
        <w:numPr>
          <w:ilvl w:val="0"/>
          <w:numId w:val="0"/>
        </w:numPr>
        <w:bidi w:val="0"/>
        <w:ind w:leftChars="0"/>
        <w:rPr>
          <w:rFonts w:hint="eastAsia"/>
          <w:b/>
          <w:bCs w:val="0"/>
          <w:color w:val="000000" w:themeColor="text1"/>
          <w:highlight w:val="yellow"/>
          <w:lang w:val="en-US" w:eastAsia="zh-CN"/>
          <w14:textFill>
            <w14:solidFill>
              <w14:schemeClr w14:val="tx1"/>
            </w14:solidFill>
          </w14:textFill>
        </w:rPr>
      </w:pPr>
      <w:r>
        <w:rPr>
          <w:rFonts w:hint="eastAsia"/>
          <w:b/>
          <w:bCs w:val="0"/>
          <w:color w:val="000000" w:themeColor="text1"/>
          <w:highlight w:val="yellow"/>
          <w:lang w:val="en-US" w:eastAsia="zh-CN"/>
          <w14:textFill>
            <w14:solidFill>
              <w14:schemeClr w14:val="tx1"/>
            </w14:solidFill>
          </w14:textFill>
        </w:rPr>
        <w:t>八、比选需要上传的文件</w:t>
      </w:r>
    </w:p>
    <w:p w14:paraId="56DD66A3">
      <w:pPr>
        <w:pStyle w:val="4"/>
        <w:keepNext w:val="0"/>
        <w:keepLines w:val="0"/>
        <w:pageBreakBefore w:val="0"/>
        <w:widowControl w:val="0"/>
        <w:numPr>
          <w:ilvl w:val="0"/>
          <w:numId w:val="9"/>
        </w:numPr>
        <w:kinsoku/>
        <w:wordWrap/>
        <w:overflowPunct/>
        <w:topLinePunct w:val="0"/>
        <w:autoSpaceDE/>
        <w:autoSpaceDN/>
        <w:bidi w:val="0"/>
        <w:adjustRightInd/>
        <w:snapToGrid/>
        <w:spacing w:after="0"/>
        <w:textAlignment w:val="auto"/>
        <w:rPr>
          <w:rFonts w:hint="eastAsia"/>
          <w:b/>
          <w:bCs w:val="0"/>
          <w:color w:val="FF0000"/>
          <w:lang w:val="en-US" w:eastAsia="zh-CN"/>
        </w:rPr>
      </w:pPr>
      <w:r>
        <w:rPr>
          <w:rFonts w:hint="eastAsia"/>
          <w:b/>
          <w:bCs w:val="0"/>
          <w:color w:val="FF0000"/>
          <w:lang w:val="en-US" w:eastAsia="zh-CN"/>
        </w:rPr>
        <w:t>报价单</w:t>
      </w:r>
    </w:p>
    <w:p w14:paraId="16798969">
      <w:pPr>
        <w:pStyle w:val="4"/>
        <w:numPr>
          <w:ilvl w:val="0"/>
          <w:numId w:val="0"/>
        </w:numPr>
        <w:rPr>
          <w:rFonts w:hint="default"/>
          <w:b/>
          <w:bCs w:val="0"/>
          <w:color w:val="FF0000"/>
          <w:lang w:val="en-US" w:eastAsia="zh-CN"/>
        </w:rPr>
      </w:pPr>
      <w:r>
        <w:rPr>
          <w:rFonts w:hint="eastAsia"/>
          <w:b/>
          <w:bCs w:val="0"/>
          <w:color w:val="FF0000"/>
          <w:lang w:val="en-US" w:eastAsia="zh-CN"/>
        </w:rPr>
        <w:t>报价单表头格式如下：</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784"/>
        <w:gridCol w:w="1785"/>
        <w:gridCol w:w="787"/>
        <w:gridCol w:w="788"/>
        <w:gridCol w:w="782"/>
        <w:gridCol w:w="946"/>
        <w:gridCol w:w="946"/>
        <w:gridCol w:w="946"/>
      </w:tblGrid>
      <w:tr w14:paraId="403C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tcPr>
          <w:p w14:paraId="1350944F">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序号</w:t>
            </w:r>
          </w:p>
        </w:tc>
        <w:tc>
          <w:tcPr>
            <w:tcW w:w="784" w:type="dxa"/>
          </w:tcPr>
          <w:p w14:paraId="33937248">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名称</w:t>
            </w:r>
          </w:p>
        </w:tc>
        <w:tc>
          <w:tcPr>
            <w:tcW w:w="1785" w:type="dxa"/>
          </w:tcPr>
          <w:p w14:paraId="33E86EFB">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规格型号/材质</w:t>
            </w:r>
          </w:p>
        </w:tc>
        <w:tc>
          <w:tcPr>
            <w:tcW w:w="787" w:type="dxa"/>
          </w:tcPr>
          <w:p w14:paraId="5B193FBB">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单位</w:t>
            </w:r>
          </w:p>
        </w:tc>
        <w:tc>
          <w:tcPr>
            <w:tcW w:w="788" w:type="dxa"/>
          </w:tcPr>
          <w:p w14:paraId="4E079DA2">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数量</w:t>
            </w:r>
          </w:p>
        </w:tc>
        <w:tc>
          <w:tcPr>
            <w:tcW w:w="782" w:type="dxa"/>
          </w:tcPr>
          <w:p w14:paraId="383E2CA6">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单价</w:t>
            </w:r>
          </w:p>
        </w:tc>
        <w:tc>
          <w:tcPr>
            <w:tcW w:w="946" w:type="dxa"/>
          </w:tcPr>
          <w:p w14:paraId="7334E9D9">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总价</w:t>
            </w:r>
          </w:p>
        </w:tc>
        <w:tc>
          <w:tcPr>
            <w:tcW w:w="946" w:type="dxa"/>
          </w:tcPr>
          <w:p w14:paraId="2B5A227B">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品牌</w:t>
            </w:r>
          </w:p>
        </w:tc>
        <w:tc>
          <w:tcPr>
            <w:tcW w:w="946" w:type="dxa"/>
          </w:tcPr>
          <w:p w14:paraId="5D97BCE7">
            <w:pPr>
              <w:pStyle w:val="4"/>
              <w:numPr>
                <w:ilvl w:val="0"/>
                <w:numId w:val="0"/>
              </w:numPr>
              <w:jc w:val="center"/>
              <w:rPr>
                <w:rFonts w:hint="default"/>
                <w:b/>
                <w:bCs w:val="0"/>
                <w:color w:val="FF0000"/>
                <w:vertAlign w:val="baseline"/>
                <w:lang w:val="en-US" w:eastAsia="zh-CN"/>
              </w:rPr>
            </w:pPr>
            <w:r>
              <w:rPr>
                <w:rFonts w:hint="eastAsia"/>
                <w:b/>
                <w:bCs w:val="0"/>
                <w:color w:val="FF0000"/>
                <w:vertAlign w:val="baseline"/>
                <w:lang w:val="en-US" w:eastAsia="zh-CN"/>
              </w:rPr>
              <w:t>备注</w:t>
            </w:r>
          </w:p>
        </w:tc>
      </w:tr>
      <w:tr w14:paraId="02D7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751" w:type="dxa"/>
          </w:tcPr>
          <w:p w14:paraId="1F7B5BBE">
            <w:pPr>
              <w:pStyle w:val="4"/>
              <w:numPr>
                <w:ilvl w:val="0"/>
                <w:numId w:val="0"/>
              </w:numPr>
              <w:rPr>
                <w:rFonts w:hint="default"/>
                <w:b/>
                <w:bCs w:val="0"/>
                <w:color w:val="FF0000"/>
                <w:vertAlign w:val="baseline"/>
                <w:lang w:val="en-US" w:eastAsia="zh-CN"/>
              </w:rPr>
            </w:pPr>
          </w:p>
        </w:tc>
        <w:tc>
          <w:tcPr>
            <w:tcW w:w="784" w:type="dxa"/>
          </w:tcPr>
          <w:p w14:paraId="1D7087F3">
            <w:pPr>
              <w:pStyle w:val="4"/>
              <w:numPr>
                <w:ilvl w:val="0"/>
                <w:numId w:val="0"/>
              </w:numPr>
              <w:rPr>
                <w:rFonts w:hint="default"/>
                <w:b/>
                <w:bCs w:val="0"/>
                <w:color w:val="FF0000"/>
                <w:vertAlign w:val="baseline"/>
                <w:lang w:val="en-US" w:eastAsia="zh-CN"/>
              </w:rPr>
            </w:pPr>
          </w:p>
        </w:tc>
        <w:tc>
          <w:tcPr>
            <w:tcW w:w="1785" w:type="dxa"/>
          </w:tcPr>
          <w:p w14:paraId="19A8B380">
            <w:pPr>
              <w:pStyle w:val="4"/>
              <w:numPr>
                <w:ilvl w:val="0"/>
                <w:numId w:val="0"/>
              </w:numPr>
              <w:rPr>
                <w:rFonts w:hint="default"/>
                <w:b/>
                <w:bCs w:val="0"/>
                <w:color w:val="FF0000"/>
                <w:vertAlign w:val="baseline"/>
                <w:lang w:val="en-US" w:eastAsia="zh-CN"/>
              </w:rPr>
            </w:pPr>
          </w:p>
        </w:tc>
        <w:tc>
          <w:tcPr>
            <w:tcW w:w="787" w:type="dxa"/>
          </w:tcPr>
          <w:p w14:paraId="235A81C3">
            <w:pPr>
              <w:pStyle w:val="4"/>
              <w:numPr>
                <w:ilvl w:val="0"/>
                <w:numId w:val="0"/>
              </w:numPr>
              <w:rPr>
                <w:rFonts w:hint="default"/>
                <w:b/>
                <w:bCs w:val="0"/>
                <w:color w:val="FF0000"/>
                <w:vertAlign w:val="baseline"/>
                <w:lang w:val="en-US" w:eastAsia="zh-CN"/>
              </w:rPr>
            </w:pPr>
          </w:p>
        </w:tc>
        <w:tc>
          <w:tcPr>
            <w:tcW w:w="788" w:type="dxa"/>
          </w:tcPr>
          <w:p w14:paraId="235D8784">
            <w:pPr>
              <w:pStyle w:val="4"/>
              <w:numPr>
                <w:ilvl w:val="0"/>
                <w:numId w:val="0"/>
              </w:numPr>
              <w:rPr>
                <w:rFonts w:hint="default"/>
                <w:b/>
                <w:bCs w:val="0"/>
                <w:color w:val="FF0000"/>
                <w:vertAlign w:val="baseline"/>
                <w:lang w:val="en-US" w:eastAsia="zh-CN"/>
              </w:rPr>
            </w:pPr>
          </w:p>
        </w:tc>
        <w:tc>
          <w:tcPr>
            <w:tcW w:w="782" w:type="dxa"/>
          </w:tcPr>
          <w:p w14:paraId="3FCEE169">
            <w:pPr>
              <w:pStyle w:val="4"/>
              <w:numPr>
                <w:ilvl w:val="0"/>
                <w:numId w:val="0"/>
              </w:numPr>
              <w:rPr>
                <w:rFonts w:hint="default"/>
                <w:b/>
                <w:bCs w:val="0"/>
                <w:color w:val="FF0000"/>
                <w:vertAlign w:val="baseline"/>
                <w:lang w:val="en-US" w:eastAsia="zh-CN"/>
              </w:rPr>
            </w:pPr>
          </w:p>
        </w:tc>
        <w:tc>
          <w:tcPr>
            <w:tcW w:w="946" w:type="dxa"/>
          </w:tcPr>
          <w:p w14:paraId="195E6DAE">
            <w:pPr>
              <w:pStyle w:val="4"/>
              <w:numPr>
                <w:ilvl w:val="0"/>
                <w:numId w:val="0"/>
              </w:numPr>
              <w:rPr>
                <w:rFonts w:hint="default"/>
                <w:b/>
                <w:bCs w:val="0"/>
                <w:color w:val="FF0000"/>
                <w:vertAlign w:val="baseline"/>
                <w:lang w:val="en-US" w:eastAsia="zh-CN"/>
              </w:rPr>
            </w:pPr>
          </w:p>
        </w:tc>
        <w:tc>
          <w:tcPr>
            <w:tcW w:w="946" w:type="dxa"/>
          </w:tcPr>
          <w:p w14:paraId="6FCF38DC">
            <w:pPr>
              <w:pStyle w:val="4"/>
              <w:numPr>
                <w:ilvl w:val="0"/>
                <w:numId w:val="0"/>
              </w:numPr>
              <w:rPr>
                <w:rFonts w:hint="default"/>
                <w:b/>
                <w:bCs w:val="0"/>
                <w:color w:val="FF0000"/>
                <w:vertAlign w:val="baseline"/>
                <w:lang w:val="en-US" w:eastAsia="zh-CN"/>
              </w:rPr>
            </w:pPr>
          </w:p>
        </w:tc>
        <w:tc>
          <w:tcPr>
            <w:tcW w:w="946" w:type="dxa"/>
          </w:tcPr>
          <w:p w14:paraId="4C4C0466">
            <w:pPr>
              <w:pStyle w:val="4"/>
              <w:numPr>
                <w:ilvl w:val="0"/>
                <w:numId w:val="0"/>
              </w:numPr>
              <w:rPr>
                <w:rFonts w:hint="default"/>
                <w:b/>
                <w:bCs w:val="0"/>
                <w:color w:val="FF0000"/>
                <w:vertAlign w:val="baseline"/>
                <w:lang w:val="en-US" w:eastAsia="zh-CN"/>
              </w:rPr>
            </w:pPr>
          </w:p>
        </w:tc>
      </w:tr>
      <w:tr w14:paraId="1FD44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51" w:type="dxa"/>
          </w:tcPr>
          <w:p w14:paraId="79121F39">
            <w:pPr>
              <w:pStyle w:val="4"/>
              <w:numPr>
                <w:ilvl w:val="0"/>
                <w:numId w:val="0"/>
              </w:numPr>
              <w:rPr>
                <w:rFonts w:hint="default"/>
                <w:b/>
                <w:bCs w:val="0"/>
                <w:color w:val="FF0000"/>
                <w:vertAlign w:val="baseline"/>
                <w:lang w:val="en-US" w:eastAsia="zh-CN"/>
              </w:rPr>
            </w:pPr>
          </w:p>
        </w:tc>
        <w:tc>
          <w:tcPr>
            <w:tcW w:w="784" w:type="dxa"/>
          </w:tcPr>
          <w:p w14:paraId="639C8303">
            <w:pPr>
              <w:pStyle w:val="4"/>
              <w:numPr>
                <w:ilvl w:val="0"/>
                <w:numId w:val="0"/>
              </w:numPr>
              <w:rPr>
                <w:rFonts w:hint="default"/>
                <w:b/>
                <w:bCs w:val="0"/>
                <w:color w:val="FF0000"/>
                <w:vertAlign w:val="baseline"/>
                <w:lang w:val="en-US" w:eastAsia="zh-CN"/>
              </w:rPr>
            </w:pPr>
          </w:p>
        </w:tc>
        <w:tc>
          <w:tcPr>
            <w:tcW w:w="1785" w:type="dxa"/>
          </w:tcPr>
          <w:p w14:paraId="7F004DF2">
            <w:pPr>
              <w:pStyle w:val="4"/>
              <w:numPr>
                <w:ilvl w:val="0"/>
                <w:numId w:val="0"/>
              </w:numPr>
              <w:rPr>
                <w:rFonts w:hint="default"/>
                <w:b/>
                <w:bCs w:val="0"/>
                <w:color w:val="FF0000"/>
                <w:vertAlign w:val="baseline"/>
                <w:lang w:val="en-US" w:eastAsia="zh-CN"/>
              </w:rPr>
            </w:pPr>
          </w:p>
        </w:tc>
        <w:tc>
          <w:tcPr>
            <w:tcW w:w="787" w:type="dxa"/>
          </w:tcPr>
          <w:p w14:paraId="51CA6A70">
            <w:pPr>
              <w:pStyle w:val="4"/>
              <w:numPr>
                <w:ilvl w:val="0"/>
                <w:numId w:val="0"/>
              </w:numPr>
              <w:rPr>
                <w:rFonts w:hint="default"/>
                <w:b/>
                <w:bCs w:val="0"/>
                <w:color w:val="FF0000"/>
                <w:vertAlign w:val="baseline"/>
                <w:lang w:val="en-US" w:eastAsia="zh-CN"/>
              </w:rPr>
            </w:pPr>
          </w:p>
        </w:tc>
        <w:tc>
          <w:tcPr>
            <w:tcW w:w="788" w:type="dxa"/>
          </w:tcPr>
          <w:p w14:paraId="31DF79EE">
            <w:pPr>
              <w:pStyle w:val="4"/>
              <w:numPr>
                <w:ilvl w:val="0"/>
                <w:numId w:val="0"/>
              </w:numPr>
              <w:rPr>
                <w:rFonts w:hint="default"/>
                <w:b/>
                <w:bCs w:val="0"/>
                <w:color w:val="FF0000"/>
                <w:vertAlign w:val="baseline"/>
                <w:lang w:val="en-US" w:eastAsia="zh-CN"/>
              </w:rPr>
            </w:pPr>
          </w:p>
        </w:tc>
        <w:tc>
          <w:tcPr>
            <w:tcW w:w="782" w:type="dxa"/>
          </w:tcPr>
          <w:p w14:paraId="4DACB309">
            <w:pPr>
              <w:pStyle w:val="4"/>
              <w:numPr>
                <w:ilvl w:val="0"/>
                <w:numId w:val="0"/>
              </w:numPr>
              <w:rPr>
                <w:rFonts w:hint="default"/>
                <w:b/>
                <w:bCs w:val="0"/>
                <w:color w:val="FF0000"/>
                <w:vertAlign w:val="baseline"/>
                <w:lang w:val="en-US" w:eastAsia="zh-CN"/>
              </w:rPr>
            </w:pPr>
          </w:p>
        </w:tc>
        <w:tc>
          <w:tcPr>
            <w:tcW w:w="946" w:type="dxa"/>
          </w:tcPr>
          <w:p w14:paraId="71E813C9">
            <w:pPr>
              <w:pStyle w:val="4"/>
              <w:numPr>
                <w:ilvl w:val="0"/>
                <w:numId w:val="0"/>
              </w:numPr>
              <w:rPr>
                <w:rFonts w:hint="default"/>
                <w:b/>
                <w:bCs w:val="0"/>
                <w:color w:val="FF0000"/>
                <w:vertAlign w:val="baseline"/>
                <w:lang w:val="en-US" w:eastAsia="zh-CN"/>
              </w:rPr>
            </w:pPr>
          </w:p>
        </w:tc>
        <w:tc>
          <w:tcPr>
            <w:tcW w:w="946" w:type="dxa"/>
          </w:tcPr>
          <w:p w14:paraId="42133C11">
            <w:pPr>
              <w:pStyle w:val="4"/>
              <w:numPr>
                <w:ilvl w:val="0"/>
                <w:numId w:val="0"/>
              </w:numPr>
              <w:rPr>
                <w:rFonts w:hint="default"/>
                <w:b/>
                <w:bCs w:val="0"/>
                <w:color w:val="FF0000"/>
                <w:vertAlign w:val="baseline"/>
                <w:lang w:val="en-US" w:eastAsia="zh-CN"/>
              </w:rPr>
            </w:pPr>
          </w:p>
        </w:tc>
        <w:tc>
          <w:tcPr>
            <w:tcW w:w="946" w:type="dxa"/>
          </w:tcPr>
          <w:p w14:paraId="6F5F5CED">
            <w:pPr>
              <w:pStyle w:val="4"/>
              <w:numPr>
                <w:ilvl w:val="0"/>
                <w:numId w:val="0"/>
              </w:numPr>
              <w:rPr>
                <w:rFonts w:hint="default"/>
                <w:b/>
                <w:bCs w:val="0"/>
                <w:color w:val="FF0000"/>
                <w:vertAlign w:val="baseline"/>
                <w:lang w:val="en-US" w:eastAsia="zh-CN"/>
              </w:rPr>
            </w:pPr>
          </w:p>
        </w:tc>
      </w:tr>
      <w:tr w14:paraId="107C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51" w:type="dxa"/>
          </w:tcPr>
          <w:p w14:paraId="7286AD8E">
            <w:pPr>
              <w:pStyle w:val="4"/>
              <w:numPr>
                <w:ilvl w:val="0"/>
                <w:numId w:val="0"/>
              </w:numPr>
              <w:rPr>
                <w:rFonts w:hint="default"/>
                <w:b/>
                <w:bCs w:val="0"/>
                <w:color w:val="FF0000"/>
                <w:vertAlign w:val="baseline"/>
                <w:lang w:val="en-US" w:eastAsia="zh-CN"/>
              </w:rPr>
            </w:pPr>
          </w:p>
        </w:tc>
        <w:tc>
          <w:tcPr>
            <w:tcW w:w="784" w:type="dxa"/>
          </w:tcPr>
          <w:p w14:paraId="67885767">
            <w:pPr>
              <w:pStyle w:val="4"/>
              <w:numPr>
                <w:ilvl w:val="0"/>
                <w:numId w:val="0"/>
              </w:numPr>
              <w:rPr>
                <w:rFonts w:hint="default"/>
                <w:b/>
                <w:bCs w:val="0"/>
                <w:color w:val="FF0000"/>
                <w:vertAlign w:val="baseline"/>
                <w:lang w:val="en-US" w:eastAsia="zh-CN"/>
              </w:rPr>
            </w:pPr>
          </w:p>
        </w:tc>
        <w:tc>
          <w:tcPr>
            <w:tcW w:w="1785" w:type="dxa"/>
          </w:tcPr>
          <w:p w14:paraId="73D924AB">
            <w:pPr>
              <w:pStyle w:val="4"/>
              <w:numPr>
                <w:ilvl w:val="0"/>
                <w:numId w:val="0"/>
              </w:numPr>
              <w:rPr>
                <w:rFonts w:hint="default"/>
                <w:b/>
                <w:bCs w:val="0"/>
                <w:color w:val="FF0000"/>
                <w:vertAlign w:val="baseline"/>
                <w:lang w:val="en-US" w:eastAsia="zh-CN"/>
              </w:rPr>
            </w:pPr>
          </w:p>
        </w:tc>
        <w:tc>
          <w:tcPr>
            <w:tcW w:w="787" w:type="dxa"/>
          </w:tcPr>
          <w:p w14:paraId="0651929C">
            <w:pPr>
              <w:pStyle w:val="4"/>
              <w:numPr>
                <w:ilvl w:val="0"/>
                <w:numId w:val="0"/>
              </w:numPr>
              <w:rPr>
                <w:rFonts w:hint="default"/>
                <w:b/>
                <w:bCs w:val="0"/>
                <w:color w:val="FF0000"/>
                <w:vertAlign w:val="baseline"/>
                <w:lang w:val="en-US" w:eastAsia="zh-CN"/>
              </w:rPr>
            </w:pPr>
          </w:p>
        </w:tc>
        <w:tc>
          <w:tcPr>
            <w:tcW w:w="788" w:type="dxa"/>
          </w:tcPr>
          <w:p w14:paraId="365A312A">
            <w:pPr>
              <w:pStyle w:val="4"/>
              <w:numPr>
                <w:ilvl w:val="0"/>
                <w:numId w:val="0"/>
              </w:numPr>
              <w:rPr>
                <w:rFonts w:hint="default"/>
                <w:b/>
                <w:bCs w:val="0"/>
                <w:color w:val="FF0000"/>
                <w:vertAlign w:val="baseline"/>
                <w:lang w:val="en-US" w:eastAsia="zh-CN"/>
              </w:rPr>
            </w:pPr>
          </w:p>
        </w:tc>
        <w:tc>
          <w:tcPr>
            <w:tcW w:w="782" w:type="dxa"/>
          </w:tcPr>
          <w:p w14:paraId="67257D9A">
            <w:pPr>
              <w:pStyle w:val="4"/>
              <w:numPr>
                <w:ilvl w:val="0"/>
                <w:numId w:val="0"/>
              </w:numPr>
              <w:rPr>
                <w:rFonts w:hint="default"/>
                <w:b/>
                <w:bCs w:val="0"/>
                <w:color w:val="FF0000"/>
                <w:vertAlign w:val="baseline"/>
                <w:lang w:val="en-US" w:eastAsia="zh-CN"/>
              </w:rPr>
            </w:pPr>
          </w:p>
        </w:tc>
        <w:tc>
          <w:tcPr>
            <w:tcW w:w="946" w:type="dxa"/>
          </w:tcPr>
          <w:p w14:paraId="6EB8D0F0">
            <w:pPr>
              <w:pStyle w:val="4"/>
              <w:numPr>
                <w:ilvl w:val="0"/>
                <w:numId w:val="0"/>
              </w:numPr>
              <w:rPr>
                <w:rFonts w:hint="default"/>
                <w:b/>
                <w:bCs w:val="0"/>
                <w:color w:val="FF0000"/>
                <w:vertAlign w:val="baseline"/>
                <w:lang w:val="en-US" w:eastAsia="zh-CN"/>
              </w:rPr>
            </w:pPr>
          </w:p>
        </w:tc>
        <w:tc>
          <w:tcPr>
            <w:tcW w:w="946" w:type="dxa"/>
          </w:tcPr>
          <w:p w14:paraId="2014A098">
            <w:pPr>
              <w:pStyle w:val="4"/>
              <w:numPr>
                <w:ilvl w:val="0"/>
                <w:numId w:val="0"/>
              </w:numPr>
              <w:rPr>
                <w:rFonts w:hint="default"/>
                <w:b/>
                <w:bCs w:val="0"/>
                <w:color w:val="FF0000"/>
                <w:vertAlign w:val="baseline"/>
                <w:lang w:val="en-US" w:eastAsia="zh-CN"/>
              </w:rPr>
            </w:pPr>
          </w:p>
        </w:tc>
        <w:tc>
          <w:tcPr>
            <w:tcW w:w="946" w:type="dxa"/>
          </w:tcPr>
          <w:p w14:paraId="4DB3C52E">
            <w:pPr>
              <w:pStyle w:val="4"/>
              <w:numPr>
                <w:ilvl w:val="0"/>
                <w:numId w:val="0"/>
              </w:numPr>
              <w:rPr>
                <w:rFonts w:hint="default"/>
                <w:b/>
                <w:bCs w:val="0"/>
                <w:color w:val="FF0000"/>
                <w:vertAlign w:val="baseline"/>
                <w:lang w:val="en-US" w:eastAsia="zh-CN"/>
              </w:rPr>
            </w:pPr>
          </w:p>
        </w:tc>
      </w:tr>
      <w:tr w14:paraId="0C0E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51" w:type="dxa"/>
          </w:tcPr>
          <w:p w14:paraId="280F18EE">
            <w:pPr>
              <w:pStyle w:val="4"/>
              <w:numPr>
                <w:ilvl w:val="0"/>
                <w:numId w:val="0"/>
              </w:numPr>
              <w:rPr>
                <w:rFonts w:hint="default"/>
                <w:b/>
                <w:bCs w:val="0"/>
                <w:color w:val="FF0000"/>
                <w:vertAlign w:val="baseline"/>
                <w:lang w:val="en-US" w:eastAsia="zh-CN"/>
              </w:rPr>
            </w:pPr>
          </w:p>
        </w:tc>
        <w:tc>
          <w:tcPr>
            <w:tcW w:w="784" w:type="dxa"/>
          </w:tcPr>
          <w:p w14:paraId="240982EE">
            <w:pPr>
              <w:pStyle w:val="4"/>
              <w:numPr>
                <w:ilvl w:val="0"/>
                <w:numId w:val="0"/>
              </w:numPr>
              <w:rPr>
                <w:rFonts w:hint="default"/>
                <w:b/>
                <w:bCs w:val="0"/>
                <w:color w:val="FF0000"/>
                <w:vertAlign w:val="baseline"/>
                <w:lang w:val="en-US" w:eastAsia="zh-CN"/>
              </w:rPr>
            </w:pPr>
          </w:p>
        </w:tc>
        <w:tc>
          <w:tcPr>
            <w:tcW w:w="1785" w:type="dxa"/>
          </w:tcPr>
          <w:p w14:paraId="589E6821">
            <w:pPr>
              <w:pStyle w:val="4"/>
              <w:numPr>
                <w:ilvl w:val="0"/>
                <w:numId w:val="0"/>
              </w:numPr>
              <w:rPr>
                <w:rFonts w:hint="default"/>
                <w:b/>
                <w:bCs w:val="0"/>
                <w:color w:val="FF0000"/>
                <w:vertAlign w:val="baseline"/>
                <w:lang w:val="en-US" w:eastAsia="zh-CN"/>
              </w:rPr>
            </w:pPr>
          </w:p>
        </w:tc>
        <w:tc>
          <w:tcPr>
            <w:tcW w:w="787" w:type="dxa"/>
          </w:tcPr>
          <w:p w14:paraId="7F92B4FA">
            <w:pPr>
              <w:pStyle w:val="4"/>
              <w:numPr>
                <w:ilvl w:val="0"/>
                <w:numId w:val="0"/>
              </w:numPr>
              <w:rPr>
                <w:rFonts w:hint="default"/>
                <w:b/>
                <w:bCs w:val="0"/>
                <w:color w:val="FF0000"/>
                <w:vertAlign w:val="baseline"/>
                <w:lang w:val="en-US" w:eastAsia="zh-CN"/>
              </w:rPr>
            </w:pPr>
          </w:p>
        </w:tc>
        <w:tc>
          <w:tcPr>
            <w:tcW w:w="788" w:type="dxa"/>
          </w:tcPr>
          <w:p w14:paraId="3E737976">
            <w:pPr>
              <w:pStyle w:val="4"/>
              <w:numPr>
                <w:ilvl w:val="0"/>
                <w:numId w:val="0"/>
              </w:numPr>
              <w:rPr>
                <w:rFonts w:hint="default"/>
                <w:b/>
                <w:bCs w:val="0"/>
                <w:color w:val="FF0000"/>
                <w:vertAlign w:val="baseline"/>
                <w:lang w:val="en-US" w:eastAsia="zh-CN"/>
              </w:rPr>
            </w:pPr>
          </w:p>
        </w:tc>
        <w:tc>
          <w:tcPr>
            <w:tcW w:w="782" w:type="dxa"/>
          </w:tcPr>
          <w:p w14:paraId="3BB3C86C">
            <w:pPr>
              <w:pStyle w:val="4"/>
              <w:numPr>
                <w:ilvl w:val="0"/>
                <w:numId w:val="0"/>
              </w:numPr>
              <w:rPr>
                <w:rFonts w:hint="default"/>
                <w:b/>
                <w:bCs w:val="0"/>
                <w:color w:val="FF0000"/>
                <w:vertAlign w:val="baseline"/>
                <w:lang w:val="en-US" w:eastAsia="zh-CN"/>
              </w:rPr>
            </w:pPr>
          </w:p>
        </w:tc>
        <w:tc>
          <w:tcPr>
            <w:tcW w:w="946" w:type="dxa"/>
          </w:tcPr>
          <w:p w14:paraId="6AD50070">
            <w:pPr>
              <w:pStyle w:val="4"/>
              <w:numPr>
                <w:ilvl w:val="0"/>
                <w:numId w:val="0"/>
              </w:numPr>
              <w:rPr>
                <w:rFonts w:hint="default"/>
                <w:b/>
                <w:bCs w:val="0"/>
                <w:color w:val="FF0000"/>
                <w:vertAlign w:val="baseline"/>
                <w:lang w:val="en-US" w:eastAsia="zh-CN"/>
              </w:rPr>
            </w:pPr>
          </w:p>
        </w:tc>
        <w:tc>
          <w:tcPr>
            <w:tcW w:w="946" w:type="dxa"/>
          </w:tcPr>
          <w:p w14:paraId="57A3722D">
            <w:pPr>
              <w:pStyle w:val="4"/>
              <w:numPr>
                <w:ilvl w:val="0"/>
                <w:numId w:val="0"/>
              </w:numPr>
              <w:rPr>
                <w:rFonts w:hint="default"/>
                <w:b/>
                <w:bCs w:val="0"/>
                <w:color w:val="FF0000"/>
                <w:vertAlign w:val="baseline"/>
                <w:lang w:val="en-US" w:eastAsia="zh-CN"/>
              </w:rPr>
            </w:pPr>
          </w:p>
        </w:tc>
        <w:tc>
          <w:tcPr>
            <w:tcW w:w="946" w:type="dxa"/>
          </w:tcPr>
          <w:p w14:paraId="74823514">
            <w:pPr>
              <w:pStyle w:val="4"/>
              <w:numPr>
                <w:ilvl w:val="0"/>
                <w:numId w:val="0"/>
              </w:numPr>
              <w:rPr>
                <w:rFonts w:hint="default"/>
                <w:b/>
                <w:bCs w:val="0"/>
                <w:color w:val="FF0000"/>
                <w:vertAlign w:val="baseline"/>
                <w:lang w:val="en-US" w:eastAsia="zh-CN"/>
              </w:rPr>
            </w:pPr>
          </w:p>
        </w:tc>
      </w:tr>
      <w:tr w14:paraId="6D82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5" w:type="dxa"/>
            <w:gridSpan w:val="9"/>
          </w:tcPr>
          <w:p w14:paraId="7B1D06AE">
            <w:pPr>
              <w:pStyle w:val="4"/>
              <w:numPr>
                <w:ilvl w:val="0"/>
                <w:numId w:val="0"/>
              </w:numPr>
              <w:rPr>
                <w:rFonts w:hint="default"/>
                <w:b/>
                <w:bCs w:val="0"/>
                <w:color w:val="FF0000"/>
                <w:vertAlign w:val="baseline"/>
                <w:lang w:val="en-US" w:eastAsia="zh-CN"/>
              </w:rPr>
            </w:pPr>
            <w:r>
              <w:rPr>
                <w:rFonts w:hint="eastAsia"/>
                <w:b/>
                <w:bCs w:val="0"/>
                <w:color w:val="FF0000"/>
                <w:vertAlign w:val="baseline"/>
                <w:lang w:val="en-US" w:eastAsia="zh-CN"/>
              </w:rPr>
              <w:t>备注：</w:t>
            </w:r>
            <w:r>
              <w:rPr>
                <w:rFonts w:hint="eastAsia"/>
                <w:b/>
                <w:bCs w:val="0"/>
                <w:color w:val="FF0000"/>
                <w:lang w:val="en-US" w:eastAsia="zh-CN"/>
              </w:rPr>
              <w:t>价格原则：总价包干，不产生其他任何额外费用。</w:t>
            </w:r>
          </w:p>
        </w:tc>
      </w:tr>
    </w:tbl>
    <w:p w14:paraId="44CFE32C">
      <w:pPr>
        <w:pStyle w:val="4"/>
        <w:numPr>
          <w:ilvl w:val="0"/>
          <w:numId w:val="0"/>
        </w:numPr>
        <w:rPr>
          <w:rFonts w:hint="default"/>
          <w:b/>
          <w:bCs w:val="0"/>
          <w:color w:val="FF0000"/>
          <w:lang w:val="en-US" w:eastAsia="zh-CN"/>
        </w:rPr>
      </w:pPr>
    </w:p>
    <w:p w14:paraId="19696BD1">
      <w:pPr>
        <w:pStyle w:val="4"/>
        <w:numPr>
          <w:ilvl w:val="0"/>
          <w:numId w:val="9"/>
        </w:numPr>
        <w:rPr>
          <w:rFonts w:hint="eastAsia"/>
          <w:b/>
          <w:bCs w:val="0"/>
          <w:color w:val="FF0000"/>
          <w:lang w:val="en-US" w:eastAsia="zh-CN"/>
        </w:rPr>
      </w:pPr>
      <w:r>
        <w:rPr>
          <w:rFonts w:hint="eastAsia"/>
          <w:b/>
          <w:bCs w:val="0"/>
          <w:color w:val="FF0000"/>
          <w:lang w:val="en-US" w:eastAsia="zh-CN"/>
        </w:rPr>
        <w:t>公司资质证明：需提供材料按照【一、供应商资质要求】</w:t>
      </w:r>
    </w:p>
    <w:p w14:paraId="023EED64">
      <w:pPr>
        <w:pStyle w:val="4"/>
        <w:numPr>
          <w:ilvl w:val="0"/>
          <w:numId w:val="9"/>
        </w:numPr>
        <w:rPr>
          <w:rFonts w:hint="eastAsia"/>
          <w:b/>
          <w:bCs w:val="0"/>
          <w:color w:val="FF0000"/>
          <w:lang w:val="en-US" w:eastAsia="zh-CN"/>
        </w:rPr>
      </w:pPr>
      <w:r>
        <w:rPr>
          <w:rFonts w:hint="eastAsia"/>
          <w:b/>
          <w:bCs w:val="0"/>
          <w:color w:val="FF0000"/>
          <w:lang w:val="en-US" w:eastAsia="zh-CN"/>
        </w:rPr>
        <w:t>产品介绍材料</w:t>
      </w:r>
    </w:p>
    <w:p w14:paraId="546A18E3">
      <w:pPr>
        <w:pStyle w:val="4"/>
        <w:numPr>
          <w:ilvl w:val="0"/>
          <w:numId w:val="9"/>
        </w:numPr>
        <w:rPr>
          <w:rFonts w:hint="eastAsia"/>
          <w:b/>
          <w:bCs w:val="0"/>
          <w:color w:val="FF0000"/>
          <w:lang w:val="en-US" w:eastAsia="zh-CN"/>
        </w:rPr>
      </w:pPr>
      <w:r>
        <w:rPr>
          <w:rFonts w:hint="eastAsia"/>
          <w:b/>
          <w:bCs w:val="0"/>
          <w:color w:val="FF0000"/>
          <w:lang w:val="en-US" w:eastAsia="zh-CN"/>
        </w:rPr>
        <w:t>偏离说明</w:t>
      </w:r>
    </w:p>
    <w:p w14:paraId="7E8CCDE5">
      <w:pPr>
        <w:pStyle w:val="4"/>
        <w:numPr>
          <w:ilvl w:val="0"/>
          <w:numId w:val="0"/>
        </w:numPr>
        <w:rPr>
          <w:rFonts w:hint="eastAsia"/>
          <w:b/>
          <w:bCs w:val="0"/>
          <w:color w:val="FF0000"/>
          <w:lang w:val="en-US" w:eastAsia="zh-CN"/>
        </w:rPr>
      </w:pPr>
      <w:r>
        <w:rPr>
          <w:rFonts w:hint="eastAsia"/>
          <w:b/>
          <w:bCs w:val="0"/>
          <w:color w:val="FF0000"/>
          <w:lang w:val="en-US" w:eastAsia="zh-CN"/>
        </w:rPr>
        <w:t>将以上文件合并成一个PDF文件，上传至清华采购信息发布平台。不上传报价文件的供应商视为放弃比选资格。</w:t>
      </w:r>
    </w:p>
    <w:p w14:paraId="344F5476">
      <w:pPr>
        <w:pStyle w:val="4"/>
        <w:numPr>
          <w:ilvl w:val="0"/>
          <w:numId w:val="0"/>
        </w:numPr>
        <w:rPr>
          <w:rFonts w:hint="eastAsia"/>
          <w:b/>
          <w:bCs w:val="0"/>
          <w:color w:val="FF0000"/>
          <w:lang w:val="en-US" w:eastAsia="zh-CN"/>
        </w:rPr>
      </w:pPr>
    </w:p>
    <w:p w14:paraId="3358F114">
      <w:pPr>
        <w:pStyle w:val="4"/>
        <w:numPr>
          <w:ilvl w:val="0"/>
          <w:numId w:val="0"/>
        </w:numPr>
        <w:rPr>
          <w:rFonts w:hint="eastAsia"/>
          <w:b/>
          <w:bCs w:val="0"/>
          <w:color w:val="FF0000"/>
          <w:lang w:val="en-US" w:eastAsia="zh-CN"/>
        </w:rPr>
      </w:pPr>
    </w:p>
    <w:p w14:paraId="6F5590E7">
      <w:pPr>
        <w:rPr>
          <w:rFonts w:hint="eastAsia"/>
          <w:lang w:val="en-US" w:eastAsia="zh-CN"/>
        </w:rPr>
      </w:pPr>
      <w:r>
        <w:rPr>
          <w:rFonts w:hint="eastAsia"/>
          <w:lang w:val="en-US" w:eastAsia="zh-CN"/>
        </w:rPr>
        <w:br w:type="page"/>
      </w:r>
    </w:p>
    <w:p w14:paraId="6D56A4A6">
      <w:pPr>
        <w:bidi w:val="0"/>
        <w:ind w:left="0" w:leftChars="0" w:firstLine="0" w:firstLineChars="0"/>
        <w:rPr>
          <w:rFonts w:hint="default"/>
          <w:b/>
          <w:bCs/>
          <w:lang w:val="en-US" w:eastAsia="zh-CN"/>
        </w:rPr>
      </w:pPr>
      <w:r>
        <w:rPr>
          <w:rFonts w:hint="eastAsia"/>
          <w:b/>
          <w:bCs/>
          <w:lang w:val="en-US" w:eastAsia="zh-CN"/>
        </w:rPr>
        <w:t>附图：现场安装条件</w:t>
      </w:r>
    </w:p>
    <w:p w14:paraId="5B650225">
      <w:pPr>
        <w:pStyle w:val="2"/>
        <w:ind w:left="0" w:leftChars="0" w:firstLine="0" w:firstLineChars="0"/>
        <w:rPr>
          <w:rFonts w:hint="default"/>
          <w:lang w:val="en-US" w:eastAsia="zh-CN"/>
        </w:rPr>
      </w:pPr>
      <w:r>
        <w:drawing>
          <wp:inline distT="0" distB="0" distL="114300" distR="114300">
            <wp:extent cx="5483860" cy="4113530"/>
            <wp:effectExtent l="0" t="0" r="2540" b="12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483860" cy="4113530"/>
                    </a:xfrm>
                    <a:prstGeom prst="rect">
                      <a:avLst/>
                    </a:prstGeom>
                    <a:noFill/>
                    <a:ln>
                      <a:noFill/>
                    </a:ln>
                  </pic:spPr>
                </pic:pic>
              </a:graphicData>
            </a:graphic>
          </wp:inline>
        </w:drawing>
      </w:r>
    </w:p>
    <w:p w14:paraId="42777944">
      <w:pPr>
        <w:pStyle w:val="4"/>
        <w:ind w:left="0" w:leftChars="0" w:firstLine="0" w:firstLineChars="0"/>
        <w:rPr>
          <w:rFonts w:hint="eastAsia"/>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568325</wp:posOffset>
                </wp:positionH>
                <wp:positionV relativeFrom="paragraph">
                  <wp:posOffset>2383155</wp:posOffset>
                </wp:positionV>
                <wp:extent cx="819785" cy="389255"/>
                <wp:effectExtent l="6350" t="6350" r="12065" b="13970"/>
                <wp:wrapNone/>
                <wp:docPr id="6" name="矩形 6"/>
                <wp:cNvGraphicFramePr/>
                <a:graphic xmlns:a="http://schemas.openxmlformats.org/drawingml/2006/main">
                  <a:graphicData uri="http://schemas.microsoft.com/office/word/2010/wordprocessingShape">
                    <wps:wsp>
                      <wps:cNvSpPr/>
                      <wps:spPr>
                        <a:xfrm>
                          <a:off x="1939290" y="7835265"/>
                          <a:ext cx="819785" cy="389255"/>
                        </a:xfrm>
                        <a:prstGeom prst="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61617FFB">
                            <w:pPr>
                              <w:ind w:left="0" w:leftChars="0" w:firstLine="0" w:firstLineChars="0"/>
                              <w:jc w:val="both"/>
                              <w:rPr>
                                <w:rFonts w:hint="eastAsia" w:ascii="微软雅黑" w:hAnsi="微软雅黑" w:eastAsia="微软雅黑" w:cs="微软雅黑"/>
                                <w:b/>
                                <w:bCs/>
                                <w:sz w:val="22"/>
                                <w:szCs w:val="21"/>
                                <w:lang w:val="en-US" w:eastAsia="zh-CN"/>
                              </w:rPr>
                            </w:pPr>
                            <w:r>
                              <w:rPr>
                                <w:rFonts w:hint="eastAsia" w:ascii="微软雅黑" w:hAnsi="微软雅黑" w:eastAsia="微软雅黑" w:cs="微软雅黑"/>
                                <w:b/>
                                <w:bCs/>
                                <w:sz w:val="22"/>
                                <w:szCs w:val="21"/>
                                <w:lang w:val="en-US" w:eastAsia="zh-CN"/>
                              </w:rPr>
                              <w:t>二级减压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75pt;margin-top:187.65pt;height:30.65pt;width:64.55pt;z-index:251660288;v-text-anchor:middle;mso-width-relative:page;mso-height-relative:page;" fillcolor="#4874CB [3204]" filled="t" stroked="t" coordsize="21600,21600" o:gfxdata="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0fqt89wAAAAKAQAADwAAAAAAAAABACAAAAAiAAAAZHJzL2Rvd25yZXYueG1sUEsBAhQA&#10;FAAAAAgAh07iQMA7pqCZAgAALAUAAA4AAAAAAAAAAQAgAAAAKwEAAGRycy9lMm9Eb2MueG1sUEsF&#10;BgAAAAAGAAYAWQEAADYGAAAAAA==&#10;">
                <v:fill on="t" focussize="0,0"/>
                <v:stroke weight="1pt" color="#2E54A1 [2404]" miterlimit="8" joinstyle="miter"/>
                <v:imagedata o:title=""/>
                <o:lock v:ext="edit" aspectratio="f"/>
                <v:textbox>
                  <w:txbxContent>
                    <w:p w14:paraId="61617FFB">
                      <w:pPr>
                        <w:ind w:left="0" w:leftChars="0" w:firstLine="0" w:firstLineChars="0"/>
                        <w:jc w:val="both"/>
                        <w:rPr>
                          <w:rFonts w:hint="eastAsia" w:ascii="微软雅黑" w:hAnsi="微软雅黑" w:eastAsia="微软雅黑" w:cs="微软雅黑"/>
                          <w:b/>
                          <w:bCs/>
                          <w:sz w:val="22"/>
                          <w:szCs w:val="21"/>
                          <w:lang w:val="en-US" w:eastAsia="zh-CN"/>
                        </w:rPr>
                      </w:pPr>
                      <w:r>
                        <w:rPr>
                          <w:rFonts w:hint="eastAsia" w:ascii="微软雅黑" w:hAnsi="微软雅黑" w:eastAsia="微软雅黑" w:cs="微软雅黑"/>
                          <w:b/>
                          <w:bCs/>
                          <w:sz w:val="22"/>
                          <w:szCs w:val="21"/>
                          <w:lang w:val="en-US" w:eastAsia="zh-CN"/>
                        </w:rPr>
                        <w:t>二级减压</w:t>
                      </w:r>
                    </w:p>
                  </w:txbxContent>
                </v:textbox>
              </v:rect>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302260</wp:posOffset>
                </wp:positionH>
                <wp:positionV relativeFrom="paragraph">
                  <wp:posOffset>2929890</wp:posOffset>
                </wp:positionV>
                <wp:extent cx="5070475" cy="1075055"/>
                <wp:effectExtent l="5080" t="4445" r="10795" b="6350"/>
                <wp:wrapNone/>
                <wp:docPr id="1" name="文本框 1"/>
                <wp:cNvGraphicFramePr/>
                <a:graphic xmlns:a="http://schemas.openxmlformats.org/drawingml/2006/main">
                  <a:graphicData uri="http://schemas.microsoft.com/office/word/2010/wordprocessingShape">
                    <wps:wsp>
                      <wps:cNvSpPr txBox="1"/>
                      <wps:spPr>
                        <a:xfrm>
                          <a:off x="2268220" y="6701790"/>
                          <a:ext cx="5070475" cy="10750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EA9C57D">
                            <w:pPr>
                              <w:spacing w:line="240" w:lineRule="auto"/>
                              <w:ind w:left="0" w:leftChars="0" w:firstLine="0" w:firstLineChars="0"/>
                              <w:rPr>
                                <w:rFonts w:hint="eastAsia" w:ascii="微软雅黑" w:hAnsi="微软雅黑" w:eastAsia="微软雅黑" w:cs="微软雅黑"/>
                                <w:sz w:val="21"/>
                                <w:szCs w:val="20"/>
                              </w:rPr>
                            </w:pPr>
                            <w:r>
                              <w:rPr>
                                <w:rFonts w:hint="eastAsia" w:ascii="微软雅黑" w:hAnsi="微软雅黑" w:eastAsia="微软雅黑" w:cs="微软雅黑"/>
                                <w:sz w:val="18"/>
                                <w:szCs w:val="16"/>
                                <w:lang w:val="en-US" w:eastAsia="zh-CN"/>
                              </w:rPr>
                              <w:t>现有</w:t>
                            </w:r>
                            <w:r>
                              <w:rPr>
                                <w:rFonts w:hint="eastAsia" w:ascii="微软雅黑" w:hAnsi="微软雅黑" w:eastAsia="微软雅黑" w:cs="微软雅黑"/>
                                <w:sz w:val="18"/>
                                <w:szCs w:val="16"/>
                              </w:rPr>
                              <w:t>供气系统：气瓶出口处为自带的减压阀，为一级减压装置，除此之外，供气系统还要求采用两级减压的方式进行供气，共计三级减压，</w:t>
                            </w:r>
                            <w:r>
                              <w:rPr>
                                <w:rFonts w:hint="eastAsia" w:ascii="微软雅黑" w:hAnsi="微软雅黑" w:eastAsia="微软雅黑" w:cs="微软雅黑"/>
                                <w:sz w:val="18"/>
                                <w:szCs w:val="16"/>
                                <w:highlight w:val="yellow"/>
                              </w:rPr>
                              <w:t>气瓶出口第一次减压</w:t>
                            </w:r>
                            <w:r>
                              <w:rPr>
                                <w:rFonts w:hint="eastAsia" w:ascii="微软雅黑" w:hAnsi="微软雅黑" w:eastAsia="微软雅黑" w:cs="微软雅黑"/>
                                <w:sz w:val="18"/>
                                <w:szCs w:val="16"/>
                              </w:rPr>
                              <w:t>，实现15Mpa到6Mpa，引至用气端供气汇流排进行</w:t>
                            </w:r>
                            <w:r>
                              <w:rPr>
                                <w:rFonts w:hint="eastAsia" w:ascii="微软雅黑" w:hAnsi="微软雅黑" w:eastAsia="微软雅黑" w:cs="微软雅黑"/>
                                <w:sz w:val="18"/>
                                <w:szCs w:val="16"/>
                                <w:highlight w:val="yellow"/>
                              </w:rPr>
                              <w:t>第二级减压，实现气体压力区间0-6Mpa可调</w:t>
                            </w:r>
                            <w:r>
                              <w:rPr>
                                <w:rFonts w:hint="eastAsia" w:ascii="微软雅黑" w:hAnsi="微软雅黑" w:eastAsia="微软雅黑" w:cs="微软雅黑"/>
                                <w:sz w:val="18"/>
                                <w:szCs w:val="16"/>
                              </w:rPr>
                              <w:t>，用不锈钢金属管气路管线将气体引至试验区的4个终端实验台处，对应设置4组用气点，用气点安装三级减压阀将气体压力降低至0.8-1.2Mpa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pt;margin-top:230.7pt;height:84.65pt;width:399.25pt;z-index:251659264;mso-width-relative:page;mso-height-relative:page;" fillcolor="#FFFFFF [3201]" filled="t" stroked="t" coordsize="21600,21600" o:gfxdata="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XP40l9YAAAAKAQAADwAAAAAAAAABACAAAAAiAAAAZHJzL2Rvd25yZXYueG1sUEsBAhQAFAAA&#10;AAgAh07iQNqHlS5jAgAAxAQAAA4AAAAAAAAAAQAgAAAAJQEAAGRycy9lMm9Eb2MueG1sUEsFBgAA&#10;AAAGAAYAWQEAAPoFAAAAAA==&#10;">
                <v:fill on="t" focussize="0,0"/>
                <v:stroke weight="0.5pt" color="#000000 [3204]" joinstyle="round"/>
                <v:imagedata o:title=""/>
                <o:lock v:ext="edit" aspectratio="f"/>
                <v:textbox>
                  <w:txbxContent>
                    <w:p w14:paraId="1EA9C57D">
                      <w:pPr>
                        <w:spacing w:line="240" w:lineRule="auto"/>
                        <w:ind w:left="0" w:leftChars="0" w:firstLine="0" w:firstLineChars="0"/>
                        <w:rPr>
                          <w:rFonts w:hint="eastAsia" w:ascii="微软雅黑" w:hAnsi="微软雅黑" w:eastAsia="微软雅黑" w:cs="微软雅黑"/>
                          <w:sz w:val="21"/>
                          <w:szCs w:val="20"/>
                        </w:rPr>
                      </w:pPr>
                      <w:r>
                        <w:rPr>
                          <w:rFonts w:hint="eastAsia" w:ascii="微软雅黑" w:hAnsi="微软雅黑" w:eastAsia="微软雅黑" w:cs="微软雅黑"/>
                          <w:sz w:val="18"/>
                          <w:szCs w:val="16"/>
                          <w:lang w:val="en-US" w:eastAsia="zh-CN"/>
                        </w:rPr>
                        <w:t>现有</w:t>
                      </w:r>
                      <w:r>
                        <w:rPr>
                          <w:rFonts w:hint="eastAsia" w:ascii="微软雅黑" w:hAnsi="微软雅黑" w:eastAsia="微软雅黑" w:cs="微软雅黑"/>
                          <w:sz w:val="18"/>
                          <w:szCs w:val="16"/>
                        </w:rPr>
                        <w:t>供气系统：气瓶出口处为自带的减压阀，为一级减压装置，除此之外，供气系统还要求采用两级减压的方式进行供气，共计三级减压，</w:t>
                      </w:r>
                      <w:r>
                        <w:rPr>
                          <w:rFonts w:hint="eastAsia" w:ascii="微软雅黑" w:hAnsi="微软雅黑" w:eastAsia="微软雅黑" w:cs="微软雅黑"/>
                          <w:sz w:val="18"/>
                          <w:szCs w:val="16"/>
                          <w:highlight w:val="yellow"/>
                        </w:rPr>
                        <w:t>气瓶出口第一次减压</w:t>
                      </w:r>
                      <w:r>
                        <w:rPr>
                          <w:rFonts w:hint="eastAsia" w:ascii="微软雅黑" w:hAnsi="微软雅黑" w:eastAsia="微软雅黑" w:cs="微软雅黑"/>
                          <w:sz w:val="18"/>
                          <w:szCs w:val="16"/>
                        </w:rPr>
                        <w:t>，实现15Mpa到6Mpa，引至用气端供气汇流排进行</w:t>
                      </w:r>
                      <w:r>
                        <w:rPr>
                          <w:rFonts w:hint="eastAsia" w:ascii="微软雅黑" w:hAnsi="微软雅黑" w:eastAsia="微软雅黑" w:cs="微软雅黑"/>
                          <w:sz w:val="18"/>
                          <w:szCs w:val="16"/>
                          <w:highlight w:val="yellow"/>
                        </w:rPr>
                        <w:t>第二级减压，实现气体压力区间0-6Mpa可调</w:t>
                      </w:r>
                      <w:r>
                        <w:rPr>
                          <w:rFonts w:hint="eastAsia" w:ascii="微软雅黑" w:hAnsi="微软雅黑" w:eastAsia="微软雅黑" w:cs="微软雅黑"/>
                          <w:sz w:val="18"/>
                          <w:szCs w:val="16"/>
                        </w:rPr>
                        <w:t>，用不锈钢金属管气路管线将气体引至试验区的4个终端实验台处，对应设置4组用气点，用气点安装三级减压阀将气体压力降低至0.8-1.2Mpa</w:t>
                      </w:r>
                    </w:p>
                  </w:txbxContent>
                </v:textbox>
              </v:shape>
            </w:pict>
          </mc:Fallback>
        </mc:AlternateContent>
      </w:r>
      <w:r>
        <w:rPr>
          <w:rFonts w:hint="eastAsia"/>
          <w:lang w:val="en-US" w:eastAsia="zh-CN"/>
        </w:rPr>
        <w:drawing>
          <wp:inline distT="0" distB="0" distL="114300" distR="114300">
            <wp:extent cx="5515610" cy="4137660"/>
            <wp:effectExtent l="0" t="0" r="8890" b="5715"/>
            <wp:docPr id="2" name="图片 2" descr="a864ca6f667b569e429434e18fca0e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864ca6f667b569e429434e18fca0e73"/>
                    <pic:cNvPicPr>
                      <a:picLocks noChangeAspect="1"/>
                    </pic:cNvPicPr>
                  </pic:nvPicPr>
                  <pic:blipFill>
                    <a:blip r:embed="rId7"/>
                    <a:stretch>
                      <a:fillRect/>
                    </a:stretch>
                  </pic:blipFill>
                  <pic:spPr>
                    <a:xfrm>
                      <a:off x="0" y="0"/>
                      <a:ext cx="5515610" cy="4137660"/>
                    </a:xfrm>
                    <a:prstGeom prst="rect">
                      <a:avLst/>
                    </a:prstGeom>
                  </pic:spPr>
                </pic:pic>
              </a:graphicData>
            </a:graphic>
          </wp:inline>
        </w:drawing>
      </w:r>
    </w:p>
    <w:p w14:paraId="2956D011">
      <w:pPr>
        <w:pStyle w:val="4"/>
        <w:ind w:left="0" w:leftChars="0" w:firstLine="0" w:firstLineChars="0"/>
        <w:rPr>
          <w:rFonts w:hint="default"/>
          <w:b/>
          <w:bCs/>
          <w:sz w:val="28"/>
          <w:szCs w:val="24"/>
          <w:lang w:val="en-US" w:eastAsia="zh-CN"/>
        </w:rPr>
      </w:pPr>
      <w:r>
        <w:rPr>
          <w:rFonts w:hint="eastAsia"/>
          <w:b/>
          <w:bCs/>
          <w:sz w:val="28"/>
          <w:szCs w:val="24"/>
          <w:lang w:val="en-US" w:eastAsia="zh-CN"/>
        </w:rPr>
        <w:t>实验室整体尺寸：宽度8.4米，长度约20米</w:t>
      </w:r>
    </w:p>
    <w:p w14:paraId="4EFB9AB4">
      <w:pPr>
        <w:pStyle w:val="4"/>
        <w:ind w:left="0" w:leftChars="0" w:firstLine="0" w:firstLineChars="0"/>
      </w:pPr>
      <w:r>
        <w:drawing>
          <wp:inline distT="0" distB="0" distL="114300" distR="114300">
            <wp:extent cx="5267325" cy="3098165"/>
            <wp:effectExtent l="0" t="0" r="0" b="698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5267325" cy="3098165"/>
                    </a:xfrm>
                    <a:prstGeom prst="rect">
                      <a:avLst/>
                    </a:prstGeom>
                    <a:noFill/>
                    <a:ln>
                      <a:noFill/>
                    </a:ln>
                  </pic:spPr>
                </pic:pic>
              </a:graphicData>
            </a:graphic>
          </wp:inline>
        </w:drawing>
      </w:r>
    </w:p>
    <w:p w14:paraId="34FA3285">
      <w:pPr>
        <w:pStyle w:val="4"/>
        <w:ind w:left="0" w:leftChars="0" w:firstLine="0" w:firstLineChars="0"/>
        <w:rPr>
          <w:rFonts w:hint="default" w:eastAsia="宋体"/>
          <w:b/>
          <w:bCs/>
          <w:lang w:val="en-US" w:eastAsia="zh-CN"/>
        </w:rPr>
      </w:pPr>
      <w:r>
        <w:rPr>
          <w:rFonts w:hint="eastAsia"/>
          <w:b/>
          <w:bCs/>
          <w:lang w:val="en-US" w:eastAsia="zh-CN"/>
        </w:rPr>
        <w:t>地面划线图</w:t>
      </w:r>
    </w:p>
    <w:p w14:paraId="35A586E9">
      <w:pPr>
        <w:pStyle w:val="4"/>
        <w:ind w:left="0" w:leftChars="0" w:firstLine="0" w:firstLineChars="0"/>
        <w:rPr>
          <w:rFonts w:hint="eastAsia" w:eastAsia="宋体"/>
          <w:lang w:val="en-US" w:eastAsia="zh-CN"/>
        </w:rPr>
      </w:pPr>
      <w:r>
        <w:rPr>
          <w:rFonts w:hint="eastAsia" w:eastAsia="宋体"/>
          <w:lang w:val="en-US" w:eastAsia="zh-CN"/>
        </w:rPr>
        <w:drawing>
          <wp:inline distT="0" distB="0" distL="114300" distR="114300">
            <wp:extent cx="5270500" cy="2446655"/>
            <wp:effectExtent l="0" t="0" r="6350" b="1270"/>
            <wp:docPr id="5" name="图片 5" descr="微信图片_202503261559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503261559193"/>
                    <pic:cNvPicPr>
                      <a:picLocks noChangeAspect="1"/>
                    </pic:cNvPicPr>
                  </pic:nvPicPr>
                  <pic:blipFill>
                    <a:blip r:embed="rId9"/>
                    <a:stretch>
                      <a:fillRect/>
                    </a:stretch>
                  </pic:blipFill>
                  <pic:spPr>
                    <a:xfrm>
                      <a:off x="0" y="0"/>
                      <a:ext cx="5270500" cy="244665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4DCEDC"/>
    <w:multiLevelType w:val="singleLevel"/>
    <w:tmpl w:val="C84DCEDC"/>
    <w:lvl w:ilvl="0" w:tentative="0">
      <w:start w:val="1"/>
      <w:numFmt w:val="decimal"/>
      <w:suff w:val="nothing"/>
      <w:lvlText w:val="（%1）"/>
      <w:lvlJc w:val="left"/>
    </w:lvl>
  </w:abstractNum>
  <w:abstractNum w:abstractNumId="1">
    <w:nsid w:val="CCB4E0C8"/>
    <w:multiLevelType w:val="singleLevel"/>
    <w:tmpl w:val="CCB4E0C8"/>
    <w:lvl w:ilvl="0" w:tentative="0">
      <w:start w:val="1"/>
      <w:numFmt w:val="chineseCounting"/>
      <w:suff w:val="nothing"/>
      <w:lvlText w:val="%1、"/>
      <w:lvlJc w:val="left"/>
      <w:pPr>
        <w:ind w:left="0" w:firstLine="420"/>
      </w:pPr>
      <w:rPr>
        <w:rFonts w:hint="eastAsia"/>
      </w:rPr>
    </w:lvl>
  </w:abstractNum>
  <w:abstractNum w:abstractNumId="2">
    <w:nsid w:val="CFC42E3A"/>
    <w:multiLevelType w:val="singleLevel"/>
    <w:tmpl w:val="CFC42E3A"/>
    <w:lvl w:ilvl="0" w:tentative="0">
      <w:start w:val="1"/>
      <w:numFmt w:val="decimal"/>
      <w:suff w:val="nothing"/>
      <w:lvlText w:val="（%1）"/>
      <w:lvlJc w:val="left"/>
      <w:pPr>
        <w:ind w:left="0" w:firstLine="403"/>
      </w:pPr>
      <w:rPr>
        <w:rFonts w:hint="default"/>
      </w:rPr>
    </w:lvl>
  </w:abstractNum>
  <w:abstractNum w:abstractNumId="3">
    <w:nsid w:val="EA67BE7E"/>
    <w:multiLevelType w:val="singleLevel"/>
    <w:tmpl w:val="EA67BE7E"/>
    <w:lvl w:ilvl="0" w:tentative="0">
      <w:start w:val="1"/>
      <w:numFmt w:val="decimal"/>
      <w:suff w:val="nothing"/>
      <w:lvlText w:val="（%1）"/>
      <w:lvlJc w:val="left"/>
      <w:pPr>
        <w:ind w:left="0" w:firstLine="403"/>
      </w:pPr>
      <w:rPr>
        <w:rFonts w:hint="default"/>
      </w:rPr>
    </w:lvl>
  </w:abstractNum>
  <w:abstractNum w:abstractNumId="4">
    <w:nsid w:val="F58AEBFA"/>
    <w:multiLevelType w:val="singleLevel"/>
    <w:tmpl w:val="F58AEBFA"/>
    <w:lvl w:ilvl="0" w:tentative="0">
      <w:start w:val="1"/>
      <w:numFmt w:val="decimal"/>
      <w:suff w:val="nothing"/>
      <w:lvlText w:val="（%1）"/>
      <w:lvlJc w:val="left"/>
      <w:pPr>
        <w:ind w:left="0" w:firstLine="403"/>
      </w:pPr>
      <w:rPr>
        <w:rFonts w:hint="default"/>
      </w:rPr>
    </w:lvl>
  </w:abstractNum>
  <w:abstractNum w:abstractNumId="5">
    <w:nsid w:val="310E03C3"/>
    <w:multiLevelType w:val="singleLevel"/>
    <w:tmpl w:val="310E03C3"/>
    <w:lvl w:ilvl="0" w:tentative="0">
      <w:start w:val="1"/>
      <w:numFmt w:val="decimalEnclosedCircleChinese"/>
      <w:suff w:val="nothing"/>
      <w:lvlText w:val="%1　"/>
      <w:lvlJc w:val="left"/>
      <w:pPr>
        <w:ind w:left="0" w:firstLine="400"/>
      </w:pPr>
      <w:rPr>
        <w:rFonts w:hint="eastAsia"/>
      </w:rPr>
    </w:lvl>
  </w:abstractNum>
  <w:abstractNum w:abstractNumId="6">
    <w:nsid w:val="3A83FB11"/>
    <w:multiLevelType w:val="singleLevel"/>
    <w:tmpl w:val="3A83FB11"/>
    <w:lvl w:ilvl="0" w:tentative="0">
      <w:start w:val="1"/>
      <w:numFmt w:val="decimal"/>
      <w:suff w:val="nothing"/>
      <w:lvlText w:val="（%1）"/>
      <w:lvlJc w:val="left"/>
      <w:pPr>
        <w:ind w:left="0" w:firstLine="403"/>
      </w:pPr>
      <w:rPr>
        <w:rFonts w:hint="default"/>
      </w:rPr>
    </w:lvl>
  </w:abstractNum>
  <w:abstractNum w:abstractNumId="7">
    <w:nsid w:val="3F64DAB2"/>
    <w:multiLevelType w:val="singleLevel"/>
    <w:tmpl w:val="3F64DAB2"/>
    <w:lvl w:ilvl="0" w:tentative="0">
      <w:start w:val="1"/>
      <w:numFmt w:val="decimal"/>
      <w:suff w:val="nothing"/>
      <w:lvlText w:val="（%1）"/>
      <w:lvlJc w:val="left"/>
      <w:pPr>
        <w:ind w:left="0" w:firstLine="403"/>
      </w:pPr>
      <w:rPr>
        <w:rFonts w:hint="default"/>
      </w:rPr>
    </w:lvl>
  </w:abstractNum>
  <w:abstractNum w:abstractNumId="8">
    <w:nsid w:val="63A831A1"/>
    <w:multiLevelType w:val="multilevel"/>
    <w:tmpl w:val="63A831A1"/>
    <w:lvl w:ilvl="0" w:tentative="0">
      <w:start w:val="1"/>
      <w:numFmt w:val="decimal"/>
      <w:lvlText w:val="%1."/>
      <w:lvlJc w:val="left"/>
      <w:pPr>
        <w:ind w:left="559" w:hanging="322"/>
      </w:pPr>
      <w:rPr>
        <w:rFonts w:hint="default" w:ascii="宋体" w:hAnsi="宋体" w:eastAsia="宋体" w:cs="宋体"/>
        <w:spacing w:val="-1"/>
        <w:w w:val="100"/>
        <w:sz w:val="30"/>
        <w:szCs w:val="30"/>
        <w:lang w:val="en-US" w:eastAsia="en-US" w:bidi="en-US"/>
      </w:rPr>
    </w:lvl>
    <w:lvl w:ilvl="1" w:tentative="0">
      <w:start w:val="1"/>
      <w:numFmt w:val="decimal"/>
      <w:pStyle w:val="10"/>
      <w:suff w:val="space"/>
      <w:lvlText w:val="%1.%2"/>
      <w:lvlJc w:val="left"/>
      <w:pPr>
        <w:ind w:left="150" w:hanging="548"/>
      </w:pPr>
      <w:rPr>
        <w:rFonts w:hint="default"/>
        <w:w w:val="100"/>
        <w:lang w:val="en-US" w:eastAsia="en-US" w:bidi="en-US"/>
      </w:rPr>
    </w:lvl>
    <w:lvl w:ilvl="2" w:tentative="0">
      <w:start w:val="2"/>
      <w:numFmt w:val="decimal"/>
      <w:lvlText w:val="%1.%2.%3"/>
      <w:lvlJc w:val="left"/>
      <w:pPr>
        <w:ind w:left="237" w:firstLine="472"/>
      </w:pPr>
      <w:rPr>
        <w:rFonts w:hint="default"/>
        <w:spacing w:val="-1"/>
        <w:w w:val="100"/>
        <w:lang w:val="en-US" w:eastAsia="en-US" w:bidi="en-US"/>
      </w:rPr>
    </w:lvl>
    <w:lvl w:ilvl="3" w:tentative="0">
      <w:start w:val="1"/>
      <w:numFmt w:val="bullet"/>
      <w:lvlText w:val=""/>
      <w:lvlJc w:val="left"/>
      <w:pPr>
        <w:ind w:left="1140" w:hanging="548"/>
      </w:pPr>
      <w:rPr>
        <w:rFonts w:hint="default" w:ascii="Wingdings" w:hAnsi="Wingdings"/>
        <w:lang w:val="en-US" w:eastAsia="en-US" w:bidi="en-US"/>
      </w:rPr>
    </w:lvl>
    <w:lvl w:ilvl="4" w:tentative="0">
      <w:start w:val="0"/>
      <w:numFmt w:val="bullet"/>
      <w:lvlText w:val="•"/>
      <w:lvlJc w:val="left"/>
      <w:pPr>
        <w:ind w:left="1260" w:hanging="548"/>
      </w:pPr>
      <w:rPr>
        <w:rFonts w:hint="default"/>
        <w:lang w:val="en-US" w:eastAsia="en-US" w:bidi="en-US"/>
      </w:rPr>
    </w:lvl>
    <w:lvl w:ilvl="5" w:tentative="0">
      <w:start w:val="0"/>
      <w:numFmt w:val="bullet"/>
      <w:lvlText w:val="•"/>
      <w:lvlJc w:val="left"/>
      <w:pPr>
        <w:ind w:left="2830" w:hanging="548"/>
      </w:pPr>
      <w:rPr>
        <w:rFonts w:hint="default"/>
        <w:lang w:val="en-US" w:eastAsia="en-US" w:bidi="en-US"/>
      </w:rPr>
    </w:lvl>
    <w:lvl w:ilvl="6" w:tentative="0">
      <w:start w:val="0"/>
      <w:numFmt w:val="bullet"/>
      <w:lvlText w:val="•"/>
      <w:lvlJc w:val="left"/>
      <w:pPr>
        <w:ind w:left="4401" w:hanging="548"/>
      </w:pPr>
      <w:rPr>
        <w:rFonts w:hint="default"/>
        <w:lang w:val="en-US" w:eastAsia="en-US" w:bidi="en-US"/>
      </w:rPr>
    </w:lvl>
    <w:lvl w:ilvl="7" w:tentative="0">
      <w:start w:val="0"/>
      <w:numFmt w:val="bullet"/>
      <w:lvlText w:val="•"/>
      <w:lvlJc w:val="left"/>
      <w:pPr>
        <w:ind w:left="5972" w:hanging="548"/>
      </w:pPr>
      <w:rPr>
        <w:rFonts w:hint="default"/>
        <w:lang w:val="en-US" w:eastAsia="en-US" w:bidi="en-US"/>
      </w:rPr>
    </w:lvl>
    <w:lvl w:ilvl="8" w:tentative="0">
      <w:start w:val="0"/>
      <w:numFmt w:val="bullet"/>
      <w:lvlText w:val="•"/>
      <w:lvlJc w:val="left"/>
      <w:pPr>
        <w:ind w:left="7542" w:hanging="548"/>
      </w:pPr>
      <w:rPr>
        <w:rFonts w:hint="default"/>
        <w:lang w:val="en-US" w:eastAsia="en-US" w:bidi="en-US"/>
      </w:rPr>
    </w:lvl>
  </w:abstractNum>
  <w:num w:numId="1">
    <w:abstractNumId w:val="8"/>
  </w:num>
  <w:num w:numId="2">
    <w:abstractNumId w:val="1"/>
  </w:num>
  <w:num w:numId="3">
    <w:abstractNumId w:val="4"/>
  </w:num>
  <w:num w:numId="4">
    <w:abstractNumId w:val="2"/>
  </w:num>
  <w:num w:numId="5">
    <w:abstractNumId w:val="3"/>
  </w:num>
  <w:num w:numId="6">
    <w:abstractNumId w:val="7"/>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810B4"/>
    <w:rsid w:val="04EB3ACB"/>
    <w:rsid w:val="08B1317F"/>
    <w:rsid w:val="0EEF3211"/>
    <w:rsid w:val="119360D6"/>
    <w:rsid w:val="156F06C3"/>
    <w:rsid w:val="18B804C7"/>
    <w:rsid w:val="195C14A3"/>
    <w:rsid w:val="1CBE05B7"/>
    <w:rsid w:val="1F2708CD"/>
    <w:rsid w:val="209408C0"/>
    <w:rsid w:val="20C50E46"/>
    <w:rsid w:val="222C6C44"/>
    <w:rsid w:val="27066F24"/>
    <w:rsid w:val="27411419"/>
    <w:rsid w:val="2D885F90"/>
    <w:rsid w:val="301237CE"/>
    <w:rsid w:val="35C673C5"/>
    <w:rsid w:val="39CA001F"/>
    <w:rsid w:val="39CE564E"/>
    <w:rsid w:val="3BBD5812"/>
    <w:rsid w:val="3DD403BC"/>
    <w:rsid w:val="3F0C7AC8"/>
    <w:rsid w:val="434370AD"/>
    <w:rsid w:val="48050DD4"/>
    <w:rsid w:val="49516B58"/>
    <w:rsid w:val="497B730F"/>
    <w:rsid w:val="4E4C4D02"/>
    <w:rsid w:val="4FEF1CBC"/>
    <w:rsid w:val="51246EB8"/>
    <w:rsid w:val="5295690B"/>
    <w:rsid w:val="631D301E"/>
    <w:rsid w:val="63C96D02"/>
    <w:rsid w:val="6577439A"/>
    <w:rsid w:val="673B426B"/>
    <w:rsid w:val="688D4B9A"/>
    <w:rsid w:val="69925ED5"/>
    <w:rsid w:val="6ABA73A5"/>
    <w:rsid w:val="6AD93CCF"/>
    <w:rsid w:val="704D3C9A"/>
    <w:rsid w:val="7202467C"/>
    <w:rsid w:val="783D6476"/>
    <w:rsid w:val="78EC259A"/>
    <w:rsid w:val="79D02DFA"/>
    <w:rsid w:val="7E4A1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720" w:firstLineChars="200"/>
      <w:jc w:val="both"/>
    </w:pPr>
    <w:rPr>
      <w:rFonts w:ascii="Times New Roman" w:hAnsi="Times New Roman" w:eastAsia="宋体" w:cstheme="minorBidi"/>
      <w:kern w:val="2"/>
      <w:sz w:val="24"/>
      <w:szCs w:val="22"/>
      <w:lang w:val="en-US" w:eastAsia="zh-CN" w:bidi="ar-SA"/>
      <w14:ligatures w14:val="standardContextual"/>
    </w:rPr>
  </w:style>
  <w:style w:type="paragraph" w:styleId="3">
    <w:name w:val="heading 1"/>
    <w:basedOn w:val="1"/>
    <w:next w:val="4"/>
    <w:qFormat/>
    <w:uiPriority w:val="0"/>
    <w:pPr>
      <w:keepNext/>
      <w:keepLines/>
      <w:spacing w:before="50" w:beforeLines="50" w:beforeAutospacing="0" w:after="50" w:afterLines="50" w:afterAutospacing="0" w:line="240" w:lineRule="auto"/>
      <w:ind w:left="0" w:leftChars="0" w:firstLine="0" w:firstLineChars="0"/>
      <w:outlineLvl w:val="0"/>
    </w:pPr>
    <w:rPr>
      <w:rFonts w:cs="Times New Roman"/>
      <w:b/>
      <w:kern w:val="44"/>
      <w:sz w:val="28"/>
      <w:szCs w:val="24"/>
    </w:rPr>
  </w:style>
  <w:style w:type="paragraph" w:styleId="6">
    <w:name w:val="heading 2"/>
    <w:basedOn w:val="1"/>
    <w:next w:val="1"/>
    <w:semiHidden/>
    <w:unhideWhenUsed/>
    <w:qFormat/>
    <w:uiPriority w:val="0"/>
    <w:pPr>
      <w:keepNext/>
      <w:keepLines/>
      <w:spacing w:before="50" w:beforeLines="50" w:beforeAutospacing="0" w:after="50" w:afterLines="50" w:afterAutospacing="0" w:line="240" w:lineRule="auto"/>
      <w:ind w:firstLine="0" w:firstLineChars="0"/>
      <w:outlineLvl w:val="1"/>
    </w:pPr>
    <w:rPr>
      <w:rFonts w:ascii="Arial" w:hAnsi="Arial" w:eastAsia="黑体" w:cs="Times New Roman"/>
      <w:b/>
      <w:kern w:val="2"/>
      <w:sz w:val="28"/>
      <w:szCs w:val="24"/>
      <w:lang w:eastAsia="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420"/>
      <w:jc w:val="left"/>
    </w:pPr>
    <w:rPr>
      <w:rFonts w:ascii="宋体" w:hAnsi="宋体" w:eastAsia="宋体"/>
      <w:kern w:val="2"/>
      <w:sz w:val="28"/>
      <w:lang w:val="en-US" w:eastAsia="zh-CN" w:bidi="ar-SA"/>
    </w:rPr>
  </w:style>
  <w:style w:type="paragraph" w:styleId="4">
    <w:name w:val="Body Text First Indent"/>
    <w:basedOn w:val="5"/>
    <w:qFormat/>
    <w:uiPriority w:val="0"/>
    <w:pPr>
      <w:ind w:firstLine="420" w:firstLineChars="100"/>
    </w:pPr>
  </w:style>
  <w:style w:type="paragraph" w:styleId="5">
    <w:name w:val="Body Text"/>
    <w:basedOn w:val="1"/>
    <w:qFormat/>
    <w:uiPriority w:val="1"/>
    <w:pPr>
      <w:spacing w:after="12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numPr>
        <w:ilvl w:val="1"/>
        <w:numId w:val="1"/>
      </w:numPr>
      <w:tabs>
        <w:tab w:val="left" w:pos="1145"/>
      </w:tabs>
      <w:autoSpaceDE w:val="0"/>
      <w:autoSpaceDN w:val="0"/>
      <w:adjustRightInd w:val="0"/>
      <w:ind w:firstLine="720" w:firstLineChars="200"/>
    </w:pPr>
    <w:rPr>
      <w:rFonts w:ascii="Arial" w:hAnsi="Arial" w:cs="Arial"/>
      <w:kern w:val="0"/>
      <w:sz w:val="24"/>
      <w:szCs w:val="24"/>
      <w:lang w:bidi="en-US"/>
    </w:rPr>
  </w:style>
  <w:style w:type="character" w:customStyle="1" w:styleId="11">
    <w:name w:val="font21"/>
    <w:basedOn w:val="9"/>
    <w:qFormat/>
    <w:uiPriority w:val="0"/>
    <w:rPr>
      <w:rFonts w:hint="eastAsia" w:ascii="宋体" w:hAnsi="宋体" w:eastAsia="宋体" w:cs="宋体"/>
      <w:color w:val="000000"/>
      <w:sz w:val="24"/>
      <w:szCs w:val="24"/>
      <w:u w:val="none"/>
    </w:rPr>
  </w:style>
  <w:style w:type="character" w:customStyle="1" w:styleId="12">
    <w:name w:val="font11"/>
    <w:basedOn w:val="9"/>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81185635-be31-481c-afb0-4f42440f7194</errorID>
      <errorWord>：</errorWord>
      <group>L1_AI</group>
      <groupName>深度校对</groupName>
      <ability>L2_AI_Punc</ability>
      <abilityName>标点纠错</abilityName>
      <candidateList>
        <item/>
      </candidateList>
      <explain/>
      <paraID>43A5BB34</paraID>
      <start>6</start>
      <end>6</end>
      <status>modified</status>
      <modifiedWord/>
      <trackRevisions>false</trackRevisions>
    </reviewItem>
    <reviewItem>
      <errorID>ad8afc1e-5ea7-468f-9a31-3de382fe71cb</errorID>
      <errorWord>营业执照</errorWord>
      <group>L1_AI</group>
      <groupName>深度校对</groupName>
      <ability>L2_AI_Grammar</ability>
      <abilityName>语法纠错</abilityName>
      <candidateList>
        <item>需提供营业执照</item>
      </candidateList>
      <explain/>
      <paraID>43A5BB34</paraID>
      <start>20</start>
      <end>27</end>
      <status>modified</status>
      <modifiedWord>需提供营业执照</modifiedWord>
      <trackRevisions>false</trackRevisions>
    </reviewItem>
    <reviewItem>
      <errorID>7eac1f08-5ac6-4fc0-bdd8-7f595377e127</errorID>
      <errorWord>清楚地标明在投标文件中</errorWord>
      <group>L1_AI</group>
      <groupName>深度校对</groupName>
      <ability>L2_AI_Word</ability>
      <abilityName>字词纠错</abilityName>
      <candidateList>
        <item>在投标文件中清楚地标明</item>
      </candidateList>
      <explain/>
      <paraID>650491FA</paraID>
      <start>49</start>
      <end>60</end>
      <status>modified</status>
      <modifiedWord>在投标文件中清楚地标明</modifiedWord>
      <trackRevisions>false</trackRevisions>
    </reviewItem>
    <reviewItem>
      <errorID>cd0fb550-ed45-46fd-ae29-ec9f5abd014d</errorID>
      <errorWord>向</errorWord>
      <group>L1_AI</group>
      <groupName>深度校对</groupName>
      <ability>L2_AI_Grammar</ability>
      <abilityName>语法纠错</abilityName>
      <candidateList>
        <item>以书面形式向</item>
      </candidateList>
      <explain/>
      <paraID>650491FA</paraID>
      <start>96</start>
      <end>102</end>
      <status>modified</status>
      <modifiedWord>以书面形式向</modifiedWord>
      <trackRevisions>false</trackRevisions>
    </reviewItem>
    <reviewItem>
      <errorID>18d9c94d-d3cc-497c-a1bd-8a1e80eee4c1</errorID>
      <errorWord>方书面</errorWord>
      <group>L1_AI</group>
      <groupName>深度校对</groupName>
      <ability>L2_AI_Grammar</ability>
      <abilityName>语法纠错</abilityName>
      <candidateList>
        <item>方</item>
      </candidateList>
      <explain/>
      <paraID>650491FA</paraID>
      <start>107</start>
      <end>108</end>
      <status>modified</status>
      <modifiedWord>方</modifiedWord>
      <trackRevisions>false</trackRevisions>
    </reviewItem>
    <reviewItem>
      <errorID>c6f37987-10e0-4453-9fd8-e00b6423ef9a</errorID>
      <errorWord>/</errorWord>
      <group>L1_AI</group>
      <groupName>深度校对</groupName>
      <ability>L2_AI_Word</ability>
      <abilityName>字词纠错</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650491FA</paraID>
      <start>117</start>
      <end>118</end>
      <status>modified</status>
      <modifiedWord>或</modifiedWord>
      <trackRevisions>false</trackRevisions>
    </reviewItem>
    <reviewItem>
      <errorID>5f4d8311-57b4-48e6-ba01-dfdf7bc10cf0</errorID>
      <errorWord>包含</errorWord>
      <group>L1_AI</group>
      <groupName>深度校对</groupName>
      <ability>L2_AI_Word</ability>
      <abilityName>字词纠错</abilityName>
      <candidateList>
        <item>包括</item>
      </candidateList>
      <explain/>
      <paraID>70A04860</paraID>
      <start>31</start>
      <end>33</end>
      <status>modified</status>
      <modifiedWord>包括</modifiedWord>
      <trackRevisions>false</trackRevisions>
    </reviewItem>
    <reviewItem>
      <errorID>4b8e46e5-dda9-405b-8b05-4795d3979c72</errorID>
      <errorWord>、</errorWord>
      <group>L1_AI</group>
      <groupName>深度校对</groupName>
      <ability>L2_AI_Punc</ability>
      <abilityName>标点纠错</abilityName>
      <candidateList>
        <item>，</item>
      </candidateList>
      <explain/>
      <paraID>29437123</paraID>
      <start>73</start>
      <end>74</end>
      <status>modified</status>
      <modifiedWord>，</modifiedWord>
      <trackRevisions>false</trackRevisions>
    </reviewItem>
    <reviewItem>
      <errorID>cc584ab9-5469-4935-b8d3-6cff349ec08e</errorID>
      <errorWord>要求为</errorWord>
      <group>L1_AI</group>
      <groupName>深度校对</groupName>
      <ability>L2_AI_Grammar</ability>
      <abilityName>语法纠错</abilityName>
      <candidateList>
        <item>要求</item>
      </candidateList>
      <explain>❶〈动〉提出具体愿望或条件，希望得到满足或实现：～转学｜～进步｜严格～自己。❷〈名〉所提出的具体愿望或条件：满足了他的～｜符合规定的～。</explain>
      <paraID> A0ABC58</paraID>
      <start>23</start>
      <end>25</end>
      <status>modified</status>
      <modifiedWord>要求</modifiedWord>
      <trackRevisions>false</trackRevisions>
    </reviewItem>
    <reviewItem>
      <errorID>709b7a42-e3f7-49b4-87d0-d612ce98f5ce</errorID>
      <errorWord>要求为</errorWord>
      <group>L1_AI</group>
      <groupName>深度校对</groupName>
      <ability>L2_AI_Grammar</ability>
      <abilityName>语法纠错</abilityName>
      <candidateList>
        <item>要求</item>
      </candidateList>
      <explain>❶〈动〉提出具体愿望或条件，希望得到满足或实现：～转学｜～进步｜严格～自己。❷〈名〉所提出的具体愿望或条件：满足了他的～｜符合规定的～。</explain>
      <paraID> A0ABC58</paraID>
      <start>67</start>
      <end>69</end>
      <status>modified</status>
      <modifiedWord>要求</modifiedWord>
      <trackRevisions>false</trackRevisions>
    </reviewItem>
    <reviewItem>
      <errorID>07909d39-0120-45a4-b88b-c02b7455e619</errorID>
      <errorWord>。</errorWord>
      <group>L1_AI</group>
      <groupName>深度校对</groupName>
      <ability>L2_AI_Punc</ability>
      <abilityName>标点纠错</abilityName>
      <candidateList>
        <item>，</item>
      </candidateList>
      <explain/>
      <paraID> A0ABC58</paraID>
      <start>132</start>
      <end>133</end>
      <status>modified</status>
      <modifiedWord>，</modifiedWord>
      <trackRevisions>false</trackRevisions>
    </reviewItem>
    <reviewItem>
      <errorID>ad54f344-ae59-4c97-a0bc-0b282939d4dd</errorID>
      <errorWord>，</errorWord>
      <group>L1_AI</group>
      <groupName>深度校对</groupName>
      <ability>L2_AI_Punc</ability>
      <abilityName>标点纠错</abilityName>
      <candidateList>
        <item>、</item>
      </candidateList>
      <explain/>
      <paraID>14089251</paraID>
      <start>112</start>
      <end>113</end>
      <status>modified</status>
      <modifiedWord>、</modifiedWord>
      <trackRevisions>false</trackRevisions>
    </reviewItem>
    <reviewItem>
      <errorID>cdfb4b83-96ca-4fde-8972-b41dd78e4369</errorID>
      <errorWord>6Mpa</errorWord>
      <group>L1_AI</group>
      <groupName>深度校对</groupName>
      <ability>L2_AI_Word</ability>
      <abilityName>字词纠错</abilityName>
      <candidateList>
        <item>6MPa</item>
      </candidateList>
      <explain/>
      <paraID>5A593C81</paraID>
      <start>25</start>
      <end>29</end>
      <status>modified</status>
      <modifiedWord>6MPa</modifiedWord>
      <trackRevisions>false</trackRevisions>
    </reviewItem>
    <reviewItem>
      <errorID>f731a0d5-9c35-4cbe-87dd-55c23d2c158a</errorID>
      <errorWord>路</errorWord>
      <group>L1_AI</group>
      <groupName>深度校对</groupName>
      <ability>L2_AI_Grammar</ability>
      <abilityName>语法纠错</abilityName>
      <candidateList>
        <item>管路</item>
      </candidateList>
      <explain/>
      <paraID>128DDDED</paraID>
      <start>15</start>
      <end>17</end>
      <status>modified</status>
      <modifiedWord>管路</modifiedWord>
      <trackRevisions>false</trackRevisions>
    </reviewItem>
    <reviewItem>
      <errorID>c212c973-f041-48b4-bbc7-548affea211a</errorID>
      <errorWord>，</errorWord>
      <group>L1_AI</group>
      <groupName>深度校对</groupName>
      <ability>L2_AI_Punc</ability>
      <abilityName>标点纠错</abilityName>
      <candidateList>
        <item>、</item>
      </candidateList>
      <explain/>
      <paraID>128DDDED</paraID>
      <start>17</start>
      <end>18</end>
      <status>modified</status>
      <modifiedWord>、</modifiedWord>
      <trackRevisions>false</trackRevisions>
    </reviewItem>
    <reviewItem>
      <errorID>d2ac7118-e736-4ae2-a653-dea71c0120a1</errorID>
      <errorWord>，</errorWord>
      <group>L1_AI</group>
      <groupName>深度校对</groupName>
      <ability>L2_AI_Punc</ability>
      <abilityName>标点纠错</abilityName>
      <candidateList>
        <item>、</item>
      </candidateList>
      <explain/>
      <paraID>128DDDED</paraID>
      <start>24</start>
      <end>25</end>
      <status>modified</status>
      <modifiedWord>、</modifiedWord>
      <trackRevisions>false</trackRevisions>
    </reviewItem>
    <reviewItem>
      <errorID>1e25bbae-658c-4c9c-96b2-a17c096bb5e9</errorID>
      <errorWord>真空氮气</errorWord>
      <group>L1_Knowledge</group>
      <groupName>知识性问题</groupName>
      <ability>L2_Term</ability>
      <abilityName>专业术语</abilityName>
      <candidateList>
        <item>真空除气</item>
      </candidateList>
      <explain/>
      <paraID>128DDDED</paraID>
      <start>26</start>
      <end>30</end>
      <status>ignored</status>
      <modifiedWord/>
      <trackRevisions>false</trackRevisions>
    </reviewItem>
    <reviewItem>
      <errorID>9d89c432-c022-49f7-a3a6-1c7c0c1ceb50</errorID>
      <errorWord>，</errorWord>
      <group>L1_AI</group>
      <groupName>深度校对</groupName>
      <ability>L2_AI_Punc</ability>
      <abilityName>标点纠错</abilityName>
      <candidateList>
        <item>、</item>
      </candidateList>
      <explain/>
      <paraID>128DDDED</paraID>
      <start>32</start>
      <end>33</end>
      <status>modified</status>
      <modifiedWord>、</modifiedWord>
      <trackRevisions>false</trackRevisions>
    </reviewItem>
    <reviewItem>
      <errorID>4d8a26eb-4f5c-4635-9060-d5145f0ca910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334BE11E</paraID>
      <start>82</start>
      <end>83</end>
      <status>ignored</status>
      <modifiedWord/>
      <trackRevisions>false</trackRevisions>
    </reviewItem>
    <reviewItem>
      <errorID>5184e55c-312a-4925-ac13-e554ae348a2f</errorID>
      <errorWord>，</errorWord>
      <group>L1_AI</group>
      <groupName>深度校对</groupName>
      <ability>L2_AI_Punc</ability>
      <abilityName>标点纠错</abilityName>
      <candidateList>
        <item>、</item>
      </candidateList>
      <explain/>
      <paraID>639A8E63</paraID>
      <start>20</start>
      <end>21</end>
      <status>ignored</status>
      <modifiedWord/>
      <trackRevisions>false</trackRevisions>
    </reviewItem>
    <reviewItem>
      <errorID>a1b4b4b4-e3ea-4b9c-a24e-03b95f180482</errorID>
      <errorWord>，</errorWord>
      <group>L1_AI</group>
      <groupName>深度校对</groupName>
      <ability>L2_AI_Punc</ability>
      <abilityName>标点纠错</abilityName>
      <candidateList>
        <item>、</item>
      </candidateList>
      <explain/>
      <paraID>639A8E63</paraID>
      <start>27</start>
      <end>28</end>
      <status>ignored</status>
      <modifiedWord/>
      <trackRevisions>false</trackRevisions>
    </reviewItem>
    <reviewItem>
      <errorID>7ca82067-3f81-498b-8be0-35a2397e8746</errorID>
      <errorWord>，</errorWord>
      <group>L1_AI</group>
      <groupName>深度校对</groupName>
      <ability>L2_AI_Punc</ability>
      <abilityName>标点纠错</abilityName>
      <candidateList>
        <item>、</item>
      </candidateList>
      <explain/>
      <paraID>639A8E63</paraID>
      <start>34</start>
      <end>35</end>
      <status>ignored</status>
      <modifiedWord/>
      <trackRevisions>false</trackRevisions>
    </reviewItem>
    <reviewItem>
      <errorID>5e1c0240-c95f-4962-a357-b8bc8ff426d9</errorID>
      <errorWord>，</errorWord>
      <group>L1_AI</group>
      <groupName>深度校对</groupName>
      <ability>L2_AI_Punc</ability>
      <abilityName>标点纠错</abilityName>
      <candidateList>
        <item>、</item>
      </candidateList>
      <explain/>
      <paraID>639A8E63</paraID>
      <start>39</start>
      <end>40</end>
      <status>ignored</status>
      <modifiedWord/>
      <trackRevisions>false</trackRevisions>
    </reviewItem>
    <reviewItem>
      <errorID>7589f7de-5265-4407-89af-5780999702b1</errorID>
      <errorWord>JB</errorWord>
      <group>L1_Sensitive</group>
      <groupName>敏感问题</groupName>
      <ability>L2_Abuse</ability>
      <abilityName>侮辱言辞</abilityName>
      <candidateList/>
      <explain>【侮辱言辞】句中涉及侮辱性的敏感内容，请注意甄别。</explain>
      <paraID>7CF7CF59</paraID>
      <start>0</start>
      <end>2</end>
      <status>ignored</status>
      <modifiedWord/>
      <trackRevisions>false</trackRevisions>
    </reviewItem>
    <reviewItem>
      <errorID>f7c9391e-26e1-4014-9f24-20d135c28c1b</errorID>
      <errorWord>JB</errorWord>
      <group>L1_Sensitive</group>
      <groupName>敏感问题</groupName>
      <ability>L2_Abuse</ability>
      <abilityName>侮辱言辞</abilityName>
      <candidateList/>
      <explain>【侮辱言辞】句中涉及侮辱性的敏感内容，请注意甄别。</explain>
      <paraID>1DE97070</paraID>
      <start>0</start>
      <end>2</end>
      <status>ignored</status>
      <modifiedWord/>
      <trackRevisions>false</trackRevisions>
    </reviewItem>
    <reviewItem>
      <errorID>32abf08a-ad81-45fa-a822-7a8e50ba6928</errorID>
      <errorWord>)</errorWord>
      <group>L1_Format</group>
      <groupName>格式问题</groupName>
      <ability>L2_HalfPunc</ability>
      <abilityName>全半角检查</abilityName>
      <candidateList>
        <item>）</item>
      </candidateList>
      <explain>文本全半角错误。</explain>
      <paraID>33A35511</paraID>
      <start>7</start>
      <end>8</end>
      <status>modified</status>
      <modifiedWord>）</modifiedWord>
      <trackRevisions>false</trackRevisions>
    </reviewItem>
    <reviewItem>
      <errorID>cf2577ef-a96c-459a-8fb8-bab8b737c28d</errorID>
      <errorWord>连锁</errorWord>
      <group>L1_Word</group>
      <groupName>字词问题</groupName>
      <ability>L2_Typo</ability>
      <abilityName>字词错误</abilityName>
      <candidateList>
        <item>联锁</item>
      </candidateList>
      <explain>存在发音相同字词的误用。</explain>
      <paraID>3B7F153D</paraID>
      <start>13</start>
      <end>15</end>
      <status>ignored</status>
      <modifiedWord/>
      <trackRevisions>false</trackRevisions>
    </reviewItem>
    <reviewItem>
      <errorID>ff36d72d-870e-4272-b6d5-33435b1bb7ba</errorID>
      <errorWord>流气体</errorWord>
      <group>L1_AI</group>
      <groupName>深度校对</groupName>
      <ability>L2_AI_Grammar</ability>
      <abilityName>语法纠错</abilityName>
      <candidateList>
        <item>流体</item>
      </candidateList>
      <explain/>
      <paraID>59058C89</paraID>
      <start>1</start>
      <end>3</end>
      <status>modified</status>
      <modifiedWord>流体</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c5b5d8-50de-4793-a909-d211fc268ad3}">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3665</Words>
  <Characters>4417</Characters>
  <Lines>0</Lines>
  <Paragraphs>0</Paragraphs>
  <TotalTime>7</TotalTime>
  <ScaleCrop>false</ScaleCrop>
  <LinksUpToDate>false</LinksUpToDate>
  <CharactersWithSpaces>4459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2024-09-29T06:55:00Z</dcterms:created>
  <dc:creator>86182</dc:creator>
  <cp:lastModifiedBy>zjl</cp:lastModifiedBy>
  <dcterms:modified xsi:type="dcterms:W3CDTF">2025-12-07T11:32:15Z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3BD36DB7B1B542BFA9C05082D93AFF7D_13</vt:lpwstr>
  </property>
  <property fmtid="{D5CDD505-2E9C-101B-9397-08002B2CF9AE}" pid="4" name="KSOTemplateDocerSaveRecord">
    <vt:lpwstr>eyJoZGlkIjoiYTYzZWRlNzVhMGQxNDk5NWU1NzA0MGQxNWMwYWIyNGYiLCJ1c2VySWQiOiIzMTM3NjM1NzAifQ==</vt:lpwstr>
  </property>
</Properties>
</file>