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BA1836">
      <w:pPr>
        <w:ind w:left="435" w:hanging="435"/>
        <w:jc w:val="center"/>
        <w:rPr>
          <w:rFonts w:hint="eastAsia" w:ascii="Times New Roman" w:hAnsi="Times New Roman" w:eastAsia="黑体" w:cs="Times New Roman"/>
          <w:sz w:val="36"/>
          <w:szCs w:val="40"/>
          <w:lang w:eastAsia="zh-CN"/>
        </w:rPr>
      </w:pPr>
      <w:r>
        <w:rPr>
          <w:rFonts w:ascii="Times New Roman" w:hAnsi="Times New Roman" w:eastAsia="黑体" w:cs="Times New Roman"/>
          <w:sz w:val="36"/>
          <w:szCs w:val="40"/>
        </w:rPr>
        <w:t>数控系统功能模块技术</w:t>
      </w:r>
      <w:r>
        <w:rPr>
          <w:rFonts w:hint="eastAsia" w:ascii="Times New Roman" w:hAnsi="Times New Roman" w:eastAsia="黑体" w:cs="Times New Roman"/>
          <w:sz w:val="36"/>
          <w:szCs w:val="40"/>
          <w:lang w:val="en-US" w:eastAsia="zh-CN"/>
        </w:rPr>
        <w:t>要求</w:t>
      </w:r>
    </w:p>
    <w:p w14:paraId="40489ECA">
      <w:pPr>
        <w:pStyle w:val="30"/>
        <w:numPr>
          <w:ilvl w:val="0"/>
          <w:numId w:val="1"/>
        </w:numPr>
        <w:spacing w:before="156" w:beforeLines="50" w:after="120" w:line="360" w:lineRule="auto"/>
        <w:ind w:left="437" w:hanging="437"/>
        <w:rPr>
          <w:rFonts w:ascii="Times New Roman" w:hAnsi="Times New Roman" w:eastAsia="黑体" w:cs="Times New Roman"/>
        </w:rPr>
      </w:pPr>
      <w:r>
        <w:rPr>
          <w:rFonts w:ascii="Times New Roman" w:hAnsi="Times New Roman" w:eastAsia="黑体" w:cs="Times New Roman"/>
        </w:rPr>
        <w:t>数控系统功能模块概述</w:t>
      </w:r>
    </w:p>
    <w:p w14:paraId="015B33B5">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本模块以高性能多核CPU与专用运动控制协处理器为核心，构建了强大的实时计算平台，确保复杂轨迹进行≤1ms的快速精密插补。其≥8GB内存与固态存储保障了大型加工程序与三维刀具补偿数据的流畅运行。15.6英寸高亮触摸屏提供直观的多任务操作与三维图形仿真界面。</w:t>
      </w:r>
    </w:p>
    <w:p w14:paraId="22DB4D7E">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在软件层面，系统完全遵循国际标准编程语言，并具备≥2000段程序预处理能力，可显著优化加工效率与表面质量。0.1μm的最小控制单位与多种高级插补功能，为微米级精密加工奠定了基石。集成的高性能PLC（扫描周期≤4ms）可稳定可靠地控制所有机床辅助功能。</w:t>
      </w:r>
    </w:p>
    <w:p w14:paraId="5238B117">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系统通过PROFINET/EtherCAT等实时工业以太网实现与伺服驱动、I/O模块的高速同步通信，布线简洁，抗干扰能力强。其自适应控制、刀具寿命管理、数据采集诊断等高级功能模块，赋予了系统负载辨识、振动抑制、预防性维护等智能化能力。</w:t>
      </w:r>
    </w:p>
    <w:p w14:paraId="63EEAE49">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整体设计满足工业环境下的严苛要求（IP54防护，宽温工作），并通过模块化设计实现高可靠性（MTBF≥5万小时）与快速维护（MTTR≤30分钟）。该系统是一个集高精尖控制、开放通信、智能诊断与稳定耐用于一体的现代化数控核心，能够充分满足多轴联动加工中心、车铣复合机床等设备对核心控制系统在精度、效率与可靠性上的综合需求。</w:t>
      </w:r>
    </w:p>
    <w:p w14:paraId="4AB7F3A1">
      <w:pPr>
        <w:pStyle w:val="30"/>
        <w:numPr>
          <w:ilvl w:val="0"/>
          <w:numId w:val="1"/>
        </w:numPr>
        <w:spacing w:before="156" w:beforeLines="50" w:after="120" w:line="360" w:lineRule="auto"/>
        <w:ind w:left="437" w:hanging="437"/>
        <w:rPr>
          <w:rFonts w:ascii="Times New Roman" w:hAnsi="Times New Roman" w:eastAsia="黑体" w:cs="Times New Roman"/>
        </w:rPr>
      </w:pPr>
      <w:r>
        <w:rPr>
          <w:rFonts w:ascii="Times New Roman" w:hAnsi="Times New Roman" w:eastAsia="黑体" w:cs="Times New Roman"/>
        </w:rPr>
        <w:t>核心硬件性能指标</w:t>
      </w:r>
    </w:p>
    <w:p w14:paraId="0E0A4CB8">
      <w:pPr>
        <w:pStyle w:val="30"/>
        <w:numPr>
          <w:ilvl w:val="0"/>
          <w:numId w:val="2"/>
        </w:numPr>
        <w:spacing w:line="360" w:lineRule="auto"/>
        <w:jc w:val="both"/>
        <w:rPr>
          <w:rFonts w:ascii="Times New Roman" w:hAnsi="Times New Roman" w:eastAsia="宋体" w:cs="Times New Roman"/>
        </w:rPr>
      </w:pPr>
      <w:r>
        <w:rPr>
          <w:rFonts w:ascii="Times New Roman" w:hAnsi="Times New Roman" w:eastAsia="宋体" w:cs="Times New Roman"/>
        </w:rPr>
        <w:t>处理器性能</w:t>
      </w:r>
    </w:p>
    <w:p w14:paraId="3C2DF188">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主频 ≥1.5 GHz：此主频为系统实时处理多轴插补运算、PLC逻辑及人机交互的基础保障。主频不足可能导致复杂轨迹计算延迟，影响加工精度与表面质量。</w:t>
      </w:r>
    </w:p>
    <w:p w14:paraId="4997BB35">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配备专用运动控制协处理器：该协处理器（FPGA/DSP）独立于主CPU，专门负责伺服驱动器的实时位置环、速度环控制，确保≤1ms的稳定控制周期，是高速高精加工的关键硬件。</w:t>
      </w:r>
    </w:p>
    <w:p w14:paraId="5CF5C10F">
      <w:pPr>
        <w:pStyle w:val="30"/>
        <w:numPr>
          <w:ilvl w:val="0"/>
          <w:numId w:val="2"/>
        </w:numPr>
        <w:spacing w:line="360" w:lineRule="auto"/>
        <w:jc w:val="both"/>
        <w:rPr>
          <w:rFonts w:ascii="Times New Roman" w:hAnsi="Times New Roman" w:eastAsia="宋体" w:cs="Times New Roman"/>
        </w:rPr>
      </w:pPr>
      <w:r>
        <w:rPr>
          <w:rFonts w:ascii="Times New Roman" w:hAnsi="Times New Roman" w:eastAsia="宋体" w:cs="Times New Roman"/>
        </w:rPr>
        <w:t>存储容量</w:t>
      </w:r>
    </w:p>
    <w:p w14:paraId="5AFC505D">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内存 ≥8 GB：大容量内存用于同时存储及快速调用大型加工程序、三维刀具补偿数据、系统参数及用户宏变量，是保证多任务流畅运行、避免卡顿的必要条件。</w:t>
      </w:r>
    </w:p>
    <w:p w14:paraId="1CA3D98D">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固态存储 ≥64 GB：用于安装操作系统、数控内核软件及存储海量加工程序。相比机械硬盘，固态存储启动更快、抗振动、数据读写更可靠，适合工业环境。</w:t>
      </w:r>
    </w:p>
    <w:p w14:paraId="54DDC0ED">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掉电保持内存 ≥512 KB：在系统完全断电时，依靠后备电池保存当前加工程序段、刀具偏置、工件坐标系等关键加工数据，确保恢复供电后能继续加工。</w:t>
      </w:r>
    </w:p>
    <w:p w14:paraId="5A3F219B">
      <w:pPr>
        <w:pStyle w:val="30"/>
        <w:spacing w:line="360" w:lineRule="auto"/>
        <w:ind w:left="0" w:firstLine="440" w:firstLineChars="200"/>
        <w:jc w:val="both"/>
        <w:rPr>
          <w:rFonts w:ascii="Times New Roman" w:hAnsi="Times New Roman" w:eastAsia="宋体" w:cs="Times New Roman"/>
        </w:rPr>
      </w:pPr>
      <w:r>
        <w:rPr>
          <w:rFonts w:hint="eastAsia" w:ascii="Times New Roman" w:hAnsi="Times New Roman" w:eastAsia="宋体" w:cs="Times New Roman"/>
        </w:rPr>
        <w:t xml:space="preserve">3. </w:t>
      </w:r>
      <w:r>
        <w:rPr>
          <w:rFonts w:ascii="Times New Roman" w:hAnsi="Times New Roman" w:eastAsia="宋体" w:cs="Times New Roman"/>
        </w:rPr>
        <w:t>显示单元</w:t>
      </w:r>
    </w:p>
    <w:p w14:paraId="42F92B86">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15.6英寸触摸屏：提供足够视野，以多窗口同时显示程序代码、加工轨迹仿真、坐标位置、PLC状态、报警信息等，提升操作与监控效率。</w:t>
      </w:r>
    </w:p>
    <w:p w14:paraId="6C0782F4">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分辨率 ≥1920x1080：高分辨率确保图形、文字显示清晰锐利，尤其在显示复杂三维刀具路径时，能呈现更多细节，减少视觉疲劳。</w:t>
      </w:r>
    </w:p>
    <w:p w14:paraId="7737AB38">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亮度 ≥400 cd/m²：保证在工厂照明环境下，屏幕内容依然清晰可见，避免因反光或环境光过强导致误读。</w:t>
      </w:r>
    </w:p>
    <w:p w14:paraId="2DB088CB">
      <w:pPr>
        <w:pStyle w:val="30"/>
        <w:numPr>
          <w:ilvl w:val="0"/>
          <w:numId w:val="3"/>
        </w:numPr>
        <w:spacing w:line="360" w:lineRule="auto"/>
        <w:jc w:val="both"/>
        <w:rPr>
          <w:rFonts w:ascii="Times New Roman" w:hAnsi="Times New Roman" w:eastAsia="宋体" w:cs="Times New Roman"/>
        </w:rPr>
      </w:pPr>
      <w:r>
        <w:rPr>
          <w:rFonts w:ascii="Times New Roman" w:hAnsi="Times New Roman" w:eastAsia="宋体" w:cs="Times New Roman"/>
        </w:rPr>
        <w:t>轴控能力</w:t>
      </w:r>
    </w:p>
    <w:p w14:paraId="687C9A8D">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最大联动轴数 ≥8轴：支持复杂机床结构，如五轴联动加工中心（X, Y, Z, A, C）、车铣复合机床（双主轴、双刀塔等）的控制需求。</w:t>
      </w:r>
    </w:p>
    <w:p w14:paraId="0F420604">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插补周期 ≤1 ms：指系统计算并向下位驱动器发送新位置指令的最短时间间隔。周期越短，对轨迹的跟踪越紧密，动态响应越快，加工出的曲面越光滑。</w:t>
      </w:r>
    </w:p>
    <w:p w14:paraId="72ED856B">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位置控制精度 ≤±1脉冲：指系统理论指令位置与实际反馈位置之间的最小误差单位，是决定机床定位精度的最基础软件分辨率。</w:t>
      </w:r>
    </w:p>
    <w:p w14:paraId="1D243C08">
      <w:pPr>
        <w:pStyle w:val="30"/>
        <w:numPr>
          <w:ilvl w:val="0"/>
          <w:numId w:val="1"/>
        </w:numPr>
        <w:spacing w:before="156" w:beforeLines="50" w:after="120" w:line="360" w:lineRule="auto"/>
        <w:ind w:left="437" w:hanging="437"/>
        <w:rPr>
          <w:rFonts w:ascii="Times New Roman" w:hAnsi="Times New Roman" w:eastAsia="黑体" w:cs="Times New Roman"/>
        </w:rPr>
      </w:pPr>
      <w:r>
        <w:rPr>
          <w:rFonts w:ascii="Times New Roman" w:hAnsi="Times New Roman" w:eastAsia="黑体" w:cs="Times New Roman"/>
        </w:rPr>
        <w:t>核心软件与控制功能指标</w:t>
      </w:r>
    </w:p>
    <w:p w14:paraId="121FB096">
      <w:pPr>
        <w:pStyle w:val="30"/>
        <w:numPr>
          <w:ilvl w:val="0"/>
          <w:numId w:val="4"/>
        </w:numPr>
        <w:spacing w:line="360" w:lineRule="auto"/>
        <w:jc w:val="both"/>
        <w:rPr>
          <w:rFonts w:ascii="Times New Roman" w:hAnsi="Times New Roman" w:eastAsia="宋体" w:cs="Times New Roman"/>
        </w:rPr>
      </w:pPr>
      <w:r>
        <w:rPr>
          <w:rFonts w:ascii="Times New Roman" w:hAnsi="Times New Roman" w:eastAsia="宋体" w:cs="Times New Roman"/>
        </w:rPr>
        <w:t>编程与兼容性</w:t>
      </w:r>
    </w:p>
    <w:p w14:paraId="64C62E60">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支持ISO/DIN标准G代码：确保用户现有的、或由各类CAM软件生成的加工程序无需大量修改即可直接使用，保护原有编程资产。</w:t>
      </w:r>
    </w:p>
    <w:p w14:paraId="21EE0872">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程序预处理 ≥2000段：系统在实时执行当前程序段时，提前分析后续2000段轨迹，进行速度优化，在拐角处提前降速，从而在保证精度的前提下显著提高加工效率。</w:t>
      </w:r>
    </w:p>
    <w:p w14:paraId="43C6C2A6">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支持用户宏程序：允许用户使用变量、算术逻辑运算和条件分支编写自定义循环和固定加工模式，极大简化相似工序的编程工作，实现参数化加工。</w:t>
      </w:r>
    </w:p>
    <w:p w14:paraId="3B262DDA">
      <w:pPr>
        <w:pStyle w:val="30"/>
        <w:numPr>
          <w:ilvl w:val="0"/>
          <w:numId w:val="4"/>
        </w:numPr>
        <w:spacing w:line="360" w:lineRule="auto"/>
        <w:jc w:val="both"/>
        <w:rPr>
          <w:rFonts w:ascii="Times New Roman" w:hAnsi="Times New Roman" w:eastAsia="宋体" w:cs="Times New Roman"/>
        </w:rPr>
      </w:pPr>
      <w:r>
        <w:rPr>
          <w:rFonts w:ascii="Times New Roman" w:hAnsi="Times New Roman" w:eastAsia="宋体" w:cs="Times New Roman"/>
        </w:rPr>
        <w:t>插补与精度</w:t>
      </w:r>
    </w:p>
    <w:p w14:paraId="42B9CBFA">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支持样条插补：能将一系列离散点平滑连接，比传统的直线/圆弧插补更能准确还原复杂曲面，减少程序量，并获得更优的表面光洁度。</w:t>
      </w:r>
    </w:p>
    <w:p w14:paraId="6CD3101B">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最小设定单位 0.1μm：允许操作者以0.0001mm为单位输入坐标、补偿等数据，满足精密和超精密加工对微量调整的极致要求。</w:t>
      </w:r>
    </w:p>
    <w:p w14:paraId="781DD74A">
      <w:pPr>
        <w:pStyle w:val="30"/>
        <w:numPr>
          <w:ilvl w:val="0"/>
          <w:numId w:val="4"/>
        </w:numPr>
        <w:spacing w:line="360" w:lineRule="auto"/>
        <w:jc w:val="both"/>
        <w:rPr>
          <w:rFonts w:ascii="Times New Roman" w:hAnsi="Times New Roman" w:eastAsia="宋体" w:cs="Times New Roman"/>
        </w:rPr>
      </w:pPr>
      <w:r>
        <w:rPr>
          <w:rFonts w:ascii="Times New Roman" w:hAnsi="Times New Roman" w:eastAsia="宋体" w:cs="Times New Roman"/>
        </w:rPr>
        <w:t>PLC功能</w:t>
      </w:r>
    </w:p>
    <w:p w14:paraId="2BD918E9">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符合IEC 61131-3标准：提供梯形图、结构化文本等多种标准编程语言，方便电气工程师根据机床的液压、气动、换刀、工作台等辅助动作进行逻辑开发与维护。</w:t>
      </w:r>
    </w:p>
    <w:p w14:paraId="429D7331">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PLC扫描周期 ≤4 ms：快速响应用户操作按钮、传感器信号、机床急停等关键事件，保障设备与人员安全，并提高辅助动作的执行效率。</w:t>
      </w:r>
    </w:p>
    <w:p w14:paraId="2D5902C2">
      <w:pPr>
        <w:pStyle w:val="30"/>
        <w:numPr>
          <w:ilvl w:val="0"/>
          <w:numId w:val="1"/>
        </w:numPr>
        <w:spacing w:before="156" w:beforeLines="50" w:after="120" w:line="360" w:lineRule="auto"/>
        <w:ind w:left="437" w:hanging="437"/>
        <w:rPr>
          <w:rFonts w:ascii="Times New Roman" w:hAnsi="Times New Roman" w:eastAsia="黑体" w:cs="Times New Roman"/>
        </w:rPr>
      </w:pPr>
      <w:r>
        <w:rPr>
          <w:rFonts w:ascii="Times New Roman" w:hAnsi="Times New Roman" w:eastAsia="黑体" w:cs="Times New Roman"/>
        </w:rPr>
        <w:t>接口与通信指标</w:t>
      </w:r>
    </w:p>
    <w:p w14:paraId="4ACB8BCA">
      <w:pPr>
        <w:pStyle w:val="30"/>
        <w:numPr>
          <w:ilvl w:val="0"/>
          <w:numId w:val="5"/>
        </w:numPr>
        <w:spacing w:line="360" w:lineRule="auto"/>
        <w:jc w:val="both"/>
        <w:rPr>
          <w:rFonts w:ascii="Times New Roman" w:hAnsi="Times New Roman" w:eastAsia="宋体" w:cs="Times New Roman"/>
        </w:rPr>
      </w:pPr>
      <w:r>
        <w:rPr>
          <w:rFonts w:ascii="Times New Roman" w:hAnsi="Times New Roman" w:eastAsia="宋体" w:cs="Times New Roman"/>
        </w:rPr>
        <w:t>现场总线</w:t>
      </w:r>
    </w:p>
    <w:p w14:paraId="7DBEB0E0">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支持PROFINET/EtherCAT：采用高速实时工业以太网，替代传统脉冲方向信号，实现驱动器参数远程设置、状态实时监控、以及多轴之间的高精度同步，接线更简洁，抗干扰能力更强。</w:t>
      </w:r>
    </w:p>
    <w:p w14:paraId="1794822E">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双千兆网口：一个端口用于连接上级MES/网络，传输程序及生产数据；另一个专用端口用于连接伺服驱动器、I/O模块等实时设备，避免网络拥堵，确保控制实时性。</w:t>
      </w:r>
    </w:p>
    <w:p w14:paraId="3752DB7B">
      <w:pPr>
        <w:pStyle w:val="30"/>
        <w:numPr>
          <w:ilvl w:val="0"/>
          <w:numId w:val="5"/>
        </w:numPr>
        <w:spacing w:line="360" w:lineRule="auto"/>
        <w:jc w:val="both"/>
        <w:rPr>
          <w:rFonts w:ascii="Times New Roman" w:hAnsi="Times New Roman" w:eastAsia="宋体" w:cs="Times New Roman"/>
        </w:rPr>
      </w:pPr>
      <w:r>
        <w:rPr>
          <w:rFonts w:ascii="Times New Roman" w:hAnsi="Times New Roman" w:eastAsia="宋体" w:cs="Times New Roman"/>
        </w:rPr>
        <w:t>数据接口</w:t>
      </w:r>
    </w:p>
    <w:p w14:paraId="00BABD14">
      <w:pPr>
        <w:pStyle w:val="30"/>
        <w:spacing w:line="360" w:lineRule="auto"/>
        <w:ind w:left="0" w:firstLine="440" w:firstLineChars="200"/>
        <w:jc w:val="both"/>
        <w:rPr>
          <w:rFonts w:ascii="Times New Roman" w:hAnsi="Times New Roman" w:eastAsia="宋体" w:cs="Times New Roman"/>
        </w:rPr>
      </w:pPr>
      <w:bookmarkStart w:id="0" w:name="_GoBack"/>
      <w:r>
        <w:rPr>
          <w:rFonts w:ascii="Times New Roman" w:hAnsi="Times New Roman" w:eastAsia="宋体" w:cs="Times New Roman"/>
        </w:rPr>
        <w:t>USB 3.0接口</w:t>
      </w:r>
      <w:bookmarkEnd w:id="0"/>
      <w:r>
        <w:rPr>
          <w:rFonts w:ascii="Times New Roman" w:hAnsi="Times New Roman" w:eastAsia="宋体" w:cs="Times New Roman"/>
        </w:rPr>
        <w:t>：用于快速备份/恢复系统参数、加工程序，或连接外部键盘、鼠标等HID设备，数据传输速度远超USB 2.0。</w:t>
      </w:r>
    </w:p>
    <w:p w14:paraId="16F44F02">
      <w:pPr>
        <w:pStyle w:val="30"/>
        <w:numPr>
          <w:ilvl w:val="0"/>
          <w:numId w:val="5"/>
        </w:numPr>
        <w:spacing w:line="360" w:lineRule="auto"/>
        <w:jc w:val="both"/>
        <w:rPr>
          <w:rFonts w:ascii="Times New Roman" w:hAnsi="Times New Roman" w:eastAsia="宋体" w:cs="Times New Roman"/>
        </w:rPr>
      </w:pPr>
      <w:r>
        <w:rPr>
          <w:rFonts w:ascii="Times New Roman" w:hAnsi="Times New Roman" w:eastAsia="宋体" w:cs="Times New Roman"/>
        </w:rPr>
        <w:t>反馈接口</w:t>
      </w:r>
    </w:p>
    <w:p w14:paraId="3587AFAF">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支持24位绝对式编码器：编码器每转可提供超过1600万个位置点，实现极高分辨率。绝对值系统在开机时无需回零操作即可获知轴的确切位置，提高设备准备效率。</w:t>
      </w:r>
    </w:p>
    <w:p w14:paraId="316B9525">
      <w:pPr>
        <w:pStyle w:val="30"/>
        <w:numPr>
          <w:ilvl w:val="0"/>
          <w:numId w:val="1"/>
        </w:numPr>
        <w:spacing w:before="156" w:beforeLines="50" w:after="120" w:line="360" w:lineRule="auto"/>
        <w:ind w:left="437" w:hanging="437"/>
        <w:rPr>
          <w:rFonts w:ascii="Times New Roman" w:hAnsi="Times New Roman" w:eastAsia="黑体" w:cs="Times New Roman"/>
        </w:rPr>
      </w:pPr>
      <w:r>
        <w:rPr>
          <w:rFonts w:ascii="Times New Roman" w:hAnsi="Times New Roman" w:eastAsia="黑体" w:cs="Times New Roman"/>
        </w:rPr>
        <w:t>系统特性与可靠性指标</w:t>
      </w:r>
    </w:p>
    <w:p w14:paraId="07457008">
      <w:pPr>
        <w:pStyle w:val="30"/>
        <w:numPr>
          <w:ilvl w:val="0"/>
          <w:numId w:val="6"/>
        </w:numPr>
        <w:spacing w:line="360" w:lineRule="auto"/>
        <w:jc w:val="both"/>
        <w:rPr>
          <w:rFonts w:ascii="Times New Roman" w:hAnsi="Times New Roman" w:eastAsia="宋体" w:cs="Times New Roman"/>
        </w:rPr>
      </w:pPr>
      <w:r>
        <w:rPr>
          <w:rFonts w:ascii="Times New Roman" w:hAnsi="Times New Roman" w:eastAsia="宋体" w:cs="Times New Roman"/>
        </w:rPr>
        <w:t>环境适应性</w:t>
      </w:r>
    </w:p>
    <w:p w14:paraId="0DE7903E">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工作温度 0-45℃：定义了系统能正常运行的车间环境温度范围。超过此范围可能导致电子元件性能不稳定或损坏。</w:t>
      </w:r>
    </w:p>
    <w:p w14:paraId="079549E2">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防护等级 IP54：“5”级防尘（防止有害粉尘堆积），“4”级防水（防止各方向溅水），确保操作面板能适应一般的金属切削油雾和冷却液飞溅环境。</w:t>
      </w:r>
    </w:p>
    <w:p w14:paraId="05400ECA">
      <w:pPr>
        <w:pStyle w:val="30"/>
        <w:numPr>
          <w:ilvl w:val="0"/>
          <w:numId w:val="6"/>
        </w:numPr>
        <w:spacing w:line="360" w:lineRule="auto"/>
        <w:jc w:val="both"/>
        <w:rPr>
          <w:rFonts w:ascii="Times New Roman" w:hAnsi="Times New Roman" w:eastAsia="宋体" w:cs="Times New Roman"/>
        </w:rPr>
      </w:pPr>
      <w:r>
        <w:rPr>
          <w:rFonts w:ascii="Times New Roman" w:hAnsi="Times New Roman" w:eastAsia="宋体" w:cs="Times New Roman"/>
        </w:rPr>
        <w:t>可靠性</w:t>
      </w:r>
    </w:p>
    <w:p w14:paraId="05840AE4">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平均无故障时间 ≥50,000小时：在标准工况下，系统预计可连续运行超过5.7年（按24小时/天计）而不发生需要维修的故障，是衡量系统长期稳定性的核心指标。</w:t>
      </w:r>
    </w:p>
    <w:p w14:paraId="35A28673">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模块化设计，MTTR ≤30分钟：关键部件（如电源、主板、显示模块）采用可快速插拔更换的设计，配合明确的诊断指示，确保故障后能迅速恢复，最大限度减少停机损失。</w:t>
      </w:r>
    </w:p>
    <w:p w14:paraId="370CB767">
      <w:pPr>
        <w:pStyle w:val="30"/>
        <w:numPr>
          <w:ilvl w:val="0"/>
          <w:numId w:val="6"/>
        </w:numPr>
        <w:spacing w:line="360" w:lineRule="auto"/>
        <w:jc w:val="both"/>
        <w:rPr>
          <w:rFonts w:ascii="Times New Roman" w:hAnsi="Times New Roman" w:eastAsia="宋体" w:cs="Times New Roman"/>
        </w:rPr>
      </w:pPr>
      <w:r>
        <w:rPr>
          <w:rFonts w:ascii="Times New Roman" w:hAnsi="Times New Roman" w:eastAsia="宋体" w:cs="Times New Roman"/>
        </w:rPr>
        <w:t>电源与安全</w:t>
      </w:r>
    </w:p>
    <w:p w14:paraId="7DE4CB26">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宽电压输入范围：适应国内电网电压的波动，避免因电压不稳导致系统意外重启或损坏。</w:t>
      </w:r>
    </w:p>
    <w:p w14:paraId="4D525DC0">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72小时数据保持：在外部电源和后备电池均失效的情况下，关键数据仍能依靠电容等储能元件短期存储，为用户争取更换电池的缓冲时间。</w:t>
      </w:r>
    </w:p>
    <w:p w14:paraId="6BE36CC8">
      <w:pPr>
        <w:pStyle w:val="30"/>
        <w:numPr>
          <w:ilvl w:val="0"/>
          <w:numId w:val="1"/>
        </w:numPr>
        <w:spacing w:before="156" w:beforeLines="50" w:after="120" w:line="360" w:lineRule="auto"/>
        <w:ind w:left="437" w:hanging="437"/>
        <w:rPr>
          <w:rFonts w:ascii="Times New Roman" w:hAnsi="Times New Roman" w:eastAsia="黑体" w:cs="Times New Roman"/>
        </w:rPr>
      </w:pPr>
      <w:r>
        <w:rPr>
          <w:rFonts w:ascii="Times New Roman" w:hAnsi="Times New Roman" w:eastAsia="黑体" w:cs="Times New Roman"/>
        </w:rPr>
        <w:t>功能模块特定指标</w:t>
      </w:r>
    </w:p>
    <w:p w14:paraId="0ED1334A">
      <w:pPr>
        <w:pStyle w:val="30"/>
        <w:numPr>
          <w:ilvl w:val="0"/>
          <w:numId w:val="7"/>
        </w:numPr>
        <w:spacing w:line="360" w:lineRule="auto"/>
        <w:jc w:val="both"/>
        <w:rPr>
          <w:rFonts w:ascii="Times New Roman" w:hAnsi="Times New Roman" w:eastAsia="宋体" w:cs="Times New Roman"/>
        </w:rPr>
      </w:pPr>
      <w:r>
        <w:rPr>
          <w:rFonts w:ascii="Times New Roman" w:hAnsi="Times New Roman" w:eastAsia="宋体" w:cs="Times New Roman"/>
        </w:rPr>
        <w:t>自适应控制模块</w:t>
      </w:r>
    </w:p>
    <w:p w14:paraId="0AA95077">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负载惯量辨识：系统自动测量并计算电机轴端的总负载惯量，并以此自动优化伺服增益参数，使不同工件、不同夹具下的机床都能获得最佳的动态响应，避免振动。</w:t>
      </w:r>
    </w:p>
    <w:p w14:paraId="1C8089A6">
      <w:pPr>
        <w:pStyle w:val="30"/>
        <w:numPr>
          <w:ilvl w:val="0"/>
          <w:numId w:val="7"/>
        </w:numPr>
        <w:spacing w:line="360" w:lineRule="auto"/>
        <w:jc w:val="both"/>
        <w:rPr>
          <w:rFonts w:ascii="Times New Roman" w:hAnsi="Times New Roman" w:eastAsia="宋体" w:cs="Times New Roman"/>
        </w:rPr>
      </w:pPr>
      <w:r>
        <w:rPr>
          <w:rFonts w:ascii="Times New Roman" w:hAnsi="Times New Roman" w:eastAsia="宋体" w:cs="Times New Roman"/>
        </w:rPr>
        <w:t>刀具管理模块</w:t>
      </w:r>
    </w:p>
    <w:p w14:paraId="0A2D636D">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多维度寿命管理：不仅记录刀具使用次数，还能累计实际切削时间、估算磨损量。任一条件触发设定阈值时，系统自动报警或调用备用刀具，防止断刀和工件报废。</w:t>
      </w:r>
    </w:p>
    <w:p w14:paraId="0A4BEFF8">
      <w:pPr>
        <w:pStyle w:val="30"/>
        <w:numPr>
          <w:ilvl w:val="0"/>
          <w:numId w:val="7"/>
        </w:numPr>
        <w:spacing w:line="360" w:lineRule="auto"/>
        <w:jc w:val="both"/>
        <w:rPr>
          <w:rFonts w:ascii="Times New Roman" w:hAnsi="Times New Roman" w:eastAsia="宋体" w:cs="Times New Roman"/>
        </w:rPr>
      </w:pPr>
      <w:r>
        <w:rPr>
          <w:rFonts w:ascii="Times New Roman" w:hAnsi="Times New Roman" w:eastAsia="宋体" w:cs="Times New Roman"/>
        </w:rPr>
        <w:t>数据采集与诊断模块</w:t>
      </w:r>
    </w:p>
    <w:p w14:paraId="4DF61F00">
      <w:pPr>
        <w:pStyle w:val="30"/>
        <w:spacing w:line="360" w:lineRule="auto"/>
        <w:ind w:left="0" w:firstLine="440" w:firstLineChars="200"/>
        <w:jc w:val="both"/>
        <w:rPr>
          <w:rFonts w:ascii="Times New Roman" w:hAnsi="Times New Roman" w:eastAsia="宋体" w:cs="Times New Roman"/>
        </w:rPr>
      </w:pPr>
      <w:r>
        <w:rPr>
          <w:rFonts w:ascii="Times New Roman" w:hAnsi="Times New Roman" w:eastAsia="宋体" w:cs="Times New Roman"/>
        </w:rPr>
        <w:t>高速数据采样：以≤10ms的周期记录各轴负载、坐标、报警代码等运行数据，用于生成“黑匣子”记录。当发生碰撞等异常时，可回溯分析原因。</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454365"/>
    <w:multiLevelType w:val="multilevel"/>
    <w:tmpl w:val="09454365"/>
    <w:lvl w:ilvl="0" w:tentative="0">
      <w:start w:val="1"/>
      <w:numFmt w:val="decimal"/>
      <w:lvlText w:val="%1."/>
      <w:lvlJc w:val="left"/>
      <w:pPr>
        <w:ind w:left="800" w:hanging="360"/>
      </w:pPr>
      <w:rPr>
        <w:rFonts w:hint="default"/>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
    <w:nsid w:val="38583860"/>
    <w:multiLevelType w:val="multilevel"/>
    <w:tmpl w:val="38583860"/>
    <w:lvl w:ilvl="0" w:tentative="0">
      <w:start w:val="1"/>
      <w:numFmt w:val="decimal"/>
      <w:lvlText w:val="%1."/>
      <w:lvlJc w:val="left"/>
      <w:pPr>
        <w:ind w:left="800" w:hanging="360"/>
      </w:pPr>
      <w:rPr>
        <w:rFonts w:hint="default"/>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2">
    <w:nsid w:val="40054FF8"/>
    <w:multiLevelType w:val="multilevel"/>
    <w:tmpl w:val="40054FF8"/>
    <w:lvl w:ilvl="0" w:tentative="0">
      <w:start w:val="1"/>
      <w:numFmt w:val="decimal"/>
      <w:lvlText w:val="%1."/>
      <w:lvlJc w:val="left"/>
      <w:pPr>
        <w:ind w:left="800" w:hanging="360"/>
      </w:pPr>
      <w:rPr>
        <w:rFonts w:hint="default"/>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3">
    <w:nsid w:val="41DA129D"/>
    <w:multiLevelType w:val="multilevel"/>
    <w:tmpl w:val="41DA129D"/>
    <w:lvl w:ilvl="0" w:tentative="0">
      <w:start w:val="1"/>
      <w:numFmt w:val="japaneseCounting"/>
      <w:lvlText w:val="%1、"/>
      <w:lvlJc w:val="left"/>
      <w:pPr>
        <w:ind w:left="435" w:hanging="435"/>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42834E24"/>
    <w:multiLevelType w:val="multilevel"/>
    <w:tmpl w:val="42834E24"/>
    <w:lvl w:ilvl="0" w:tentative="0">
      <w:start w:val="1"/>
      <w:numFmt w:val="decimal"/>
      <w:lvlText w:val="%1."/>
      <w:lvlJc w:val="left"/>
      <w:pPr>
        <w:ind w:left="800" w:hanging="360"/>
      </w:pPr>
      <w:rPr>
        <w:rFonts w:hint="default"/>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5">
    <w:nsid w:val="47F11E98"/>
    <w:multiLevelType w:val="multilevel"/>
    <w:tmpl w:val="47F11E98"/>
    <w:lvl w:ilvl="0" w:tentative="0">
      <w:start w:val="4"/>
      <w:numFmt w:val="decimal"/>
      <w:lvlText w:val="%1."/>
      <w:lvlJc w:val="left"/>
      <w:pPr>
        <w:ind w:left="780" w:hanging="36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6">
    <w:nsid w:val="52683404"/>
    <w:multiLevelType w:val="multilevel"/>
    <w:tmpl w:val="52683404"/>
    <w:lvl w:ilvl="0" w:tentative="0">
      <w:start w:val="1"/>
      <w:numFmt w:val="decimal"/>
      <w:lvlText w:val="%1."/>
      <w:lvlJc w:val="left"/>
      <w:pPr>
        <w:ind w:left="800" w:hanging="360"/>
      </w:pPr>
      <w:rPr>
        <w:rFonts w:hint="default"/>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num w:numId="1">
    <w:abstractNumId w:val="3"/>
  </w:num>
  <w:num w:numId="2">
    <w:abstractNumId w:val="1"/>
  </w:num>
  <w:num w:numId="3">
    <w:abstractNumId w:val="5"/>
  </w:num>
  <w:num w:numId="4">
    <w:abstractNumId w:val="6"/>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5D8"/>
    <w:rsid w:val="00086CB6"/>
    <w:rsid w:val="00171072"/>
    <w:rsid w:val="002225BA"/>
    <w:rsid w:val="00290EA0"/>
    <w:rsid w:val="00305D64"/>
    <w:rsid w:val="00380158"/>
    <w:rsid w:val="004106E2"/>
    <w:rsid w:val="005957A3"/>
    <w:rsid w:val="006127B1"/>
    <w:rsid w:val="007646BB"/>
    <w:rsid w:val="00FF55D8"/>
    <w:rsid w:val="115D00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17"/>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9"/>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0"/>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1"/>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2"/>
    <w:semiHidden/>
    <w:unhideWhenUsed/>
    <w:qFormat/>
    <w:uiPriority w:val="9"/>
    <w:pPr>
      <w:keepNext/>
      <w:keepLines/>
      <w:spacing w:before="40" w:after="0"/>
      <w:outlineLvl w:val="5"/>
    </w:pPr>
    <w:rPr>
      <w:rFonts w:cstheme="majorBidi"/>
      <w:b/>
      <w:bCs/>
      <w:color w:val="104862" w:themeColor="accent1" w:themeShade="BF"/>
    </w:rPr>
  </w:style>
  <w:style w:type="paragraph" w:styleId="8">
    <w:name w:val="heading 7"/>
    <w:basedOn w:val="1"/>
    <w:next w:val="1"/>
    <w:link w:val="23"/>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5"/>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6">
    <w:name w:val="Default Paragraph Font"/>
    <w:semiHidden/>
    <w:unhideWhenUsed/>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6"/>
    <w:unhideWhenUsed/>
    <w:uiPriority w:val="99"/>
    <w:pPr>
      <w:tabs>
        <w:tab w:val="center" w:pos="4153"/>
        <w:tab w:val="right" w:pos="8306"/>
      </w:tabs>
      <w:snapToGrid w:val="0"/>
      <w:spacing w:line="240" w:lineRule="auto"/>
    </w:pPr>
    <w:rPr>
      <w:sz w:val="18"/>
      <w:szCs w:val="18"/>
    </w:rPr>
  </w:style>
  <w:style w:type="paragraph" w:styleId="12">
    <w:name w:val="header"/>
    <w:basedOn w:val="1"/>
    <w:link w:val="35"/>
    <w:unhideWhenUsed/>
    <w:qFormat/>
    <w:uiPriority w:val="99"/>
    <w:pPr>
      <w:tabs>
        <w:tab w:val="center" w:pos="4153"/>
        <w:tab w:val="right" w:pos="8306"/>
      </w:tabs>
      <w:snapToGrid w:val="0"/>
      <w:spacing w:line="240" w:lineRule="auto"/>
      <w:jc w:val="center"/>
    </w:pPr>
    <w:rPr>
      <w:sz w:val="18"/>
      <w:szCs w:val="18"/>
    </w:rPr>
  </w:style>
  <w:style w:type="paragraph" w:styleId="13">
    <w:name w:val="Subtitle"/>
    <w:basedOn w:val="1"/>
    <w:next w:val="1"/>
    <w:link w:val="27"/>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6"/>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character" w:customStyle="1" w:styleId="17">
    <w:name w:val="标题 1 字符"/>
    <w:basedOn w:val="16"/>
    <w:link w:val="2"/>
    <w:qFormat/>
    <w:uiPriority w:val="9"/>
    <w:rPr>
      <w:rFonts w:asciiTheme="majorHAnsi" w:hAnsiTheme="majorHAnsi" w:eastAsiaTheme="majorEastAsia" w:cstheme="majorBidi"/>
      <w:color w:val="104862" w:themeColor="accent1" w:themeShade="BF"/>
      <w:sz w:val="48"/>
      <w:szCs w:val="48"/>
    </w:rPr>
  </w:style>
  <w:style w:type="character" w:customStyle="1" w:styleId="18">
    <w:name w:val="标题 2 字符"/>
    <w:basedOn w:val="16"/>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19">
    <w:name w:val="标题 3 字符"/>
    <w:basedOn w:val="16"/>
    <w:link w:val="4"/>
    <w:semiHidden/>
    <w:uiPriority w:val="9"/>
    <w:rPr>
      <w:rFonts w:asciiTheme="majorHAnsi" w:hAnsiTheme="majorHAnsi" w:eastAsiaTheme="majorEastAsia" w:cstheme="majorBidi"/>
      <w:color w:val="104862" w:themeColor="accent1" w:themeShade="BF"/>
      <w:sz w:val="32"/>
      <w:szCs w:val="32"/>
    </w:rPr>
  </w:style>
  <w:style w:type="character" w:customStyle="1" w:styleId="20">
    <w:name w:val="标题 4 字符"/>
    <w:basedOn w:val="16"/>
    <w:link w:val="5"/>
    <w:semiHidden/>
    <w:uiPriority w:val="9"/>
    <w:rPr>
      <w:rFonts w:cstheme="majorBidi"/>
      <w:color w:val="104862" w:themeColor="accent1" w:themeShade="BF"/>
      <w:sz w:val="28"/>
      <w:szCs w:val="28"/>
    </w:rPr>
  </w:style>
  <w:style w:type="character" w:customStyle="1" w:styleId="21">
    <w:name w:val="标题 5 字符"/>
    <w:basedOn w:val="16"/>
    <w:link w:val="6"/>
    <w:semiHidden/>
    <w:uiPriority w:val="9"/>
    <w:rPr>
      <w:rFonts w:cstheme="majorBidi"/>
      <w:color w:val="104862" w:themeColor="accent1" w:themeShade="BF"/>
      <w:sz w:val="24"/>
    </w:rPr>
  </w:style>
  <w:style w:type="character" w:customStyle="1" w:styleId="22">
    <w:name w:val="标题 6 字符"/>
    <w:basedOn w:val="16"/>
    <w:link w:val="7"/>
    <w:semiHidden/>
    <w:qFormat/>
    <w:uiPriority w:val="9"/>
    <w:rPr>
      <w:rFonts w:cstheme="majorBidi"/>
      <w:b/>
      <w:bCs/>
      <w:color w:val="104862" w:themeColor="accent1" w:themeShade="BF"/>
    </w:rPr>
  </w:style>
  <w:style w:type="character" w:customStyle="1" w:styleId="23">
    <w:name w:val="标题 7 字符"/>
    <w:basedOn w:val="16"/>
    <w:link w:val="8"/>
    <w:semiHidden/>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6"/>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6"/>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6"/>
    <w:link w:val="14"/>
    <w:qFormat/>
    <w:uiPriority w:val="10"/>
    <w:rPr>
      <w:rFonts w:asciiTheme="majorHAnsi" w:hAnsiTheme="majorHAnsi" w:eastAsiaTheme="majorEastAsia" w:cstheme="majorBidi"/>
      <w:spacing w:val="-10"/>
      <w:kern w:val="28"/>
      <w:sz w:val="56"/>
      <w:szCs w:val="56"/>
    </w:rPr>
  </w:style>
  <w:style w:type="character" w:customStyle="1" w:styleId="27">
    <w:name w:val="副标题 字符"/>
    <w:basedOn w:val="16"/>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引用 字符"/>
    <w:basedOn w:val="16"/>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6"/>
    <w:qFormat/>
    <w:uiPriority w:val="21"/>
    <w:rPr>
      <w:i/>
      <w:iCs/>
      <w:color w:val="104862" w:themeColor="accent1" w:themeShade="BF"/>
    </w:rPr>
  </w:style>
  <w:style w:type="paragraph" w:styleId="32">
    <w:name w:val="Intense Quote"/>
    <w:basedOn w:val="1"/>
    <w:next w:val="1"/>
    <w:link w:val="3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3">
    <w:name w:val="明显引用 字符"/>
    <w:basedOn w:val="16"/>
    <w:link w:val="32"/>
    <w:qFormat/>
    <w:uiPriority w:val="30"/>
    <w:rPr>
      <w:i/>
      <w:iCs/>
      <w:color w:val="104862" w:themeColor="accent1" w:themeShade="BF"/>
    </w:rPr>
  </w:style>
  <w:style w:type="character" w:customStyle="1" w:styleId="34">
    <w:name w:val="Intense Reference"/>
    <w:basedOn w:val="16"/>
    <w:qFormat/>
    <w:uiPriority w:val="32"/>
    <w:rPr>
      <w:b/>
      <w:bCs/>
      <w:smallCaps/>
      <w:color w:val="104862" w:themeColor="accent1" w:themeShade="BF"/>
      <w:spacing w:val="5"/>
    </w:rPr>
  </w:style>
  <w:style w:type="character" w:customStyle="1" w:styleId="35">
    <w:name w:val="页眉 字符"/>
    <w:basedOn w:val="16"/>
    <w:link w:val="12"/>
    <w:qFormat/>
    <w:uiPriority w:val="99"/>
    <w:rPr>
      <w:sz w:val="18"/>
      <w:szCs w:val="18"/>
    </w:rPr>
  </w:style>
  <w:style w:type="character" w:customStyle="1" w:styleId="36">
    <w:name w:val="页脚 字符"/>
    <w:basedOn w:val="16"/>
    <w:link w:val="11"/>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2533</Words>
  <Characters>2753</Characters>
  <Lines>20</Lines>
  <Paragraphs>5</Paragraphs>
  <TotalTime>15</TotalTime>
  <ScaleCrop>false</ScaleCrop>
  <LinksUpToDate>false</LinksUpToDate>
  <CharactersWithSpaces>2784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2026-03-11T04:59:00Z</dcterms:created>
  <dc:creator>Hanyang Li</dc:creator>
  <cp:lastModifiedBy>^_^</cp:lastModifiedBy>
  <dcterms:modified xsi:type="dcterms:W3CDTF">2026-04-08T04:20:57Z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eyJoZGlkIjoiMTk2YjM5YTdlMDI0NDdkM2U3ZmYzY2ZiNWEyODBmZDEiLCJ1c2VySWQiOiIxMDg2MzQyNDUzIn0=</vt:lpwstr>
  </property>
  <property fmtid="{D5CDD505-2E9C-101B-9397-08002B2CF9AE}" pid="3" name="KSOProductBuildVer">
    <vt:lpwstr>2052-12.1.0.25225</vt:lpwstr>
  </property>
  <property fmtid="{D5CDD505-2E9C-101B-9397-08002B2CF9AE}" pid="4" name="ICV">
    <vt:lpwstr>A210F90332664D588964B49D94B23907_12</vt:lpwstr>
  </property>
</Properties>
</file>