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0295FE9">
      <w:pPr>
        <w:tabs>
          <w:tab w:val="left" w:pos="3463"/>
          <w:tab w:val="right" w:pos="8521"/>
        </w:tabs>
        <w:spacing w:line="400" w:lineRule="exact"/>
        <w:jc w:val="center"/>
        <w:rPr>
          <w:b/>
          <w:bCs/>
          <w:sz w:val="32"/>
          <w:szCs w:val="52"/>
        </w:rPr>
      </w:pPr>
      <w:r>
        <w:rPr>
          <w:rFonts w:hint="eastAsia"/>
          <w:b/>
          <w:bCs/>
          <w:sz w:val="32"/>
          <w:szCs w:val="52"/>
        </w:rPr>
        <w:t>货物</w:t>
      </w:r>
      <w:r>
        <w:rPr>
          <w:b/>
          <w:bCs/>
          <w:sz w:val="32"/>
          <w:szCs w:val="52"/>
        </w:rPr>
        <w:t>采购</w:t>
      </w:r>
      <w:r>
        <w:rPr>
          <w:rFonts w:hint="eastAsia"/>
          <w:b/>
          <w:bCs/>
          <w:sz w:val="32"/>
          <w:szCs w:val="52"/>
        </w:rPr>
        <w:t>简易</w:t>
      </w:r>
      <w:r>
        <w:rPr>
          <w:b/>
          <w:bCs/>
          <w:sz w:val="32"/>
          <w:szCs w:val="52"/>
        </w:rPr>
        <w:t>合同</w:t>
      </w:r>
    </w:p>
    <w:p w14:paraId="7DD048CB">
      <w:pPr>
        <w:tabs>
          <w:tab w:val="left" w:pos="3463"/>
          <w:tab w:val="right" w:pos="8521"/>
        </w:tabs>
        <w:spacing w:line="400" w:lineRule="exact"/>
        <w:jc w:val="center"/>
        <w:rPr>
          <w:b/>
          <w:bCs/>
          <w:sz w:val="32"/>
          <w:szCs w:val="52"/>
        </w:rPr>
      </w:pPr>
    </w:p>
    <w:p w14:paraId="2E515CFD">
      <w:pPr>
        <w:spacing w:line="400" w:lineRule="exact"/>
        <w:rPr>
          <w:b/>
          <w:bCs/>
          <w:kern w:val="0"/>
          <w:sz w:val="24"/>
          <w:szCs w:val="24"/>
        </w:rPr>
      </w:pPr>
      <w:r>
        <w:rPr>
          <w:b/>
          <w:bCs/>
          <w:kern w:val="0"/>
          <w:sz w:val="24"/>
          <w:szCs w:val="24"/>
        </w:rPr>
        <w:t xml:space="preserve">甲方（采购方）:  清华大学       </w:t>
      </w:r>
    </w:p>
    <w:p w14:paraId="02692C9B">
      <w:pPr>
        <w:spacing w:line="400" w:lineRule="exact"/>
        <w:rPr>
          <w:b/>
          <w:bCs/>
          <w:kern w:val="0"/>
          <w:sz w:val="24"/>
          <w:szCs w:val="24"/>
        </w:rPr>
      </w:pPr>
      <w:r>
        <w:rPr>
          <w:rFonts w:hint="eastAsia"/>
          <w:sz w:val="24"/>
          <w:szCs w:val="24"/>
        </w:rPr>
        <w:t>具体承办单位：学生社区管理服务中心</w:t>
      </w:r>
    </w:p>
    <w:p w14:paraId="17E0EFDB">
      <w:pPr>
        <w:spacing w:after="312" w:afterLines="100" w:line="400" w:lineRule="exact"/>
        <w:rPr>
          <w:b/>
          <w:bCs/>
          <w:kern w:val="0"/>
          <w:sz w:val="24"/>
          <w:szCs w:val="24"/>
        </w:rPr>
      </w:pPr>
      <w:r>
        <w:rPr>
          <w:b/>
          <w:bCs/>
          <w:kern w:val="0"/>
          <w:sz w:val="24"/>
          <w:szCs w:val="24"/>
        </w:rPr>
        <w:t>乙方（销售方）:</w:t>
      </w:r>
      <w:r>
        <w:rPr>
          <w:kern w:val="0"/>
          <w:sz w:val="24"/>
          <w:szCs w:val="24"/>
        </w:rPr>
        <w:t xml:space="preserve"> </w:t>
      </w:r>
      <w:r>
        <w:rPr>
          <w:b/>
          <w:bCs/>
          <w:kern w:val="0"/>
          <w:sz w:val="24"/>
          <w:szCs w:val="24"/>
        </w:rPr>
        <w:t xml:space="preserve"> </w:t>
      </w:r>
    </w:p>
    <w:p w14:paraId="2B5E6B38">
      <w:pPr>
        <w:adjustRightInd w:val="0"/>
        <w:snapToGrid w:val="0"/>
        <w:spacing w:after="156" w:afterLines="50" w:line="360" w:lineRule="auto"/>
        <w:ind w:firstLine="420" w:firstLineChars="200"/>
        <w:rPr>
          <w:szCs w:val="21"/>
        </w:rPr>
      </w:pPr>
      <w:r>
        <w:rPr>
          <w:szCs w:val="21"/>
        </w:rPr>
        <w:t>根据《中华人民共和国</w:t>
      </w:r>
      <w:r>
        <w:rPr>
          <w:rFonts w:hint="eastAsia"/>
          <w:szCs w:val="21"/>
        </w:rPr>
        <w:t>民法典</w:t>
      </w:r>
      <w:r>
        <w:rPr>
          <w:szCs w:val="21"/>
        </w:rPr>
        <w:t>》及其他相关法律法规，甲乙双方本着自愿公平、诚实信用的原则，经双方充分、友好协商，签订本合同，以供双方恪守履行。</w:t>
      </w:r>
    </w:p>
    <w:p w14:paraId="604418D6">
      <w:pPr>
        <w:adjustRightInd w:val="0"/>
        <w:snapToGrid w:val="0"/>
        <w:spacing w:after="156" w:afterLines="50" w:line="360" w:lineRule="auto"/>
        <w:rPr>
          <w:b/>
          <w:szCs w:val="21"/>
        </w:rPr>
      </w:pPr>
      <w:r>
        <w:rPr>
          <w:rFonts w:hint="eastAsia"/>
          <w:b/>
          <w:szCs w:val="21"/>
        </w:rPr>
        <w:t>1.</w:t>
      </w:r>
      <w:r>
        <w:rPr>
          <w:b/>
          <w:szCs w:val="21"/>
        </w:rPr>
        <w:t xml:space="preserve"> 合同标的</w:t>
      </w:r>
    </w:p>
    <w:tbl>
      <w:tblPr>
        <w:tblStyle w:val="10"/>
        <w:tblW w:w="8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183"/>
        <w:gridCol w:w="1234"/>
        <w:gridCol w:w="1283"/>
        <w:gridCol w:w="1350"/>
        <w:gridCol w:w="931"/>
        <w:gridCol w:w="1316"/>
        <w:gridCol w:w="736"/>
      </w:tblGrid>
      <w:tr w14:paraId="7B4A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shd w:val="clear" w:color="auto" w:fill="auto"/>
            <w:vAlign w:val="center"/>
          </w:tcPr>
          <w:p w14:paraId="2F79AD40">
            <w:pPr>
              <w:spacing w:line="360" w:lineRule="auto"/>
              <w:jc w:val="center"/>
              <w:rPr>
                <w:b/>
                <w:szCs w:val="21"/>
              </w:rPr>
            </w:pPr>
            <w:r>
              <w:rPr>
                <w:rFonts w:hint="eastAsia"/>
                <w:b/>
                <w:szCs w:val="21"/>
              </w:rPr>
              <w:t>序号</w:t>
            </w:r>
          </w:p>
        </w:tc>
        <w:tc>
          <w:tcPr>
            <w:tcW w:w="1183" w:type="dxa"/>
            <w:shd w:val="clear" w:color="auto" w:fill="auto"/>
            <w:vAlign w:val="center"/>
          </w:tcPr>
          <w:p w14:paraId="69F82C1E">
            <w:pPr>
              <w:spacing w:line="360" w:lineRule="auto"/>
              <w:jc w:val="center"/>
              <w:rPr>
                <w:b/>
                <w:szCs w:val="21"/>
              </w:rPr>
            </w:pPr>
            <w:r>
              <w:rPr>
                <w:rFonts w:hint="eastAsia"/>
                <w:b/>
                <w:szCs w:val="21"/>
              </w:rPr>
              <w:t>货物</w:t>
            </w:r>
            <w:r>
              <w:rPr>
                <w:b/>
                <w:szCs w:val="21"/>
              </w:rPr>
              <w:t>名称</w:t>
            </w:r>
          </w:p>
        </w:tc>
        <w:tc>
          <w:tcPr>
            <w:tcW w:w="1234" w:type="dxa"/>
            <w:shd w:val="clear" w:color="auto" w:fill="auto"/>
            <w:vAlign w:val="center"/>
          </w:tcPr>
          <w:p w14:paraId="70C159C1">
            <w:pPr>
              <w:jc w:val="center"/>
              <w:rPr>
                <w:b/>
                <w:szCs w:val="21"/>
              </w:rPr>
            </w:pPr>
            <w:r>
              <w:rPr>
                <w:rFonts w:hint="eastAsia"/>
                <w:b/>
                <w:szCs w:val="21"/>
              </w:rPr>
              <w:t>规格</w:t>
            </w:r>
          </w:p>
          <w:p w14:paraId="449D3FAB">
            <w:pPr>
              <w:jc w:val="center"/>
              <w:rPr>
                <w:b/>
                <w:szCs w:val="21"/>
              </w:rPr>
            </w:pPr>
            <w:r>
              <w:rPr>
                <w:b/>
                <w:szCs w:val="21"/>
              </w:rPr>
              <w:t>型号</w:t>
            </w:r>
          </w:p>
        </w:tc>
        <w:tc>
          <w:tcPr>
            <w:tcW w:w="1283" w:type="dxa"/>
            <w:shd w:val="clear" w:color="auto" w:fill="auto"/>
            <w:vAlign w:val="center"/>
          </w:tcPr>
          <w:p w14:paraId="5FA05504">
            <w:pPr>
              <w:jc w:val="center"/>
              <w:rPr>
                <w:b/>
                <w:szCs w:val="21"/>
              </w:rPr>
            </w:pPr>
            <w:r>
              <w:rPr>
                <w:rFonts w:hint="eastAsia"/>
                <w:b/>
                <w:szCs w:val="21"/>
              </w:rPr>
              <w:t>生产</w:t>
            </w:r>
          </w:p>
          <w:p w14:paraId="24EA68C0">
            <w:pPr>
              <w:jc w:val="center"/>
              <w:rPr>
                <w:b/>
                <w:szCs w:val="21"/>
              </w:rPr>
            </w:pPr>
            <w:r>
              <w:rPr>
                <w:rFonts w:hint="eastAsia"/>
                <w:b/>
                <w:szCs w:val="21"/>
              </w:rPr>
              <w:t>厂家</w:t>
            </w:r>
          </w:p>
        </w:tc>
        <w:tc>
          <w:tcPr>
            <w:tcW w:w="1350" w:type="dxa"/>
            <w:shd w:val="clear" w:color="auto" w:fill="auto"/>
            <w:vAlign w:val="center"/>
          </w:tcPr>
          <w:p w14:paraId="4FC14F9D">
            <w:pPr>
              <w:jc w:val="center"/>
              <w:rPr>
                <w:b/>
                <w:szCs w:val="21"/>
              </w:rPr>
            </w:pPr>
            <w:r>
              <w:rPr>
                <w:rFonts w:hint="eastAsia"/>
                <w:b/>
                <w:szCs w:val="21"/>
              </w:rPr>
              <w:t>单价（元）</w:t>
            </w:r>
          </w:p>
        </w:tc>
        <w:tc>
          <w:tcPr>
            <w:tcW w:w="931" w:type="dxa"/>
            <w:vAlign w:val="center"/>
          </w:tcPr>
          <w:p w14:paraId="461806E9">
            <w:pPr>
              <w:jc w:val="center"/>
              <w:rPr>
                <w:b/>
                <w:szCs w:val="21"/>
              </w:rPr>
            </w:pPr>
            <w:r>
              <w:rPr>
                <w:rFonts w:hint="eastAsia"/>
                <w:b/>
                <w:szCs w:val="21"/>
              </w:rPr>
              <w:t>数量</w:t>
            </w:r>
          </w:p>
          <w:p w14:paraId="22CE006C">
            <w:pPr>
              <w:jc w:val="center"/>
              <w:rPr>
                <w:b/>
                <w:szCs w:val="21"/>
              </w:rPr>
            </w:pPr>
            <w:r>
              <w:rPr>
                <w:rFonts w:hint="eastAsia"/>
                <w:b/>
                <w:szCs w:val="21"/>
              </w:rPr>
              <w:t>（单位）</w:t>
            </w:r>
          </w:p>
        </w:tc>
        <w:tc>
          <w:tcPr>
            <w:tcW w:w="1316" w:type="dxa"/>
            <w:shd w:val="clear" w:color="auto" w:fill="auto"/>
            <w:vAlign w:val="center"/>
          </w:tcPr>
          <w:p w14:paraId="53F2F8AA">
            <w:pPr>
              <w:jc w:val="center"/>
              <w:rPr>
                <w:b/>
                <w:szCs w:val="21"/>
              </w:rPr>
            </w:pPr>
            <w:r>
              <w:rPr>
                <w:rFonts w:hint="eastAsia"/>
                <w:b/>
                <w:szCs w:val="21"/>
              </w:rPr>
              <w:t>合计（元）</w:t>
            </w:r>
          </w:p>
        </w:tc>
        <w:tc>
          <w:tcPr>
            <w:tcW w:w="736" w:type="dxa"/>
            <w:vAlign w:val="center"/>
          </w:tcPr>
          <w:p w14:paraId="2B3A6BE6">
            <w:pPr>
              <w:spacing w:line="360" w:lineRule="auto"/>
              <w:jc w:val="center"/>
              <w:rPr>
                <w:b/>
                <w:szCs w:val="21"/>
              </w:rPr>
            </w:pPr>
            <w:r>
              <w:rPr>
                <w:rFonts w:hint="eastAsia"/>
                <w:b/>
                <w:szCs w:val="21"/>
              </w:rPr>
              <w:t>备注</w:t>
            </w:r>
          </w:p>
        </w:tc>
      </w:tr>
      <w:tr w14:paraId="3570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95" w:type="dxa"/>
            <w:shd w:val="clear" w:color="auto" w:fill="auto"/>
          </w:tcPr>
          <w:p w14:paraId="6563A490">
            <w:pPr>
              <w:spacing w:after="156" w:afterLines="50" w:line="720" w:lineRule="auto"/>
              <w:jc w:val="center"/>
              <w:rPr>
                <w:szCs w:val="21"/>
              </w:rPr>
            </w:pPr>
            <w:r>
              <w:rPr>
                <w:rFonts w:hint="eastAsia"/>
                <w:szCs w:val="21"/>
              </w:rPr>
              <w:t>1</w:t>
            </w:r>
          </w:p>
        </w:tc>
        <w:tc>
          <w:tcPr>
            <w:tcW w:w="1183" w:type="dxa"/>
            <w:shd w:val="clear" w:color="auto" w:fill="auto"/>
          </w:tcPr>
          <w:p w14:paraId="3AAD1E7A">
            <w:pPr>
              <w:spacing w:after="156" w:afterLines="50" w:line="360" w:lineRule="auto"/>
              <w:jc w:val="center"/>
              <w:rPr>
                <w:szCs w:val="21"/>
              </w:rPr>
            </w:pPr>
            <w:r>
              <w:rPr>
                <w:rFonts w:hint="eastAsia"/>
                <w:szCs w:val="21"/>
              </w:rPr>
              <w:t>移动便民服务车</w:t>
            </w:r>
          </w:p>
        </w:tc>
        <w:tc>
          <w:tcPr>
            <w:tcW w:w="1234" w:type="dxa"/>
            <w:shd w:val="clear" w:color="auto" w:fill="auto"/>
          </w:tcPr>
          <w:p w14:paraId="1E76F2F5">
            <w:pPr>
              <w:spacing w:after="156" w:afterLines="50" w:line="360" w:lineRule="auto"/>
              <w:jc w:val="center"/>
              <w:rPr>
                <w:szCs w:val="21"/>
              </w:rPr>
            </w:pPr>
            <w:r>
              <w:rPr>
                <w:rFonts w:hint="eastAsia"/>
                <w:szCs w:val="21"/>
              </w:rPr>
              <w:t>4200*1940*2380</w:t>
            </w:r>
          </w:p>
        </w:tc>
        <w:tc>
          <w:tcPr>
            <w:tcW w:w="1283" w:type="dxa"/>
            <w:shd w:val="clear" w:color="auto" w:fill="auto"/>
          </w:tcPr>
          <w:p w14:paraId="5453632A">
            <w:pPr>
              <w:spacing w:after="156" w:afterLines="50" w:line="360" w:lineRule="auto"/>
              <w:jc w:val="center"/>
              <w:rPr>
                <w:szCs w:val="21"/>
              </w:rPr>
            </w:pPr>
          </w:p>
        </w:tc>
        <w:tc>
          <w:tcPr>
            <w:tcW w:w="1350" w:type="dxa"/>
            <w:shd w:val="clear" w:color="auto" w:fill="auto"/>
            <w:vAlign w:val="center"/>
          </w:tcPr>
          <w:p w14:paraId="1E102B03">
            <w:pPr>
              <w:widowControl/>
              <w:spacing w:line="360" w:lineRule="auto"/>
              <w:jc w:val="center"/>
              <w:textAlignment w:val="center"/>
              <w:rPr>
                <w:rFonts w:ascii="Arial Unicode MS" w:hAnsi="Arial Unicode MS" w:eastAsia="Arial Unicode MS" w:cs="Arial Unicode MS"/>
                <w:color w:val="000000"/>
                <w:sz w:val="20"/>
              </w:rPr>
            </w:pPr>
          </w:p>
        </w:tc>
        <w:tc>
          <w:tcPr>
            <w:tcW w:w="931" w:type="dxa"/>
            <w:shd w:val="clear" w:color="auto" w:fill="auto"/>
            <w:vAlign w:val="center"/>
          </w:tcPr>
          <w:p w14:paraId="6D4EC304">
            <w:pPr>
              <w:widowControl/>
              <w:spacing w:line="360" w:lineRule="auto"/>
              <w:jc w:val="center"/>
              <w:textAlignment w:val="center"/>
              <w:rPr>
                <w:rFonts w:hint="eastAsia" w:ascii="Arial Unicode MS" w:hAnsi="Arial Unicode MS" w:eastAsia="宋体" w:cs="Arial Unicode MS"/>
                <w:color w:val="000000"/>
                <w:sz w:val="20"/>
                <w:lang w:eastAsia="zh-CN"/>
              </w:rPr>
            </w:pPr>
            <w:r>
              <w:rPr>
                <w:rFonts w:hint="eastAsia" w:ascii="Arial Unicode MS" w:hAnsi="Arial Unicode MS" w:cs="Arial Unicode MS"/>
                <w:color w:val="000000"/>
                <w:sz w:val="20"/>
                <w:lang w:val="en-US" w:eastAsia="zh-CN"/>
              </w:rPr>
              <w:t>4</w:t>
            </w:r>
          </w:p>
        </w:tc>
        <w:tc>
          <w:tcPr>
            <w:tcW w:w="1316" w:type="dxa"/>
            <w:shd w:val="clear" w:color="auto" w:fill="auto"/>
          </w:tcPr>
          <w:p w14:paraId="019C61C0">
            <w:pPr>
              <w:widowControl/>
              <w:spacing w:line="840" w:lineRule="auto"/>
              <w:jc w:val="center"/>
              <w:textAlignment w:val="center"/>
              <w:rPr>
                <w:szCs w:val="21"/>
              </w:rPr>
            </w:pPr>
          </w:p>
        </w:tc>
        <w:tc>
          <w:tcPr>
            <w:tcW w:w="736" w:type="dxa"/>
          </w:tcPr>
          <w:p w14:paraId="675EA870">
            <w:pPr>
              <w:spacing w:after="156" w:afterLines="50" w:line="360" w:lineRule="auto"/>
              <w:jc w:val="center"/>
              <w:rPr>
                <w:szCs w:val="21"/>
              </w:rPr>
            </w:pPr>
          </w:p>
        </w:tc>
      </w:tr>
      <w:tr w14:paraId="18B2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5" w:type="dxa"/>
            <w:gridSpan w:val="5"/>
            <w:tcBorders>
              <w:right w:val="nil"/>
            </w:tcBorders>
            <w:shd w:val="clear" w:color="auto" w:fill="auto"/>
          </w:tcPr>
          <w:p w14:paraId="406461FF">
            <w:pPr>
              <w:spacing w:after="156" w:afterLines="50" w:line="360" w:lineRule="auto"/>
              <w:rPr>
                <w:b/>
                <w:bCs/>
                <w:szCs w:val="21"/>
              </w:rPr>
            </w:pPr>
            <w:r>
              <w:rPr>
                <w:rFonts w:hint="eastAsia"/>
                <w:b/>
                <w:bCs/>
                <w:szCs w:val="21"/>
              </w:rPr>
              <w:t>总价款：（大写）：</w:t>
            </w:r>
          </w:p>
        </w:tc>
        <w:tc>
          <w:tcPr>
            <w:tcW w:w="2983" w:type="dxa"/>
            <w:gridSpan w:val="3"/>
            <w:tcBorders>
              <w:left w:val="nil"/>
            </w:tcBorders>
          </w:tcPr>
          <w:p w14:paraId="661041A3">
            <w:pPr>
              <w:spacing w:after="156" w:afterLines="50" w:line="360" w:lineRule="auto"/>
              <w:rPr>
                <w:b/>
                <w:bCs/>
                <w:szCs w:val="21"/>
              </w:rPr>
            </w:pPr>
            <w:r>
              <w:rPr>
                <w:rFonts w:hint="eastAsia"/>
                <w:b/>
                <w:bCs/>
                <w:szCs w:val="21"/>
              </w:rPr>
              <w:t>（小写）：</w:t>
            </w:r>
            <w:r>
              <w:rPr>
                <w:rFonts w:ascii="Arial Unicode MS" w:hAnsi="Arial Unicode MS" w:eastAsia="Arial Unicode MS" w:cs="Arial Unicode MS"/>
                <w:color w:val="000000"/>
                <w:kern w:val="0"/>
                <w:sz w:val="20"/>
                <w:lang w:bidi="ar"/>
              </w:rPr>
              <w:t>￥</w:t>
            </w:r>
          </w:p>
        </w:tc>
      </w:tr>
    </w:tbl>
    <w:p w14:paraId="226518F1">
      <w:pPr>
        <w:adjustRightInd w:val="0"/>
        <w:snapToGrid w:val="0"/>
        <w:spacing w:after="156" w:afterLines="50" w:line="360" w:lineRule="exact"/>
        <w:ind w:firstLine="630" w:firstLineChars="300"/>
        <w:rPr>
          <w:szCs w:val="21"/>
        </w:rPr>
      </w:pPr>
      <w:r>
        <w:rPr>
          <w:rFonts w:hint="eastAsia"/>
          <w:szCs w:val="21"/>
        </w:rPr>
        <w:t>有关货物的配置或者技术参数信息详见附件1。</w:t>
      </w:r>
    </w:p>
    <w:p w14:paraId="1B7A8EF3">
      <w:pPr>
        <w:adjustRightInd w:val="0"/>
        <w:snapToGrid w:val="0"/>
        <w:spacing w:before="156" w:beforeLines="50" w:after="156" w:afterLines="50" w:line="360" w:lineRule="exact"/>
        <w:rPr>
          <w:b/>
          <w:szCs w:val="21"/>
        </w:rPr>
      </w:pPr>
      <w:r>
        <w:rPr>
          <w:b/>
          <w:szCs w:val="21"/>
        </w:rPr>
        <w:t>2. 合同价款及付款方式：</w:t>
      </w:r>
    </w:p>
    <w:p w14:paraId="47CAB8FF">
      <w:pPr>
        <w:adjustRightInd w:val="0"/>
        <w:snapToGrid w:val="0"/>
        <w:spacing w:line="380" w:lineRule="exact"/>
        <w:ind w:firstLine="420" w:firstLineChars="200"/>
        <w:rPr>
          <w:bCs/>
          <w:szCs w:val="21"/>
        </w:rPr>
      </w:pPr>
      <w:r>
        <w:rPr>
          <w:rFonts w:hint="eastAsia"/>
          <w:bCs/>
          <w:szCs w:val="21"/>
        </w:rPr>
        <w:t>2.1</w:t>
      </w:r>
      <w:r>
        <w:rPr>
          <w:bCs/>
          <w:szCs w:val="21"/>
        </w:rPr>
        <w:t xml:space="preserve"> 合同价款</w:t>
      </w:r>
      <w:r>
        <w:rPr>
          <w:rFonts w:hint="eastAsia"/>
          <w:bCs/>
          <w:szCs w:val="21"/>
        </w:rPr>
        <w:t>为</w:t>
      </w:r>
      <w:r>
        <w:rPr>
          <w:bCs/>
          <w:szCs w:val="21"/>
        </w:rPr>
        <w:t>人民币：</w:t>
      </w:r>
      <w:r>
        <w:rPr>
          <w:rFonts w:hint="eastAsia"/>
          <w:bCs/>
          <w:szCs w:val="21"/>
        </w:rPr>
        <w:t>（大写）</w:t>
      </w:r>
      <w:r>
        <w:rPr>
          <w:bCs/>
          <w:szCs w:val="21"/>
          <w:u w:val="single"/>
        </w:rPr>
        <w:t xml:space="preserve"> </w:t>
      </w:r>
      <w:r>
        <w:rPr>
          <w:rFonts w:hint="eastAsia"/>
          <w:b/>
          <w:bCs/>
          <w:szCs w:val="21"/>
          <w:u w:val="single"/>
          <w:lang w:val="en-US" w:eastAsia="zh-CN"/>
        </w:rPr>
        <w:t xml:space="preserve">              </w:t>
      </w:r>
      <w:r>
        <w:rPr>
          <w:bCs/>
          <w:szCs w:val="21"/>
          <w:u w:val="single"/>
        </w:rPr>
        <w:t xml:space="preserve"> </w:t>
      </w:r>
      <w:r>
        <w:rPr>
          <w:bCs/>
          <w:szCs w:val="21"/>
        </w:rPr>
        <w:t>（￥</w:t>
      </w:r>
      <w:r>
        <w:rPr>
          <w:bCs/>
          <w:szCs w:val="21"/>
          <w:u w:val="single"/>
        </w:rPr>
        <w:t xml:space="preserve"> </w:t>
      </w:r>
      <w:r>
        <w:rPr>
          <w:rFonts w:hint="eastAsia" w:ascii="Arial Unicode MS" w:hAnsi="Arial Unicode MS" w:cs="Arial Unicode MS"/>
          <w:color w:val="000000"/>
          <w:kern w:val="0"/>
          <w:sz w:val="20"/>
          <w:u w:val="single"/>
          <w:lang w:val="en-US" w:eastAsia="zh-CN" w:bidi="ar"/>
        </w:rPr>
        <w:t xml:space="preserve">            </w:t>
      </w:r>
      <w:r>
        <w:rPr>
          <w:bCs/>
          <w:szCs w:val="21"/>
          <w:u w:val="single"/>
        </w:rPr>
        <w:t xml:space="preserve"> </w:t>
      </w:r>
      <w:r>
        <w:rPr>
          <w:bCs/>
          <w:szCs w:val="21"/>
        </w:rPr>
        <w:t>），该价格为全部价款，包括货物</w:t>
      </w:r>
      <w:r>
        <w:rPr>
          <w:rFonts w:hint="eastAsia"/>
          <w:bCs/>
          <w:szCs w:val="21"/>
        </w:rPr>
        <w:t>税费、</w:t>
      </w:r>
      <w:r>
        <w:rPr>
          <w:bCs/>
          <w:szCs w:val="21"/>
        </w:rPr>
        <w:t>包装、运输、</w:t>
      </w:r>
      <w:r>
        <w:rPr>
          <w:rFonts w:hint="eastAsia"/>
          <w:bCs/>
          <w:szCs w:val="21"/>
        </w:rPr>
        <w:t>保险、</w:t>
      </w:r>
      <w:r>
        <w:rPr>
          <w:bCs/>
          <w:szCs w:val="21"/>
        </w:rPr>
        <w:t>安装、调试及售后服务等各项费用，甲方不再向乙方支付本合同规定之外的任何其他费用。</w:t>
      </w:r>
    </w:p>
    <w:p w14:paraId="4727FBBB">
      <w:pPr>
        <w:adjustRightInd w:val="0"/>
        <w:snapToGrid w:val="0"/>
        <w:spacing w:line="380" w:lineRule="exact"/>
        <w:ind w:left="424" w:leftChars="202" w:firstLine="2"/>
        <w:rPr>
          <w:bCs/>
          <w:szCs w:val="21"/>
          <w:highlight w:val="none"/>
          <w:u w:val="single"/>
        </w:rPr>
      </w:pPr>
      <w:r>
        <w:rPr>
          <w:rFonts w:hint="eastAsia"/>
          <w:bCs/>
          <w:szCs w:val="21"/>
          <w:highlight w:val="none"/>
        </w:rPr>
        <w:t>2.2</w:t>
      </w:r>
      <w:r>
        <w:rPr>
          <w:bCs/>
          <w:szCs w:val="21"/>
          <w:highlight w:val="none"/>
        </w:rPr>
        <w:t xml:space="preserve"> 付款方式：</w:t>
      </w:r>
    </w:p>
    <w:p w14:paraId="006198FF">
      <w:pPr>
        <w:tabs>
          <w:tab w:val="right" w:pos="8447"/>
        </w:tabs>
        <w:spacing w:line="340" w:lineRule="exact"/>
        <w:ind w:firstLine="420" w:firstLineChars="200"/>
        <w:rPr>
          <w:szCs w:val="21"/>
          <w:highlight w:val="none"/>
        </w:rPr>
      </w:pPr>
      <w:r>
        <w:rPr>
          <w:rFonts w:hint="eastAsia"/>
          <w:szCs w:val="21"/>
          <w:highlight w:val="none"/>
        </w:rPr>
        <w:t>（1）</w:t>
      </w:r>
      <w:r>
        <w:rPr>
          <w:szCs w:val="21"/>
          <w:highlight w:val="none"/>
        </w:rPr>
        <w:t xml:space="preserve"> 合同预付款：</w:t>
      </w:r>
      <w:r>
        <w:rPr>
          <w:szCs w:val="21"/>
          <w:highlight w:val="none"/>
        </w:rPr>
        <w:tab/>
      </w:r>
    </w:p>
    <w:p w14:paraId="33429B28">
      <w:pPr>
        <w:spacing w:line="340" w:lineRule="exact"/>
        <w:ind w:firstLine="420" w:firstLineChars="200"/>
        <w:rPr>
          <w:szCs w:val="21"/>
          <w:highlight w:val="none"/>
        </w:rPr>
      </w:pPr>
      <w:r>
        <w:rPr>
          <w:szCs w:val="21"/>
          <w:highlight w:val="none"/>
        </w:rPr>
        <w:t>甲方在本合同</w:t>
      </w:r>
      <w:r>
        <w:rPr>
          <w:rFonts w:hint="eastAsia"/>
          <w:szCs w:val="21"/>
          <w:highlight w:val="none"/>
        </w:rPr>
        <w:t>生效</w:t>
      </w:r>
      <w:r>
        <w:rPr>
          <w:szCs w:val="21"/>
          <w:highlight w:val="none"/>
        </w:rPr>
        <w:t>后的</w:t>
      </w:r>
      <w:r>
        <w:rPr>
          <w:szCs w:val="21"/>
          <w:highlight w:val="none"/>
          <w:u w:val="single"/>
        </w:rPr>
        <w:t xml:space="preserve"> 10 </w:t>
      </w:r>
      <w:r>
        <w:rPr>
          <w:szCs w:val="21"/>
          <w:highlight w:val="none"/>
        </w:rPr>
        <w:t>个工作日内</w:t>
      </w:r>
      <w:r>
        <w:rPr>
          <w:rFonts w:hint="eastAsia"/>
          <w:szCs w:val="21"/>
          <w:highlight w:val="none"/>
        </w:rPr>
        <w:t>，</w:t>
      </w:r>
      <w:r>
        <w:rPr>
          <w:szCs w:val="21"/>
          <w:highlight w:val="none"/>
        </w:rPr>
        <w:t>将</w:t>
      </w:r>
      <w:r>
        <w:rPr>
          <w:rFonts w:hint="eastAsia"/>
          <w:szCs w:val="21"/>
          <w:highlight w:val="none"/>
        </w:rPr>
        <w:t>可移动便民服务车厢货款</w:t>
      </w:r>
      <w:r>
        <w:rPr>
          <w:szCs w:val="21"/>
          <w:highlight w:val="none"/>
        </w:rPr>
        <w:t>的</w:t>
      </w:r>
      <w:r>
        <w:rPr>
          <w:szCs w:val="21"/>
          <w:highlight w:val="none"/>
          <w:u w:val="single"/>
        </w:rPr>
        <w:t xml:space="preserve"> </w:t>
      </w:r>
      <w:r>
        <w:rPr>
          <w:rFonts w:hint="eastAsia"/>
          <w:szCs w:val="21"/>
          <w:highlight w:val="none"/>
          <w:u w:val="single"/>
          <w:lang w:val="en-US" w:eastAsia="zh-CN"/>
        </w:rPr>
        <w:t>30</w:t>
      </w:r>
      <w:r>
        <w:rPr>
          <w:szCs w:val="21"/>
          <w:highlight w:val="none"/>
          <w:u w:val="single"/>
        </w:rPr>
        <w:t xml:space="preserve"> </w:t>
      </w:r>
      <w:r>
        <w:rPr>
          <w:szCs w:val="21"/>
          <w:highlight w:val="none"/>
        </w:rPr>
        <w:t>%作为预付款支付给乙方，即人民币（大写）：</w:t>
      </w:r>
      <w:r>
        <w:rPr>
          <w:szCs w:val="21"/>
          <w:highlight w:val="none"/>
          <w:u w:val="single"/>
        </w:rPr>
        <w:t xml:space="preserve"> </w:t>
      </w:r>
      <w:r>
        <w:rPr>
          <w:rFonts w:hint="eastAsia"/>
          <w:b/>
          <w:bCs/>
          <w:szCs w:val="21"/>
          <w:highlight w:val="none"/>
          <w:u w:val="single"/>
          <w:lang w:val="en-US" w:eastAsia="zh-CN"/>
        </w:rPr>
        <w:t xml:space="preserve">                    </w:t>
      </w:r>
      <w:r>
        <w:rPr>
          <w:rFonts w:hint="eastAsia"/>
          <w:b/>
          <w:bCs/>
          <w:szCs w:val="21"/>
          <w:highlight w:val="none"/>
          <w:u w:val="single"/>
        </w:rPr>
        <w:t xml:space="preserve"> </w:t>
      </w:r>
      <w:r>
        <w:rPr>
          <w:szCs w:val="21"/>
          <w:highlight w:val="none"/>
        </w:rPr>
        <w:t>，（小写）</w:t>
      </w:r>
      <w:r>
        <w:rPr>
          <w:rFonts w:hint="eastAsia" w:ascii="Arial Unicode MS" w:hAnsi="Arial Unicode MS" w:cs="Arial Unicode MS"/>
          <w:color w:val="000000"/>
          <w:kern w:val="0"/>
          <w:sz w:val="20"/>
          <w:highlight w:val="none"/>
          <w:u w:val="single"/>
          <w:lang w:val="en-US" w:eastAsia="zh-CN" w:bidi="ar"/>
        </w:rPr>
        <w:t xml:space="preserve">     </w:t>
      </w:r>
      <w:r>
        <w:rPr>
          <w:rFonts w:ascii="Arial Unicode MS" w:hAnsi="Arial Unicode MS" w:eastAsia="Arial Unicode MS" w:cs="Arial Unicode MS"/>
          <w:color w:val="000000"/>
          <w:kern w:val="0"/>
          <w:sz w:val="20"/>
          <w:highlight w:val="none"/>
          <w:u w:val="single"/>
          <w:lang w:bidi="ar"/>
        </w:rPr>
        <w:t xml:space="preserve"> </w:t>
      </w:r>
      <w:r>
        <w:rPr>
          <w:rFonts w:hint="eastAsia"/>
          <w:szCs w:val="21"/>
          <w:highlight w:val="none"/>
        </w:rPr>
        <w:t>元</w:t>
      </w:r>
      <w:r>
        <w:rPr>
          <w:szCs w:val="21"/>
          <w:highlight w:val="none"/>
        </w:rPr>
        <w:t xml:space="preserve"> 。</w:t>
      </w:r>
      <w:r>
        <w:rPr>
          <w:rFonts w:hint="eastAsia"/>
          <w:szCs w:val="21"/>
          <w:highlight w:val="none"/>
        </w:rPr>
        <w:t>收到预付款后，乙方制作并交付第一辆可移动便民服务车厢供甲方进行为期</w:t>
      </w:r>
      <w:r>
        <w:rPr>
          <w:rFonts w:hint="eastAsia"/>
          <w:szCs w:val="21"/>
          <w:highlight w:val="none"/>
          <w:u w:val="single"/>
        </w:rPr>
        <w:t>一个月</w:t>
      </w:r>
      <w:r>
        <w:rPr>
          <w:rFonts w:hint="eastAsia"/>
          <w:szCs w:val="21"/>
          <w:highlight w:val="none"/>
        </w:rPr>
        <w:t>的试用，车厢需完全符合附件一的技术参数要求无质量瑕疵，如未能满足甲方使用要求或车辆一个月内出现1次故障，甲方有权提出改进建议及增补技术参数要求，待乙方改进后继续履行合同，如车辆无法满足甲方使用要求，乙方应全额退回甲方已支付的预付款，车辆由乙方自行处理及清运并终止合同。</w:t>
      </w:r>
    </w:p>
    <w:p w14:paraId="4F242D30">
      <w:pPr>
        <w:spacing w:line="340" w:lineRule="exact"/>
        <w:ind w:firstLine="420" w:firstLineChars="200"/>
        <w:rPr>
          <w:szCs w:val="21"/>
          <w:highlight w:val="none"/>
        </w:rPr>
      </w:pPr>
      <w:r>
        <w:rPr>
          <w:rFonts w:hint="eastAsia"/>
          <w:szCs w:val="21"/>
          <w:highlight w:val="none"/>
        </w:rPr>
        <w:t>（2）</w:t>
      </w:r>
      <w:r>
        <w:rPr>
          <w:szCs w:val="21"/>
          <w:highlight w:val="none"/>
        </w:rPr>
        <w:t xml:space="preserve"> 货物</w:t>
      </w:r>
      <w:r>
        <w:rPr>
          <w:rFonts w:hint="eastAsia"/>
          <w:szCs w:val="21"/>
          <w:highlight w:val="none"/>
        </w:rPr>
        <w:t>进度</w:t>
      </w:r>
      <w:r>
        <w:rPr>
          <w:szCs w:val="21"/>
          <w:highlight w:val="none"/>
        </w:rPr>
        <w:t>款：</w:t>
      </w:r>
    </w:p>
    <w:p w14:paraId="5F2B4B29">
      <w:pPr>
        <w:spacing w:line="340" w:lineRule="exact"/>
        <w:ind w:firstLine="420" w:firstLineChars="200"/>
        <w:rPr>
          <w:szCs w:val="21"/>
          <w:highlight w:val="none"/>
        </w:rPr>
      </w:pPr>
      <w:r>
        <w:rPr>
          <w:rFonts w:hint="eastAsia"/>
          <w:szCs w:val="21"/>
          <w:highlight w:val="none"/>
        </w:rPr>
        <w:t>待甲方对第一辆车厢试用确认合格后，乙方制作并提供剩余两辆可移动便民服务车厢，第二批车厢到货</w:t>
      </w:r>
      <w:r>
        <w:rPr>
          <w:szCs w:val="21"/>
          <w:highlight w:val="none"/>
        </w:rPr>
        <w:t>后</w:t>
      </w:r>
      <w:r>
        <w:rPr>
          <w:szCs w:val="21"/>
          <w:highlight w:val="none"/>
          <w:u w:val="single"/>
        </w:rPr>
        <w:t xml:space="preserve">  10  </w:t>
      </w:r>
      <w:r>
        <w:rPr>
          <w:szCs w:val="21"/>
          <w:highlight w:val="none"/>
        </w:rPr>
        <w:t>个工作日内</w:t>
      </w:r>
      <w:r>
        <w:rPr>
          <w:rFonts w:hint="eastAsia"/>
          <w:szCs w:val="21"/>
          <w:highlight w:val="none"/>
        </w:rPr>
        <w:t>，甲方</w:t>
      </w:r>
      <w:r>
        <w:rPr>
          <w:szCs w:val="21"/>
          <w:highlight w:val="none"/>
        </w:rPr>
        <w:t>支付</w:t>
      </w:r>
      <w:r>
        <w:rPr>
          <w:rFonts w:hint="eastAsia"/>
          <w:szCs w:val="21"/>
          <w:highlight w:val="none"/>
        </w:rPr>
        <w:t>车厢货款</w:t>
      </w:r>
      <w:r>
        <w:rPr>
          <w:szCs w:val="21"/>
          <w:highlight w:val="none"/>
        </w:rPr>
        <w:t>的</w:t>
      </w:r>
      <w:r>
        <w:rPr>
          <w:rFonts w:hint="eastAsia"/>
          <w:szCs w:val="21"/>
          <w:highlight w:val="none"/>
          <w:u w:val="single"/>
          <w:lang w:val="en-US" w:eastAsia="zh-CN"/>
        </w:rPr>
        <w:t xml:space="preserve">60 </w:t>
      </w:r>
      <w:r>
        <w:rPr>
          <w:szCs w:val="21"/>
          <w:highlight w:val="none"/>
        </w:rPr>
        <w:t>%给乙方</w:t>
      </w:r>
      <w:r>
        <w:rPr>
          <w:rFonts w:hint="eastAsia"/>
          <w:szCs w:val="21"/>
          <w:highlight w:val="none"/>
        </w:rPr>
        <w:t>，</w:t>
      </w:r>
      <w:r>
        <w:rPr>
          <w:szCs w:val="21"/>
          <w:highlight w:val="none"/>
        </w:rPr>
        <w:t>即人民币（大写）：</w:t>
      </w:r>
      <w:r>
        <w:rPr>
          <w:szCs w:val="21"/>
          <w:highlight w:val="none"/>
          <w:u w:val="single"/>
        </w:rPr>
        <w:t xml:space="preserve"> </w:t>
      </w:r>
      <w:r>
        <w:rPr>
          <w:rFonts w:hint="eastAsia"/>
          <w:szCs w:val="21"/>
          <w:highlight w:val="none"/>
          <w:u w:val="single"/>
          <w:lang w:val="en-US" w:eastAsia="zh-CN"/>
        </w:rPr>
        <w:t xml:space="preserve">          </w:t>
      </w:r>
      <w:r>
        <w:rPr>
          <w:rFonts w:hint="eastAsia"/>
          <w:b/>
          <w:bCs/>
          <w:szCs w:val="21"/>
          <w:highlight w:val="none"/>
          <w:u w:val="single"/>
        </w:rPr>
        <w:t xml:space="preserve"> </w:t>
      </w:r>
      <w:r>
        <w:rPr>
          <w:szCs w:val="21"/>
          <w:highlight w:val="none"/>
        </w:rPr>
        <w:t>，（小写）</w:t>
      </w:r>
      <w:r>
        <w:rPr>
          <w:rFonts w:hint="eastAsia" w:ascii="Arial Unicode MS" w:hAnsi="Arial Unicode MS" w:cs="Arial Unicode MS"/>
          <w:color w:val="000000"/>
          <w:kern w:val="0"/>
          <w:sz w:val="20"/>
          <w:highlight w:val="none"/>
          <w:u w:val="single"/>
          <w:lang w:val="en-US" w:eastAsia="zh-CN" w:bidi="ar"/>
        </w:rPr>
        <w:t xml:space="preserve">      </w:t>
      </w:r>
      <w:r>
        <w:rPr>
          <w:rFonts w:ascii="Arial Unicode MS" w:hAnsi="Arial Unicode MS" w:eastAsia="Arial Unicode MS" w:cs="Arial Unicode MS"/>
          <w:color w:val="000000"/>
          <w:kern w:val="0"/>
          <w:sz w:val="20"/>
          <w:highlight w:val="none"/>
          <w:u w:val="single"/>
          <w:lang w:bidi="ar"/>
        </w:rPr>
        <w:t xml:space="preserve"> </w:t>
      </w:r>
      <w:r>
        <w:rPr>
          <w:rFonts w:hint="eastAsia"/>
          <w:szCs w:val="21"/>
          <w:highlight w:val="none"/>
        </w:rPr>
        <w:t>元</w:t>
      </w:r>
      <w:r>
        <w:rPr>
          <w:szCs w:val="21"/>
          <w:highlight w:val="none"/>
        </w:rPr>
        <w:t xml:space="preserve"> 。</w:t>
      </w:r>
    </w:p>
    <w:p w14:paraId="15F6233E">
      <w:pPr>
        <w:spacing w:line="340" w:lineRule="exact"/>
        <w:ind w:firstLine="420" w:firstLineChars="200"/>
        <w:rPr>
          <w:rFonts w:hint="eastAsia"/>
          <w:szCs w:val="21"/>
          <w:highlight w:val="none"/>
        </w:rPr>
      </w:pPr>
      <w:r>
        <w:rPr>
          <w:rFonts w:hint="eastAsia"/>
          <w:szCs w:val="21"/>
          <w:highlight w:val="none"/>
        </w:rPr>
        <w:t>（</w:t>
      </w:r>
      <w:r>
        <w:rPr>
          <w:szCs w:val="21"/>
          <w:highlight w:val="none"/>
        </w:rPr>
        <w:t>3</w:t>
      </w:r>
      <w:r>
        <w:rPr>
          <w:rFonts w:hint="eastAsia"/>
          <w:szCs w:val="21"/>
          <w:highlight w:val="none"/>
        </w:rPr>
        <w:t>）</w:t>
      </w:r>
      <w:r>
        <w:rPr>
          <w:szCs w:val="21"/>
          <w:highlight w:val="none"/>
        </w:rPr>
        <w:t>货物验收款</w:t>
      </w:r>
    </w:p>
    <w:p w14:paraId="0B6472BB">
      <w:pPr>
        <w:spacing w:line="340" w:lineRule="exact"/>
        <w:ind w:firstLine="420" w:firstLineChars="200"/>
        <w:rPr>
          <w:rFonts w:hint="eastAsia"/>
          <w:szCs w:val="21"/>
          <w:highlight w:val="none"/>
        </w:rPr>
      </w:pPr>
    </w:p>
    <w:p w14:paraId="428A2EEE">
      <w:pPr>
        <w:spacing w:line="340" w:lineRule="exact"/>
        <w:ind w:firstLine="420" w:firstLineChars="200"/>
        <w:rPr>
          <w:szCs w:val="21"/>
          <w:highlight w:val="none"/>
        </w:rPr>
      </w:pPr>
      <w:r>
        <w:rPr>
          <w:rFonts w:hint="eastAsia"/>
          <w:szCs w:val="21"/>
          <w:highlight w:val="none"/>
        </w:rPr>
        <w:t>甲方对第二批货物进行一个月的试用，一个月后如无质量问题，应在</w:t>
      </w:r>
      <w:r>
        <w:rPr>
          <w:szCs w:val="21"/>
          <w:highlight w:val="none"/>
          <w:u w:val="single"/>
        </w:rPr>
        <w:t xml:space="preserve">  10  </w:t>
      </w:r>
      <w:r>
        <w:rPr>
          <w:szCs w:val="21"/>
          <w:highlight w:val="none"/>
        </w:rPr>
        <w:t>个工作日内向乙方支付货物验收款。</w:t>
      </w:r>
      <w:r>
        <w:rPr>
          <w:rFonts w:hint="eastAsia"/>
          <w:szCs w:val="21"/>
          <w:highlight w:val="none"/>
        </w:rPr>
        <w:t>货物</w:t>
      </w:r>
      <w:r>
        <w:rPr>
          <w:szCs w:val="21"/>
          <w:highlight w:val="none"/>
        </w:rPr>
        <w:t>验收款为合同总金额的</w:t>
      </w:r>
      <w:r>
        <w:rPr>
          <w:rFonts w:hint="eastAsia"/>
          <w:szCs w:val="21"/>
          <w:highlight w:val="none"/>
          <w:u w:val="single"/>
        </w:rPr>
        <w:t>10</w:t>
      </w:r>
      <w:r>
        <w:rPr>
          <w:szCs w:val="21"/>
          <w:highlight w:val="none"/>
          <w:u w:val="single"/>
        </w:rPr>
        <w:t xml:space="preserve"> </w:t>
      </w:r>
      <w:r>
        <w:rPr>
          <w:szCs w:val="21"/>
          <w:highlight w:val="none"/>
        </w:rPr>
        <w:t>%，即人民币（大写）：</w:t>
      </w:r>
      <w:r>
        <w:rPr>
          <w:szCs w:val="21"/>
          <w:highlight w:val="none"/>
          <w:u w:val="single"/>
        </w:rPr>
        <w:t xml:space="preserve"> </w:t>
      </w:r>
      <w:r>
        <w:rPr>
          <w:rFonts w:hint="eastAsia"/>
          <w:b/>
          <w:bCs/>
          <w:szCs w:val="21"/>
          <w:highlight w:val="none"/>
          <w:u w:val="single"/>
          <w:lang w:val="en-US" w:eastAsia="zh-CN"/>
        </w:rPr>
        <w:t xml:space="preserve">           </w:t>
      </w:r>
      <w:r>
        <w:rPr>
          <w:szCs w:val="21"/>
          <w:highlight w:val="none"/>
        </w:rPr>
        <w:t>，（小写）</w:t>
      </w:r>
      <w:r>
        <w:rPr>
          <w:szCs w:val="21"/>
          <w:highlight w:val="none"/>
          <w:u w:val="single"/>
        </w:rPr>
        <w:t xml:space="preserve"> </w:t>
      </w:r>
      <w:r>
        <w:rPr>
          <w:rFonts w:hint="eastAsia" w:ascii="Arial Unicode MS" w:hAnsi="Arial Unicode MS" w:cs="Arial Unicode MS"/>
          <w:color w:val="000000"/>
          <w:kern w:val="0"/>
          <w:sz w:val="20"/>
          <w:highlight w:val="none"/>
          <w:u w:val="single"/>
          <w:lang w:val="en-US" w:eastAsia="zh-CN" w:bidi="ar"/>
        </w:rPr>
        <w:t xml:space="preserve">       </w:t>
      </w:r>
      <w:r>
        <w:rPr>
          <w:rFonts w:hint="eastAsia"/>
          <w:szCs w:val="21"/>
          <w:highlight w:val="none"/>
        </w:rPr>
        <w:t xml:space="preserve"> 元。如车辆无法满足甲方使用要求，甲方有权要求终止合同并要求乙方退回全部已付款项。</w:t>
      </w:r>
    </w:p>
    <w:p w14:paraId="63F120C1">
      <w:pPr>
        <w:adjustRightInd w:val="0"/>
        <w:snapToGrid w:val="0"/>
        <w:spacing w:line="380" w:lineRule="exact"/>
        <w:ind w:left="424" w:leftChars="202" w:firstLine="2"/>
        <w:rPr>
          <w:b/>
          <w:bCs/>
          <w:szCs w:val="21"/>
          <w:highlight w:val="none"/>
        </w:rPr>
      </w:pPr>
      <w:r>
        <w:rPr>
          <w:rFonts w:hint="eastAsia"/>
          <w:b/>
          <w:bCs/>
          <w:szCs w:val="21"/>
          <w:highlight w:val="none"/>
        </w:rPr>
        <w:t>注</w:t>
      </w:r>
      <w:r>
        <w:rPr>
          <w:b/>
          <w:bCs/>
          <w:szCs w:val="21"/>
          <w:highlight w:val="none"/>
        </w:rPr>
        <w:t>：</w:t>
      </w:r>
      <w:r>
        <w:rPr>
          <w:rFonts w:hint="eastAsia"/>
          <w:b/>
          <w:bCs/>
          <w:szCs w:val="21"/>
          <w:highlight w:val="none"/>
        </w:rPr>
        <w:t>在甲方付款前，乙方应开具与付款金额对等的增值税专用发票。</w:t>
      </w:r>
    </w:p>
    <w:p w14:paraId="34827490">
      <w:pPr>
        <w:adjustRightInd w:val="0"/>
        <w:snapToGrid w:val="0"/>
        <w:spacing w:before="156" w:beforeLines="50" w:after="156" w:afterLines="50" w:line="360" w:lineRule="exact"/>
        <w:rPr>
          <w:b/>
          <w:szCs w:val="21"/>
          <w:highlight w:val="none"/>
        </w:rPr>
      </w:pPr>
      <w:r>
        <w:rPr>
          <w:rFonts w:hint="eastAsia"/>
          <w:b/>
          <w:szCs w:val="21"/>
          <w:highlight w:val="none"/>
        </w:rPr>
        <w:t>3. 交货日期及地点：</w:t>
      </w:r>
    </w:p>
    <w:p w14:paraId="0BBE9A19">
      <w:pPr>
        <w:adjustRightInd w:val="0"/>
        <w:snapToGrid w:val="0"/>
        <w:spacing w:line="360" w:lineRule="exact"/>
        <w:ind w:firstLine="420" w:firstLineChars="200"/>
        <w:rPr>
          <w:bCs/>
          <w:szCs w:val="21"/>
          <w:highlight w:val="none"/>
        </w:rPr>
      </w:pPr>
      <w:r>
        <w:rPr>
          <w:rFonts w:hint="eastAsia"/>
          <w:bCs/>
          <w:szCs w:val="21"/>
          <w:highlight w:val="none"/>
        </w:rPr>
        <w:t>3.1</w:t>
      </w:r>
      <w:r>
        <w:rPr>
          <w:bCs/>
          <w:szCs w:val="21"/>
          <w:highlight w:val="none"/>
        </w:rPr>
        <w:t xml:space="preserve"> </w:t>
      </w:r>
      <w:r>
        <w:rPr>
          <w:rFonts w:hint="eastAsia"/>
          <w:bCs/>
          <w:szCs w:val="21"/>
          <w:highlight w:val="none"/>
        </w:rPr>
        <w:t>交货日期为本合同生效后的</w:t>
      </w:r>
      <w:r>
        <w:rPr>
          <w:rFonts w:hint="eastAsia"/>
          <w:bCs/>
          <w:szCs w:val="21"/>
          <w:highlight w:val="none"/>
          <w:u w:val="single"/>
        </w:rPr>
        <w:t xml:space="preserve"> 20</w:t>
      </w:r>
      <w:r>
        <w:rPr>
          <w:bCs/>
          <w:szCs w:val="21"/>
          <w:highlight w:val="none"/>
          <w:u w:val="single"/>
        </w:rPr>
        <w:t xml:space="preserve"> </w:t>
      </w:r>
      <w:r>
        <w:rPr>
          <w:rFonts w:hint="eastAsia"/>
          <w:bCs/>
          <w:szCs w:val="21"/>
          <w:highlight w:val="none"/>
        </w:rPr>
        <w:t>日内。</w:t>
      </w:r>
    </w:p>
    <w:p w14:paraId="2A2A6622">
      <w:pPr>
        <w:adjustRightInd w:val="0"/>
        <w:snapToGrid w:val="0"/>
        <w:spacing w:line="360" w:lineRule="exact"/>
        <w:ind w:firstLine="420" w:firstLineChars="200"/>
        <w:rPr>
          <w:bCs/>
          <w:szCs w:val="21"/>
          <w:highlight w:val="none"/>
          <w:u w:val="single"/>
        </w:rPr>
      </w:pPr>
      <w:r>
        <w:rPr>
          <w:rFonts w:hint="eastAsia"/>
          <w:bCs/>
          <w:szCs w:val="21"/>
          <w:highlight w:val="none"/>
        </w:rPr>
        <w:t>3.2</w:t>
      </w:r>
      <w:r>
        <w:rPr>
          <w:bCs/>
          <w:szCs w:val="21"/>
          <w:highlight w:val="none"/>
        </w:rPr>
        <w:t xml:space="preserve"> </w:t>
      </w:r>
      <w:r>
        <w:rPr>
          <w:rFonts w:hint="eastAsia"/>
          <w:bCs/>
          <w:szCs w:val="21"/>
          <w:highlight w:val="none"/>
        </w:rPr>
        <w:t>交货地址为：</w:t>
      </w:r>
      <w:r>
        <w:rPr>
          <w:rFonts w:hint="eastAsia"/>
          <w:bCs/>
          <w:szCs w:val="21"/>
          <w:highlight w:val="none"/>
          <w:u w:val="single"/>
        </w:rPr>
        <w:t xml:space="preserve"> </w:t>
      </w:r>
      <w:r>
        <w:rPr>
          <w:highlight w:val="none"/>
        </w:rPr>
        <w:fldChar w:fldCharType="begin"/>
      </w:r>
      <w:r>
        <w:rPr>
          <w:highlight w:val="none"/>
        </w:rPr>
        <w:instrText xml:space="preserve"> HYPERLINK "https://ditu.so.com/?pid=b2de3e5342fb8f64&amp;pano=1&amp;src=yaunxiao_info" \t "https://www.so.com/_blank" </w:instrText>
      </w:r>
      <w:r>
        <w:rPr>
          <w:highlight w:val="none"/>
        </w:rPr>
        <w:fldChar w:fldCharType="separate"/>
      </w:r>
      <w:r>
        <w:rPr>
          <w:bCs/>
          <w:szCs w:val="21"/>
          <w:highlight w:val="none"/>
          <w:u w:val="single"/>
        </w:rPr>
        <w:t>双清路30号</w:t>
      </w:r>
      <w:r>
        <w:rPr>
          <w:bCs/>
          <w:szCs w:val="21"/>
          <w:highlight w:val="none"/>
          <w:u w:val="single"/>
        </w:rPr>
        <w:fldChar w:fldCharType="end"/>
      </w:r>
      <w:r>
        <w:rPr>
          <w:rFonts w:hint="eastAsia"/>
          <w:bCs/>
          <w:szCs w:val="21"/>
          <w:highlight w:val="none"/>
          <w:u w:val="single"/>
        </w:rPr>
        <w:t>清华大学校内指定位置（3个点位）</w:t>
      </w:r>
      <w:r>
        <w:rPr>
          <w:rFonts w:hint="eastAsia"/>
          <w:bCs/>
          <w:szCs w:val="21"/>
          <w:highlight w:val="none"/>
        </w:rPr>
        <w:t xml:space="preserve"> ，联系人：</w:t>
      </w:r>
      <w:r>
        <w:rPr>
          <w:rFonts w:hint="eastAsia"/>
          <w:bCs/>
          <w:szCs w:val="21"/>
          <w:highlight w:val="none"/>
          <w:u w:val="single"/>
        </w:rPr>
        <w:t xml:space="preserve"> 商冬梅  </w:t>
      </w:r>
    </w:p>
    <w:p w14:paraId="379CF0E8">
      <w:pPr>
        <w:adjustRightInd w:val="0"/>
        <w:snapToGrid w:val="0"/>
        <w:spacing w:line="360" w:lineRule="exact"/>
        <w:ind w:firstLine="840" w:firstLineChars="400"/>
        <w:rPr>
          <w:bCs/>
          <w:szCs w:val="21"/>
          <w:highlight w:val="none"/>
        </w:rPr>
      </w:pPr>
      <w:r>
        <w:rPr>
          <w:rFonts w:hint="eastAsia"/>
          <w:bCs/>
          <w:szCs w:val="21"/>
          <w:highlight w:val="none"/>
        </w:rPr>
        <w:t>联系方式：</w:t>
      </w:r>
      <w:r>
        <w:rPr>
          <w:rFonts w:hint="eastAsia"/>
          <w:bCs/>
          <w:szCs w:val="21"/>
          <w:highlight w:val="none"/>
          <w:u w:val="single"/>
        </w:rPr>
        <w:t xml:space="preserve"> 62781311 </w:t>
      </w:r>
      <w:r>
        <w:rPr>
          <w:rFonts w:hint="eastAsia"/>
          <w:bCs/>
          <w:szCs w:val="21"/>
          <w:highlight w:val="none"/>
        </w:rPr>
        <w:t>。</w:t>
      </w:r>
    </w:p>
    <w:p w14:paraId="1AD2C3DC">
      <w:pPr>
        <w:adjustRightInd w:val="0"/>
        <w:snapToGrid w:val="0"/>
        <w:spacing w:line="360" w:lineRule="exact"/>
        <w:ind w:firstLine="420" w:firstLineChars="200"/>
        <w:rPr>
          <w:rFonts w:hint="eastAsia"/>
          <w:bCs/>
          <w:szCs w:val="21"/>
          <w:highlight w:val="none"/>
        </w:rPr>
      </w:pPr>
      <w:r>
        <w:rPr>
          <w:rFonts w:hint="eastAsia"/>
          <w:bCs/>
          <w:szCs w:val="21"/>
          <w:highlight w:val="none"/>
        </w:rPr>
        <w:t>3.3 合同签订后需在20日内交付第一辆车厢并投放到指定位置，待甲方试运行验收合格后，再按照甲方需求和规定时间交付后两辆可移动便民服务车厢。如第一辆车厢未能达到甲方需求，</w:t>
      </w:r>
      <w:r>
        <w:rPr>
          <w:rFonts w:hint="eastAsia"/>
          <w:szCs w:val="21"/>
          <w:highlight w:val="none"/>
        </w:rPr>
        <w:t>甲方有权提出改进建议及增补技术参数要求，待乙方改进后继续履行合同，如无法满足甲方使用要求，甲方有权解除合同，乙方应全额退回甲方已支付款项</w:t>
      </w:r>
      <w:r>
        <w:rPr>
          <w:rFonts w:hint="eastAsia"/>
          <w:bCs/>
          <w:szCs w:val="21"/>
          <w:highlight w:val="none"/>
        </w:rPr>
        <w:t>。</w:t>
      </w:r>
    </w:p>
    <w:p w14:paraId="595493AF">
      <w:pPr>
        <w:adjustRightInd w:val="0"/>
        <w:snapToGrid w:val="0"/>
        <w:spacing w:line="360" w:lineRule="exact"/>
        <w:ind w:firstLine="420" w:firstLineChars="200"/>
        <w:rPr>
          <w:rFonts w:hint="eastAsia"/>
          <w:bCs/>
          <w:szCs w:val="21"/>
          <w:highlight w:val="none"/>
        </w:rPr>
      </w:pPr>
      <w:r>
        <w:rPr>
          <w:rFonts w:hint="eastAsia"/>
          <w:bCs/>
          <w:szCs w:val="21"/>
          <w:highlight w:val="none"/>
        </w:rPr>
        <w:t>3.4 若乙方未按本合同 3.1 条及 3.3 条约定日期交货，甲方可向乙方发出书面催告通知。乙方收到后应在24小时内书面回复逾期原因及具体交货时间，未回复或回复的交货时间超出催告的最晚期限，甲方有权按合同约定采取包括解除合同、追究违约责任等措施。乙方变更联系方式未提前 3 日通知甲方导致通知无法送达的，后果自行承担。</w:t>
      </w:r>
    </w:p>
    <w:p w14:paraId="22B07EA7">
      <w:pPr>
        <w:adjustRightInd w:val="0"/>
        <w:snapToGrid w:val="0"/>
        <w:spacing w:before="156" w:beforeLines="50" w:after="156" w:afterLines="50" w:line="360" w:lineRule="exact"/>
        <w:rPr>
          <w:rFonts w:hint="eastAsia"/>
          <w:b/>
          <w:bCs/>
          <w:szCs w:val="21"/>
          <w:highlight w:val="none"/>
        </w:rPr>
      </w:pPr>
      <w:r>
        <w:rPr>
          <w:rFonts w:hint="eastAsia"/>
          <w:b/>
          <w:bCs/>
          <w:szCs w:val="21"/>
          <w:highlight w:val="none"/>
        </w:rPr>
        <w:t xml:space="preserve">4. 包装、运输及风险负担 </w:t>
      </w:r>
    </w:p>
    <w:p w14:paraId="67F79B31">
      <w:pPr>
        <w:adjustRightInd w:val="0"/>
        <w:snapToGrid w:val="0"/>
        <w:spacing w:line="360" w:lineRule="exact"/>
        <w:ind w:firstLine="420" w:firstLineChars="200"/>
        <w:rPr>
          <w:bCs/>
          <w:szCs w:val="21"/>
          <w:highlight w:val="none"/>
        </w:rPr>
      </w:pPr>
      <w:r>
        <w:rPr>
          <w:rFonts w:hint="eastAsia"/>
          <w:bCs/>
          <w:szCs w:val="21"/>
          <w:highlight w:val="none"/>
        </w:rPr>
        <w:t>4.1</w:t>
      </w:r>
      <w:r>
        <w:rPr>
          <w:bCs/>
          <w:szCs w:val="21"/>
          <w:highlight w:val="none"/>
        </w:rPr>
        <w:t xml:space="preserve"> </w:t>
      </w:r>
      <w:r>
        <w:rPr>
          <w:rFonts w:hint="eastAsia"/>
          <w:bCs/>
          <w:szCs w:val="21"/>
          <w:highlight w:val="none"/>
        </w:rPr>
        <w:t>乙方的</w:t>
      </w:r>
      <w:r>
        <w:rPr>
          <w:bCs/>
          <w:szCs w:val="21"/>
          <w:highlight w:val="none"/>
        </w:rPr>
        <w:t>包装应符合国家或行业标准，如无相应的国家和行业标准，则由乙方按照通常包装方式进行包装，确保产品满足运输、装卸</w:t>
      </w:r>
      <w:r>
        <w:rPr>
          <w:rFonts w:hint="eastAsia"/>
          <w:bCs/>
          <w:szCs w:val="21"/>
          <w:highlight w:val="none"/>
        </w:rPr>
        <w:t>的</w:t>
      </w:r>
      <w:r>
        <w:rPr>
          <w:bCs/>
          <w:szCs w:val="21"/>
          <w:highlight w:val="none"/>
        </w:rPr>
        <w:t>需要。包装不回收。</w:t>
      </w:r>
    </w:p>
    <w:p w14:paraId="21098E6E">
      <w:pPr>
        <w:adjustRightInd w:val="0"/>
        <w:snapToGrid w:val="0"/>
        <w:spacing w:line="360" w:lineRule="exact"/>
        <w:ind w:firstLine="420" w:firstLineChars="200"/>
        <w:rPr>
          <w:szCs w:val="21"/>
          <w:highlight w:val="none"/>
        </w:rPr>
      </w:pPr>
      <w:r>
        <w:rPr>
          <w:rFonts w:hint="eastAsia" w:eastAsiaTheme="minorEastAsia"/>
          <w:szCs w:val="21"/>
          <w:highlight w:val="none"/>
        </w:rPr>
        <w:t>4.2</w:t>
      </w:r>
      <w:r>
        <w:rPr>
          <w:rFonts w:eastAsiaTheme="minorEastAsia"/>
          <w:szCs w:val="21"/>
          <w:highlight w:val="none"/>
        </w:rPr>
        <w:t xml:space="preserve"> 乙方负责</w:t>
      </w:r>
      <w:r>
        <w:rPr>
          <w:rFonts w:hint="eastAsia" w:eastAsiaTheme="minorEastAsia"/>
          <w:szCs w:val="21"/>
          <w:highlight w:val="none"/>
        </w:rPr>
        <w:t>货物的</w:t>
      </w:r>
      <w:r>
        <w:rPr>
          <w:rFonts w:eastAsiaTheme="minorEastAsia"/>
          <w:szCs w:val="21"/>
          <w:highlight w:val="none"/>
        </w:rPr>
        <w:t>运输</w:t>
      </w:r>
      <w:r>
        <w:rPr>
          <w:rFonts w:hint="eastAsia" w:eastAsiaTheme="minorEastAsia"/>
          <w:szCs w:val="21"/>
          <w:highlight w:val="none"/>
        </w:rPr>
        <w:t>服务</w:t>
      </w:r>
      <w:r>
        <w:rPr>
          <w:rFonts w:eastAsiaTheme="minorEastAsia"/>
          <w:szCs w:val="21"/>
          <w:highlight w:val="none"/>
        </w:rPr>
        <w:t>，并承担运输过程中的一切费用和风险。当货物从乙方移交给甲方前，所发生的一切风险均由乙方承担</w:t>
      </w:r>
      <w:r>
        <w:rPr>
          <w:rFonts w:hint="eastAsia" w:eastAsiaTheme="minorEastAsia"/>
          <w:szCs w:val="21"/>
          <w:highlight w:val="none"/>
        </w:rPr>
        <w:t>。</w:t>
      </w:r>
      <w:r>
        <w:rPr>
          <w:rFonts w:eastAsiaTheme="minorEastAsia"/>
          <w:szCs w:val="21"/>
          <w:highlight w:val="none"/>
        </w:rPr>
        <w:t xml:space="preserve"> </w:t>
      </w:r>
    </w:p>
    <w:p w14:paraId="06A9CD75">
      <w:pPr>
        <w:adjustRightInd w:val="0"/>
        <w:snapToGrid w:val="0"/>
        <w:spacing w:line="360" w:lineRule="exact"/>
        <w:ind w:firstLine="420" w:firstLineChars="200"/>
        <w:rPr>
          <w:b/>
          <w:bCs/>
          <w:szCs w:val="21"/>
          <w:highlight w:val="none"/>
        </w:rPr>
      </w:pPr>
      <w:r>
        <w:rPr>
          <w:rFonts w:hint="eastAsia"/>
          <w:b/>
          <w:bCs/>
          <w:szCs w:val="21"/>
          <w:highlight w:val="none"/>
        </w:rPr>
        <w:t>5</w:t>
      </w:r>
      <w:r>
        <w:rPr>
          <w:b/>
          <w:bCs/>
          <w:szCs w:val="21"/>
          <w:highlight w:val="none"/>
        </w:rPr>
        <w:t>. 货物验收</w:t>
      </w:r>
    </w:p>
    <w:p w14:paraId="3B3BBD86">
      <w:pPr>
        <w:spacing w:line="360" w:lineRule="exact"/>
        <w:ind w:firstLine="420" w:firstLineChars="200"/>
        <w:rPr>
          <w:szCs w:val="21"/>
          <w:highlight w:val="none"/>
        </w:rPr>
      </w:pPr>
      <w:r>
        <w:rPr>
          <w:rFonts w:hint="eastAsia"/>
          <w:szCs w:val="21"/>
          <w:highlight w:val="none"/>
        </w:rPr>
        <w:t>5.1</w:t>
      </w:r>
      <w:r>
        <w:rPr>
          <w:szCs w:val="21"/>
          <w:highlight w:val="none"/>
        </w:rPr>
        <w:t xml:space="preserve"> </w:t>
      </w:r>
      <w:r>
        <w:rPr>
          <w:rFonts w:hint="eastAsia"/>
          <w:szCs w:val="21"/>
          <w:highlight w:val="none"/>
        </w:rPr>
        <w:t>乙方应当出具货物的合格证书、出厂检测报告，提供原材料质量检测报告（如有）。进口货物还应当提供报关单等进口凭证。乙方未提供上述资料的，甲方有权拒绝接收货物。</w:t>
      </w:r>
    </w:p>
    <w:p w14:paraId="7DE2841C">
      <w:pPr>
        <w:spacing w:line="360" w:lineRule="exact"/>
        <w:ind w:firstLine="420" w:firstLineChars="200"/>
        <w:rPr>
          <w:szCs w:val="21"/>
          <w:highlight w:val="none"/>
        </w:rPr>
      </w:pPr>
      <w:r>
        <w:rPr>
          <w:rFonts w:hint="eastAsia"/>
          <w:szCs w:val="21"/>
          <w:highlight w:val="none"/>
        </w:rPr>
        <w:t>5</w:t>
      </w:r>
      <w:r>
        <w:rPr>
          <w:szCs w:val="21"/>
          <w:highlight w:val="none"/>
        </w:rPr>
        <w:t>.</w:t>
      </w:r>
      <w:r>
        <w:rPr>
          <w:rFonts w:hint="eastAsia"/>
          <w:szCs w:val="21"/>
          <w:highlight w:val="none"/>
        </w:rPr>
        <w:t>2</w:t>
      </w:r>
      <w:r>
        <w:rPr>
          <w:szCs w:val="21"/>
          <w:highlight w:val="none"/>
        </w:rPr>
        <w:t xml:space="preserve"> </w:t>
      </w:r>
      <w:r>
        <w:rPr>
          <w:rFonts w:hint="eastAsia"/>
          <w:szCs w:val="21"/>
          <w:highlight w:val="none"/>
        </w:rPr>
        <w:t>甲方应当在货物交接时对货物的生产厂家、规格型号、数量、外观包装当场查验核实，并将验收情况在发货单上记录签字。对货物有异议的，甲方有权当场拒收。甲方也可在收到货物后</w:t>
      </w:r>
      <w:r>
        <w:rPr>
          <w:rFonts w:hint="eastAsia"/>
          <w:szCs w:val="21"/>
          <w:highlight w:val="none"/>
          <w:u w:val="single"/>
        </w:rPr>
        <w:t xml:space="preserve"> 7 </w:t>
      </w:r>
      <w:r>
        <w:rPr>
          <w:rFonts w:hint="eastAsia"/>
          <w:szCs w:val="21"/>
          <w:highlight w:val="none"/>
        </w:rPr>
        <w:t>日内向乙方提出书面异议，经双方核实确属乙方责任的，甲方有权退货。</w:t>
      </w:r>
    </w:p>
    <w:p w14:paraId="75F31C7B">
      <w:pPr>
        <w:adjustRightInd w:val="0"/>
        <w:snapToGrid w:val="0"/>
        <w:spacing w:line="360" w:lineRule="exact"/>
        <w:ind w:firstLine="420" w:firstLineChars="200"/>
        <w:rPr>
          <w:bCs/>
          <w:szCs w:val="21"/>
          <w:highlight w:val="none"/>
        </w:rPr>
      </w:pPr>
      <w:r>
        <w:rPr>
          <w:rFonts w:hint="eastAsia"/>
          <w:bCs/>
          <w:szCs w:val="21"/>
          <w:highlight w:val="none"/>
        </w:rPr>
        <w:t>5.3</w:t>
      </w:r>
      <w:r>
        <w:rPr>
          <w:bCs/>
          <w:szCs w:val="21"/>
          <w:highlight w:val="none"/>
        </w:rPr>
        <w:t xml:space="preserve"> 甲方应在</w:t>
      </w:r>
      <w:r>
        <w:rPr>
          <w:rFonts w:hint="eastAsia"/>
          <w:bCs/>
          <w:szCs w:val="21"/>
          <w:highlight w:val="none"/>
        </w:rPr>
        <w:t>收到货物后</w:t>
      </w:r>
      <w:r>
        <w:rPr>
          <w:rFonts w:hint="eastAsia"/>
          <w:bCs/>
          <w:szCs w:val="21"/>
          <w:highlight w:val="none"/>
          <w:u w:val="single"/>
        </w:rPr>
        <w:t xml:space="preserve"> 7</w:t>
      </w:r>
      <w:r>
        <w:rPr>
          <w:bCs/>
          <w:szCs w:val="21"/>
          <w:highlight w:val="none"/>
          <w:u w:val="single"/>
        </w:rPr>
        <w:t xml:space="preserve"> </w:t>
      </w:r>
      <w:r>
        <w:rPr>
          <w:bCs/>
          <w:szCs w:val="21"/>
          <w:highlight w:val="none"/>
        </w:rPr>
        <w:t>日内完成对</w:t>
      </w:r>
      <w:r>
        <w:rPr>
          <w:rFonts w:hint="eastAsia"/>
          <w:bCs/>
          <w:szCs w:val="21"/>
          <w:highlight w:val="none"/>
        </w:rPr>
        <w:t>货物</w:t>
      </w:r>
      <w:r>
        <w:rPr>
          <w:bCs/>
          <w:szCs w:val="21"/>
          <w:highlight w:val="none"/>
        </w:rPr>
        <w:t>质量、性能等指标的验收</w:t>
      </w:r>
      <w:r>
        <w:rPr>
          <w:rFonts w:hint="eastAsia"/>
          <w:bCs/>
          <w:szCs w:val="21"/>
          <w:highlight w:val="none"/>
        </w:rPr>
        <w:t>。甲方对货物质量、性能等指标有</w:t>
      </w:r>
      <w:r>
        <w:rPr>
          <w:bCs/>
          <w:szCs w:val="21"/>
          <w:highlight w:val="none"/>
        </w:rPr>
        <w:t>异议</w:t>
      </w:r>
      <w:r>
        <w:rPr>
          <w:rFonts w:hint="eastAsia"/>
          <w:bCs/>
          <w:szCs w:val="21"/>
          <w:highlight w:val="none"/>
        </w:rPr>
        <w:t>的</w:t>
      </w:r>
      <w:r>
        <w:rPr>
          <w:bCs/>
          <w:szCs w:val="21"/>
          <w:highlight w:val="none"/>
        </w:rPr>
        <w:t>，甲方应妥善保管货物，并在验收期限届满前，提出书面异议。</w:t>
      </w:r>
    </w:p>
    <w:p w14:paraId="0A9893B2">
      <w:pPr>
        <w:adjustRightInd w:val="0"/>
        <w:snapToGrid w:val="0"/>
        <w:spacing w:before="156" w:beforeLines="50" w:after="156" w:afterLines="50" w:line="360" w:lineRule="exact"/>
        <w:rPr>
          <w:b/>
          <w:szCs w:val="21"/>
          <w:highlight w:val="none"/>
        </w:rPr>
      </w:pPr>
      <w:r>
        <w:rPr>
          <w:rFonts w:hint="eastAsia"/>
          <w:b/>
          <w:szCs w:val="21"/>
          <w:highlight w:val="none"/>
        </w:rPr>
        <w:t>6.</w:t>
      </w:r>
      <w:r>
        <w:rPr>
          <w:b/>
          <w:szCs w:val="21"/>
          <w:highlight w:val="none"/>
        </w:rPr>
        <w:t xml:space="preserve"> 质量条款及质保期限</w:t>
      </w:r>
    </w:p>
    <w:p w14:paraId="2350D650">
      <w:pPr>
        <w:adjustRightInd w:val="0"/>
        <w:snapToGrid w:val="0"/>
        <w:spacing w:line="360" w:lineRule="exact"/>
        <w:ind w:firstLine="420" w:firstLineChars="200"/>
        <w:rPr>
          <w:szCs w:val="21"/>
          <w:highlight w:val="none"/>
        </w:rPr>
      </w:pPr>
      <w:r>
        <w:rPr>
          <w:szCs w:val="21"/>
          <w:highlight w:val="none"/>
        </w:rPr>
        <w:t>6.1 乙方向甲方</w:t>
      </w:r>
      <w:r>
        <w:rPr>
          <w:rFonts w:hint="eastAsia"/>
          <w:szCs w:val="21"/>
          <w:highlight w:val="none"/>
        </w:rPr>
        <w:t>提供</w:t>
      </w:r>
      <w:r>
        <w:rPr>
          <w:szCs w:val="21"/>
          <w:highlight w:val="none"/>
        </w:rPr>
        <w:t>为期</w:t>
      </w:r>
      <w:r>
        <w:rPr>
          <w:szCs w:val="21"/>
          <w:highlight w:val="none"/>
          <w:u w:val="single"/>
        </w:rPr>
        <w:t xml:space="preserve"> 36 </w:t>
      </w:r>
      <w:r>
        <w:rPr>
          <w:rFonts w:hint="eastAsia"/>
          <w:szCs w:val="21"/>
          <w:highlight w:val="none"/>
        </w:rPr>
        <w:t>月</w:t>
      </w:r>
      <w:r>
        <w:rPr>
          <w:szCs w:val="21"/>
          <w:highlight w:val="none"/>
        </w:rPr>
        <w:t>的保修</w:t>
      </w:r>
      <w:r>
        <w:rPr>
          <w:rFonts w:hint="eastAsia"/>
          <w:szCs w:val="21"/>
          <w:highlight w:val="none"/>
        </w:rPr>
        <w:t>，自全部货物验收通过之日起计算</w:t>
      </w:r>
      <w:r>
        <w:rPr>
          <w:szCs w:val="21"/>
          <w:highlight w:val="none"/>
        </w:rPr>
        <w:t>。保修期内</w:t>
      </w:r>
      <w:r>
        <w:rPr>
          <w:rFonts w:hint="eastAsia"/>
          <w:szCs w:val="21"/>
          <w:highlight w:val="none"/>
        </w:rPr>
        <w:t>，乙方为甲方免费提供维修服务。备注：电力系统质保一年，一年之内有质量问题，免费换新。整车质保一年，主体框架质保三年（质保内容包括但不限于锈蚀、涂装褪色、开焊等情况）。</w:t>
      </w:r>
      <w:r>
        <w:rPr>
          <w:rFonts w:hint="eastAsia"/>
          <w:highlight w:val="none"/>
        </w:rPr>
        <w:t>必须保证电池可拆卸充电，电机控制器800W，可协助安装连接充气泵。</w:t>
      </w:r>
    </w:p>
    <w:p w14:paraId="6F3A6DC9">
      <w:pPr>
        <w:spacing w:line="340" w:lineRule="exact"/>
        <w:ind w:firstLine="420" w:firstLineChars="200"/>
        <w:rPr>
          <w:szCs w:val="21"/>
          <w:highlight w:val="none"/>
        </w:rPr>
      </w:pPr>
      <w:r>
        <w:rPr>
          <w:szCs w:val="21"/>
          <w:highlight w:val="none"/>
        </w:rPr>
        <w:t>6.2 保修期内，正常维护、使用情况下，任何非人为操作或使用不当而发生的一般性系统故障，乙方应在接到甲方通知当日内给予答复，并在</w:t>
      </w:r>
      <w:r>
        <w:rPr>
          <w:szCs w:val="21"/>
          <w:highlight w:val="none"/>
          <w:u w:val="single"/>
        </w:rPr>
        <w:t xml:space="preserve"> </w:t>
      </w:r>
      <w:r>
        <w:rPr>
          <w:rFonts w:hint="eastAsia"/>
          <w:szCs w:val="21"/>
          <w:highlight w:val="none"/>
          <w:u w:val="single"/>
        </w:rPr>
        <w:t>3</w:t>
      </w:r>
      <w:r>
        <w:rPr>
          <w:szCs w:val="21"/>
          <w:highlight w:val="none"/>
          <w:u w:val="single"/>
        </w:rPr>
        <w:t xml:space="preserve"> </w:t>
      </w:r>
      <w:r>
        <w:rPr>
          <w:szCs w:val="21"/>
          <w:highlight w:val="none"/>
        </w:rPr>
        <w:t>个工作日内负责维修或故障排除；若出现紧急故障，乙方应在收到通知后的</w:t>
      </w:r>
      <w:r>
        <w:rPr>
          <w:szCs w:val="21"/>
          <w:highlight w:val="none"/>
          <w:u w:val="single"/>
        </w:rPr>
        <w:t xml:space="preserve"> </w:t>
      </w:r>
      <w:r>
        <w:rPr>
          <w:rFonts w:hint="eastAsia"/>
          <w:szCs w:val="21"/>
          <w:highlight w:val="none"/>
          <w:u w:val="single"/>
        </w:rPr>
        <w:t>48</w:t>
      </w:r>
      <w:r>
        <w:rPr>
          <w:szCs w:val="21"/>
          <w:highlight w:val="none"/>
          <w:u w:val="single"/>
        </w:rPr>
        <w:t xml:space="preserve"> </w:t>
      </w:r>
      <w:r>
        <w:rPr>
          <w:szCs w:val="21"/>
          <w:highlight w:val="none"/>
        </w:rPr>
        <w:t>小时内至现场排除故障。以上所述两种情况下，所有费用由乙方承担</w:t>
      </w:r>
      <w:r>
        <w:rPr>
          <w:rFonts w:hint="eastAsia"/>
          <w:szCs w:val="21"/>
          <w:highlight w:val="none"/>
        </w:rPr>
        <w:t>。</w:t>
      </w:r>
    </w:p>
    <w:p w14:paraId="1D7B4189">
      <w:pPr>
        <w:spacing w:line="340" w:lineRule="exact"/>
        <w:ind w:firstLine="420" w:firstLineChars="200"/>
        <w:rPr>
          <w:szCs w:val="21"/>
          <w:highlight w:val="none"/>
        </w:rPr>
      </w:pPr>
      <w:r>
        <w:rPr>
          <w:szCs w:val="21"/>
          <w:highlight w:val="none"/>
        </w:rPr>
        <w:t xml:space="preserve">6.3 </w:t>
      </w:r>
      <w:r>
        <w:rPr>
          <w:rFonts w:hint="eastAsia"/>
          <w:szCs w:val="21"/>
          <w:highlight w:val="none"/>
        </w:rPr>
        <w:t>如乙方未及时完成维修，甲方可委托第三方进行维修或自行维修，产生的费用及相关损失均由乙方承担。</w:t>
      </w:r>
    </w:p>
    <w:p w14:paraId="6E75FC57">
      <w:pPr>
        <w:spacing w:line="340" w:lineRule="exact"/>
        <w:ind w:firstLine="420" w:firstLineChars="200"/>
        <w:rPr>
          <w:szCs w:val="21"/>
          <w:highlight w:val="none"/>
        </w:rPr>
      </w:pPr>
      <w:r>
        <w:rPr>
          <w:szCs w:val="21"/>
          <w:highlight w:val="none"/>
        </w:rPr>
        <w:t>6.4 保修期满后，如甲方继续</w:t>
      </w:r>
      <w:r>
        <w:rPr>
          <w:rFonts w:hint="eastAsia"/>
          <w:szCs w:val="21"/>
          <w:highlight w:val="none"/>
        </w:rPr>
        <w:t>需要</w:t>
      </w:r>
      <w:r>
        <w:rPr>
          <w:szCs w:val="21"/>
          <w:highlight w:val="none"/>
        </w:rPr>
        <w:t>乙方提供服务，乙方将为甲方提供有偿的优惠价格的维护服务</w:t>
      </w:r>
      <w:r>
        <w:rPr>
          <w:rFonts w:hint="eastAsia"/>
          <w:szCs w:val="21"/>
          <w:highlight w:val="none"/>
        </w:rPr>
        <w:t>。</w:t>
      </w:r>
    </w:p>
    <w:p w14:paraId="42EAF075">
      <w:pPr>
        <w:adjustRightInd w:val="0"/>
        <w:snapToGrid w:val="0"/>
        <w:spacing w:line="360" w:lineRule="exact"/>
        <w:rPr>
          <w:b/>
          <w:bCs/>
          <w:szCs w:val="21"/>
          <w:highlight w:val="none"/>
        </w:rPr>
      </w:pPr>
      <w:r>
        <w:rPr>
          <w:rFonts w:hint="eastAsia"/>
          <w:b/>
          <w:bCs/>
          <w:szCs w:val="21"/>
          <w:highlight w:val="none"/>
        </w:rPr>
        <w:t>7.</w:t>
      </w:r>
      <w:r>
        <w:rPr>
          <w:b/>
          <w:bCs/>
          <w:szCs w:val="21"/>
          <w:highlight w:val="none"/>
        </w:rPr>
        <w:t xml:space="preserve"> 违约责任</w:t>
      </w:r>
    </w:p>
    <w:p w14:paraId="4A17A3E0">
      <w:pPr>
        <w:spacing w:line="340" w:lineRule="exact"/>
        <w:ind w:firstLine="424" w:firstLineChars="202"/>
        <w:rPr>
          <w:szCs w:val="21"/>
          <w:highlight w:val="none"/>
        </w:rPr>
      </w:pPr>
      <w:r>
        <w:rPr>
          <w:szCs w:val="21"/>
          <w:highlight w:val="none"/>
        </w:rPr>
        <w:t>7.1</w:t>
      </w:r>
      <w:r>
        <w:rPr>
          <w:rFonts w:hint="eastAsia"/>
          <w:szCs w:val="21"/>
          <w:highlight w:val="none"/>
        </w:rPr>
        <w:t>乙方逾期交货的，应当每日按合同总金额的</w:t>
      </w:r>
      <w:r>
        <w:rPr>
          <w:rFonts w:hint="eastAsia"/>
          <w:szCs w:val="21"/>
          <w:highlight w:val="none"/>
          <w:u w:val="single"/>
        </w:rPr>
        <w:t xml:space="preserve">  </w:t>
      </w:r>
      <w:r>
        <w:rPr>
          <w:szCs w:val="21"/>
          <w:highlight w:val="none"/>
          <w:u w:val="single"/>
        </w:rPr>
        <w:t>2%</w:t>
      </w:r>
      <w:r>
        <w:rPr>
          <w:rFonts w:hint="eastAsia"/>
          <w:szCs w:val="21"/>
          <w:highlight w:val="none"/>
          <w:u w:val="single"/>
        </w:rPr>
        <w:t xml:space="preserve">  </w:t>
      </w:r>
      <w:r>
        <w:rPr>
          <w:rFonts w:hint="eastAsia"/>
          <w:szCs w:val="21"/>
          <w:highlight w:val="none"/>
        </w:rPr>
        <w:t>向甲方支付违约金；违约金总额不超过合同总金额的</w:t>
      </w:r>
      <w:r>
        <w:rPr>
          <w:rFonts w:hint="eastAsia"/>
          <w:szCs w:val="21"/>
          <w:highlight w:val="none"/>
          <w:u w:val="single"/>
        </w:rPr>
        <w:t xml:space="preserve"> </w:t>
      </w:r>
      <w:r>
        <w:rPr>
          <w:szCs w:val="21"/>
          <w:highlight w:val="none"/>
          <w:u w:val="single"/>
        </w:rPr>
        <w:t xml:space="preserve">20 </w:t>
      </w:r>
      <w:r>
        <w:rPr>
          <w:rFonts w:hint="eastAsia"/>
          <w:szCs w:val="21"/>
          <w:highlight w:val="none"/>
        </w:rPr>
        <w:t>%；逾期交货超过</w:t>
      </w:r>
      <w:r>
        <w:rPr>
          <w:rFonts w:hint="eastAsia"/>
          <w:szCs w:val="21"/>
          <w:highlight w:val="none"/>
          <w:u w:val="single"/>
        </w:rPr>
        <w:t xml:space="preserve"> </w:t>
      </w:r>
      <w:r>
        <w:rPr>
          <w:szCs w:val="21"/>
          <w:highlight w:val="none"/>
          <w:u w:val="single"/>
        </w:rPr>
        <w:t>10</w:t>
      </w:r>
      <w:r>
        <w:rPr>
          <w:rFonts w:hint="eastAsia"/>
          <w:szCs w:val="21"/>
          <w:highlight w:val="none"/>
          <w:u w:val="single"/>
        </w:rPr>
        <w:t xml:space="preserve"> </w:t>
      </w:r>
      <w:r>
        <w:rPr>
          <w:rFonts w:hint="eastAsia"/>
          <w:szCs w:val="21"/>
          <w:highlight w:val="none"/>
        </w:rPr>
        <w:t>日的，甲方有权解除合同。</w:t>
      </w:r>
    </w:p>
    <w:p w14:paraId="07F6AD62">
      <w:pPr>
        <w:spacing w:line="340" w:lineRule="exact"/>
        <w:ind w:firstLine="424" w:firstLineChars="202"/>
        <w:rPr>
          <w:szCs w:val="21"/>
          <w:highlight w:val="none"/>
        </w:rPr>
      </w:pPr>
      <w:r>
        <w:rPr>
          <w:szCs w:val="21"/>
          <w:highlight w:val="none"/>
        </w:rPr>
        <w:t>7.2</w:t>
      </w:r>
      <w:r>
        <w:rPr>
          <w:rFonts w:hint="eastAsia"/>
          <w:szCs w:val="21"/>
          <w:highlight w:val="none"/>
        </w:rPr>
        <w:t>乙方交货后被甲方依合同约定拒收或退货的，乙方应当承担逾期交货的违约责任。</w:t>
      </w:r>
    </w:p>
    <w:p w14:paraId="1D663663">
      <w:pPr>
        <w:spacing w:line="340" w:lineRule="exact"/>
        <w:ind w:firstLine="424" w:firstLineChars="202"/>
        <w:rPr>
          <w:szCs w:val="21"/>
          <w:highlight w:val="none"/>
        </w:rPr>
      </w:pPr>
      <w:r>
        <w:rPr>
          <w:szCs w:val="21"/>
          <w:highlight w:val="none"/>
        </w:rPr>
        <w:t>7.3</w:t>
      </w:r>
      <w:r>
        <w:rPr>
          <w:rFonts w:hint="eastAsia"/>
          <w:szCs w:val="21"/>
          <w:highlight w:val="none"/>
        </w:rPr>
        <w:t>乙方未按合同约定履行其他义务给甲方造成损失的，应当承担相应的赔偿责任，同时甲方有权解除合同，乙方承担违约责任。</w:t>
      </w:r>
    </w:p>
    <w:p w14:paraId="754126C3">
      <w:pPr>
        <w:spacing w:line="340" w:lineRule="exact"/>
        <w:ind w:firstLine="424" w:firstLineChars="202"/>
        <w:rPr>
          <w:szCs w:val="21"/>
          <w:highlight w:val="none"/>
        </w:rPr>
      </w:pPr>
      <w:r>
        <w:rPr>
          <w:szCs w:val="21"/>
          <w:highlight w:val="none"/>
        </w:rPr>
        <w:t>7.4</w:t>
      </w:r>
      <w:r>
        <w:rPr>
          <w:rFonts w:hint="eastAsia"/>
          <w:szCs w:val="21"/>
          <w:highlight w:val="none"/>
        </w:rPr>
        <w:t>因乙方违约导致合同解除，或乙方主动解除合同的情况下，应退回甲方所有已付款项，并支付合同总金额</w:t>
      </w:r>
      <w:r>
        <w:rPr>
          <w:rFonts w:hint="eastAsia"/>
          <w:szCs w:val="21"/>
          <w:highlight w:val="none"/>
          <w:u w:val="single"/>
        </w:rPr>
        <w:t xml:space="preserve"> </w:t>
      </w:r>
      <w:r>
        <w:rPr>
          <w:szCs w:val="21"/>
          <w:highlight w:val="none"/>
          <w:u w:val="single"/>
        </w:rPr>
        <w:t xml:space="preserve">20 </w:t>
      </w:r>
      <w:r>
        <w:rPr>
          <w:rFonts w:hint="eastAsia"/>
          <w:szCs w:val="21"/>
          <w:highlight w:val="none"/>
        </w:rPr>
        <w:t>%的违约金。</w:t>
      </w:r>
    </w:p>
    <w:p w14:paraId="41F038A8">
      <w:pPr>
        <w:adjustRightInd w:val="0"/>
        <w:snapToGrid w:val="0"/>
        <w:spacing w:before="156" w:beforeLines="50" w:after="156" w:afterLines="50" w:line="360" w:lineRule="exact"/>
        <w:rPr>
          <w:rFonts w:eastAsiaTheme="minorEastAsia"/>
          <w:szCs w:val="21"/>
          <w:highlight w:val="none"/>
        </w:rPr>
      </w:pPr>
      <w:r>
        <w:rPr>
          <w:rFonts w:hint="eastAsia"/>
          <w:b/>
          <w:bCs/>
          <w:szCs w:val="21"/>
          <w:highlight w:val="none"/>
        </w:rPr>
        <w:t>8</w:t>
      </w:r>
      <w:r>
        <w:rPr>
          <w:b/>
          <w:bCs/>
          <w:szCs w:val="21"/>
          <w:highlight w:val="none"/>
        </w:rPr>
        <w:t xml:space="preserve">. </w:t>
      </w:r>
      <w:r>
        <w:rPr>
          <w:rFonts w:eastAsiaTheme="minorEastAsia"/>
          <w:b/>
          <w:szCs w:val="21"/>
          <w:highlight w:val="none"/>
        </w:rPr>
        <w:t>争议解决</w:t>
      </w:r>
    </w:p>
    <w:p w14:paraId="37BA56DB">
      <w:pPr>
        <w:snapToGrid w:val="0"/>
        <w:spacing w:line="360" w:lineRule="exact"/>
        <w:ind w:firstLine="420" w:firstLineChars="200"/>
        <w:rPr>
          <w:rFonts w:eastAsiaTheme="minorEastAsia"/>
          <w:bCs/>
          <w:szCs w:val="21"/>
          <w:highlight w:val="none"/>
        </w:rPr>
      </w:pPr>
      <w:r>
        <w:rPr>
          <w:rFonts w:hint="eastAsia"/>
          <w:szCs w:val="21"/>
          <w:highlight w:val="none"/>
        </w:rPr>
        <w:t>8.1</w:t>
      </w:r>
      <w:r>
        <w:rPr>
          <w:szCs w:val="21"/>
          <w:highlight w:val="none"/>
        </w:rPr>
        <w:t xml:space="preserve"> 合同执行过程中所发生的一切争</w:t>
      </w:r>
      <w:r>
        <w:rPr>
          <w:rFonts w:hint="eastAsia"/>
          <w:szCs w:val="21"/>
          <w:highlight w:val="none"/>
        </w:rPr>
        <w:t>议</w:t>
      </w:r>
      <w:r>
        <w:rPr>
          <w:szCs w:val="21"/>
          <w:highlight w:val="none"/>
        </w:rPr>
        <w:t>，双方应在相互体谅及友好协商的基础上解决，如协商解决达不成协议时，双方任何一方均可向甲方所在地</w:t>
      </w:r>
      <w:r>
        <w:rPr>
          <w:rFonts w:hint="eastAsia"/>
          <w:szCs w:val="21"/>
          <w:highlight w:val="none"/>
        </w:rPr>
        <w:t>有管辖权的</w:t>
      </w:r>
      <w:r>
        <w:rPr>
          <w:szCs w:val="21"/>
          <w:highlight w:val="none"/>
        </w:rPr>
        <w:t>人民法院提出诉讼</w:t>
      </w:r>
      <w:r>
        <w:rPr>
          <w:rFonts w:eastAsiaTheme="minorEastAsia"/>
          <w:bCs/>
          <w:szCs w:val="21"/>
          <w:highlight w:val="none"/>
        </w:rPr>
        <w:t>。</w:t>
      </w:r>
      <w:r>
        <w:rPr>
          <w:rFonts w:hint="eastAsia" w:eastAsiaTheme="minorEastAsia"/>
          <w:bCs/>
          <w:szCs w:val="21"/>
          <w:highlight w:val="none"/>
        </w:rPr>
        <w:t>解决争议期间，除争议事项外，双方应继续履行本合同规定的其他各项条款。</w:t>
      </w:r>
    </w:p>
    <w:p w14:paraId="02A2D087">
      <w:pPr>
        <w:snapToGrid w:val="0"/>
        <w:spacing w:line="360" w:lineRule="exact"/>
        <w:ind w:firstLine="420" w:firstLineChars="200"/>
        <w:rPr>
          <w:rFonts w:eastAsiaTheme="minorEastAsia"/>
          <w:bCs/>
          <w:szCs w:val="21"/>
          <w:highlight w:val="none"/>
        </w:rPr>
      </w:pPr>
      <w:r>
        <w:rPr>
          <w:rFonts w:hint="eastAsia" w:eastAsiaTheme="minorEastAsia"/>
          <w:bCs/>
          <w:szCs w:val="21"/>
          <w:highlight w:val="none"/>
        </w:rPr>
        <w:t>8.2</w:t>
      </w:r>
      <w:r>
        <w:rPr>
          <w:rFonts w:eastAsiaTheme="minorEastAsia"/>
          <w:bCs/>
          <w:szCs w:val="21"/>
          <w:highlight w:val="none"/>
        </w:rPr>
        <w:t xml:space="preserve"> </w:t>
      </w:r>
      <w:r>
        <w:rPr>
          <w:rFonts w:hint="eastAsia" w:eastAsiaTheme="minorEastAsia"/>
          <w:bCs/>
          <w:szCs w:val="21"/>
          <w:highlight w:val="none"/>
        </w:rPr>
        <w:t>因诉讼所产生的费用由败诉方承担，包括但不限于诉讼费、保全费、律师费、公证费、取证费用、差旅费用等。</w:t>
      </w:r>
    </w:p>
    <w:p w14:paraId="3B266AAA">
      <w:pPr>
        <w:snapToGrid w:val="0"/>
        <w:spacing w:before="156" w:beforeLines="50" w:after="156" w:afterLines="50" w:line="360" w:lineRule="exact"/>
        <w:rPr>
          <w:b/>
          <w:bCs/>
          <w:szCs w:val="21"/>
          <w:highlight w:val="none"/>
        </w:rPr>
      </w:pPr>
      <w:r>
        <w:rPr>
          <w:rFonts w:hint="eastAsia"/>
          <w:b/>
          <w:bCs/>
          <w:szCs w:val="21"/>
          <w:highlight w:val="none"/>
        </w:rPr>
        <w:t>9</w:t>
      </w:r>
      <w:r>
        <w:rPr>
          <w:b/>
          <w:bCs/>
          <w:szCs w:val="21"/>
          <w:highlight w:val="none"/>
        </w:rPr>
        <w:t xml:space="preserve">. </w:t>
      </w:r>
      <w:r>
        <w:rPr>
          <w:rFonts w:hint="eastAsia"/>
          <w:b/>
          <w:bCs/>
          <w:szCs w:val="21"/>
          <w:highlight w:val="none"/>
        </w:rPr>
        <w:t>通知与送达</w:t>
      </w:r>
    </w:p>
    <w:p w14:paraId="4BD6C843">
      <w:pPr>
        <w:spacing w:line="360" w:lineRule="exact"/>
        <w:ind w:firstLine="420" w:firstLineChars="200"/>
        <w:rPr>
          <w:szCs w:val="21"/>
          <w:highlight w:val="none"/>
        </w:rPr>
      </w:pPr>
      <w:r>
        <w:rPr>
          <w:rFonts w:hint="eastAsia"/>
          <w:szCs w:val="21"/>
          <w:highlight w:val="none"/>
        </w:rPr>
        <w:t>本合同所列明的地址视为法院邮寄法律文书及守约方邮寄律师函等文书的法定送达地址。因受送达人本人或者受送达人指定的代收人拒绝签收，导致诉讼文书未能被受送达人实际接收的，文书退回之日视为送达之日。</w:t>
      </w:r>
    </w:p>
    <w:p w14:paraId="09CD8E48">
      <w:pPr>
        <w:widowControl/>
        <w:spacing w:before="156" w:beforeLines="50" w:after="156" w:afterLines="50" w:line="360" w:lineRule="exact"/>
        <w:rPr>
          <w:b/>
          <w:bCs/>
          <w:szCs w:val="21"/>
          <w:highlight w:val="none"/>
        </w:rPr>
      </w:pPr>
      <w:r>
        <w:rPr>
          <w:rFonts w:hint="eastAsia"/>
          <w:b/>
          <w:bCs/>
          <w:szCs w:val="21"/>
          <w:highlight w:val="none"/>
        </w:rPr>
        <w:t>10</w:t>
      </w:r>
      <w:r>
        <w:rPr>
          <w:b/>
          <w:bCs/>
          <w:szCs w:val="21"/>
          <w:highlight w:val="none"/>
        </w:rPr>
        <w:t xml:space="preserve">. </w:t>
      </w:r>
      <w:r>
        <w:rPr>
          <w:rFonts w:hint="eastAsia"/>
          <w:b/>
          <w:bCs/>
          <w:szCs w:val="21"/>
          <w:highlight w:val="none"/>
        </w:rPr>
        <w:t>合同生效</w:t>
      </w:r>
    </w:p>
    <w:p w14:paraId="54BB27EE">
      <w:pPr>
        <w:snapToGrid w:val="0"/>
        <w:spacing w:line="360" w:lineRule="exact"/>
        <w:ind w:firstLine="420" w:firstLineChars="200"/>
        <w:rPr>
          <w:rFonts w:eastAsiaTheme="minorEastAsia"/>
          <w:bCs/>
          <w:szCs w:val="21"/>
          <w:highlight w:val="none"/>
        </w:rPr>
      </w:pPr>
      <w:r>
        <w:rPr>
          <w:rFonts w:hint="eastAsia" w:eastAsiaTheme="minorEastAsia"/>
          <w:bCs/>
          <w:szCs w:val="21"/>
          <w:highlight w:val="none"/>
        </w:rPr>
        <w:t>10.1</w:t>
      </w:r>
      <w:r>
        <w:rPr>
          <w:rFonts w:eastAsiaTheme="minorEastAsia"/>
          <w:bCs/>
          <w:szCs w:val="21"/>
          <w:highlight w:val="none"/>
        </w:rPr>
        <w:t xml:space="preserve"> </w:t>
      </w:r>
      <w:r>
        <w:rPr>
          <w:rFonts w:hint="eastAsia" w:eastAsiaTheme="minorEastAsia"/>
          <w:bCs/>
          <w:szCs w:val="21"/>
          <w:highlight w:val="none"/>
        </w:rPr>
        <w:t>本合同经双方加盖公章或合同专用章后即行生效。合同签订日期以双方中最后一方加盖公章或合同专用章的日期为准。</w:t>
      </w:r>
    </w:p>
    <w:p w14:paraId="2AF7AE2D">
      <w:pPr>
        <w:adjustRightInd w:val="0"/>
        <w:snapToGrid w:val="0"/>
        <w:spacing w:line="360" w:lineRule="exact"/>
        <w:ind w:firstLine="420" w:firstLineChars="200"/>
        <w:rPr>
          <w:szCs w:val="21"/>
          <w:highlight w:val="none"/>
        </w:rPr>
      </w:pPr>
      <w:r>
        <w:rPr>
          <w:rFonts w:hint="eastAsia" w:eastAsiaTheme="minorEastAsia"/>
          <w:bCs/>
          <w:szCs w:val="21"/>
          <w:highlight w:val="none"/>
        </w:rPr>
        <w:t>10.2</w:t>
      </w:r>
      <w:r>
        <w:rPr>
          <w:rFonts w:eastAsiaTheme="minorEastAsia"/>
          <w:bCs/>
          <w:szCs w:val="21"/>
          <w:highlight w:val="none"/>
        </w:rPr>
        <w:t xml:space="preserve"> 本合同生效后，对本合同的任何条款</w:t>
      </w:r>
      <w:r>
        <w:rPr>
          <w:rFonts w:hint="eastAsia" w:eastAsiaTheme="minorEastAsia"/>
          <w:bCs/>
          <w:szCs w:val="21"/>
          <w:highlight w:val="none"/>
        </w:rPr>
        <w:t>的</w:t>
      </w:r>
      <w:r>
        <w:rPr>
          <w:rFonts w:eastAsiaTheme="minorEastAsia"/>
          <w:bCs/>
          <w:szCs w:val="21"/>
          <w:highlight w:val="none"/>
        </w:rPr>
        <w:t>修改、变动或者增减</w:t>
      </w:r>
      <w:r>
        <w:rPr>
          <w:rFonts w:hint="eastAsia" w:eastAsiaTheme="minorEastAsia"/>
          <w:bCs/>
          <w:szCs w:val="21"/>
          <w:highlight w:val="none"/>
        </w:rPr>
        <w:t>须以书面形式</w:t>
      </w:r>
      <w:r>
        <w:rPr>
          <w:rFonts w:eastAsiaTheme="minorEastAsia"/>
          <w:bCs/>
          <w:szCs w:val="21"/>
          <w:highlight w:val="none"/>
        </w:rPr>
        <w:t>，</w:t>
      </w:r>
      <w:r>
        <w:rPr>
          <w:rFonts w:hint="eastAsia" w:eastAsiaTheme="minorEastAsia"/>
          <w:bCs/>
          <w:szCs w:val="21"/>
          <w:highlight w:val="none"/>
        </w:rPr>
        <w:t>并</w:t>
      </w:r>
      <w:r>
        <w:rPr>
          <w:rFonts w:eastAsiaTheme="minorEastAsia"/>
          <w:bCs/>
          <w:szCs w:val="21"/>
          <w:highlight w:val="none"/>
        </w:rPr>
        <w:t>经双方加盖公章</w:t>
      </w:r>
      <w:r>
        <w:rPr>
          <w:rFonts w:hint="eastAsia" w:eastAsiaTheme="minorEastAsia"/>
          <w:bCs/>
          <w:szCs w:val="21"/>
          <w:highlight w:val="none"/>
        </w:rPr>
        <w:t>或合同专用章</w:t>
      </w:r>
      <w:r>
        <w:rPr>
          <w:rFonts w:eastAsiaTheme="minorEastAsia"/>
          <w:bCs/>
          <w:szCs w:val="21"/>
          <w:highlight w:val="none"/>
        </w:rPr>
        <w:t>后才能生效。</w:t>
      </w:r>
    </w:p>
    <w:p w14:paraId="7AE1D095">
      <w:pPr>
        <w:snapToGrid w:val="0"/>
        <w:spacing w:line="360" w:lineRule="exact"/>
        <w:ind w:firstLine="420" w:firstLineChars="200"/>
        <w:rPr>
          <w:rFonts w:eastAsiaTheme="minorEastAsia"/>
          <w:b/>
          <w:bCs/>
          <w:szCs w:val="21"/>
          <w:highlight w:val="none"/>
        </w:rPr>
      </w:pPr>
      <w:r>
        <w:rPr>
          <w:rFonts w:hint="eastAsia" w:eastAsiaTheme="minorEastAsia"/>
          <w:bCs/>
          <w:szCs w:val="21"/>
          <w:highlight w:val="none"/>
        </w:rPr>
        <w:t>10.3</w:t>
      </w:r>
      <w:r>
        <w:rPr>
          <w:rFonts w:eastAsiaTheme="minorEastAsia"/>
          <w:bCs/>
          <w:szCs w:val="21"/>
          <w:highlight w:val="none"/>
        </w:rPr>
        <w:t>本合同未尽事宜，双方协商补充；本合同未做明确约定，而又有相关法律、法规规定的，从其规定。</w:t>
      </w:r>
    </w:p>
    <w:p w14:paraId="440BD4F9">
      <w:pPr>
        <w:snapToGrid w:val="0"/>
        <w:spacing w:line="360" w:lineRule="exact"/>
        <w:ind w:firstLine="420" w:firstLineChars="200"/>
        <w:rPr>
          <w:rFonts w:eastAsiaTheme="minorEastAsia"/>
          <w:szCs w:val="21"/>
          <w:highlight w:val="none"/>
        </w:rPr>
      </w:pPr>
      <w:r>
        <w:rPr>
          <w:rFonts w:hint="eastAsia" w:eastAsiaTheme="minorEastAsia"/>
          <w:szCs w:val="21"/>
          <w:highlight w:val="none"/>
        </w:rPr>
        <w:t>10.4</w:t>
      </w:r>
      <w:r>
        <w:rPr>
          <w:rFonts w:eastAsiaTheme="minorEastAsia"/>
          <w:szCs w:val="21"/>
          <w:highlight w:val="none"/>
        </w:rPr>
        <w:t xml:space="preserve"> </w:t>
      </w:r>
      <w:r>
        <w:rPr>
          <w:szCs w:val="21"/>
          <w:highlight w:val="none"/>
        </w:rPr>
        <w:t>本合同壹式</w:t>
      </w:r>
      <w:r>
        <w:rPr>
          <w:rFonts w:hint="eastAsia"/>
          <w:szCs w:val="21"/>
          <w:highlight w:val="none"/>
          <w:u w:val="single"/>
        </w:rPr>
        <w:t xml:space="preserve"> 陆 </w:t>
      </w:r>
      <w:r>
        <w:rPr>
          <w:szCs w:val="21"/>
          <w:highlight w:val="none"/>
        </w:rPr>
        <w:t>份，甲</w:t>
      </w:r>
      <w:r>
        <w:rPr>
          <w:rFonts w:hint="eastAsia"/>
          <w:szCs w:val="21"/>
          <w:highlight w:val="none"/>
        </w:rPr>
        <w:t>方</w:t>
      </w:r>
      <w:r>
        <w:rPr>
          <w:rFonts w:hint="eastAsia"/>
          <w:szCs w:val="21"/>
          <w:highlight w:val="none"/>
          <w:u w:val="single"/>
        </w:rPr>
        <w:t xml:space="preserve"> 肆 </w:t>
      </w:r>
      <w:r>
        <w:rPr>
          <w:rFonts w:hint="eastAsia"/>
          <w:szCs w:val="21"/>
          <w:highlight w:val="none"/>
        </w:rPr>
        <w:t>份，乙方</w:t>
      </w:r>
      <w:r>
        <w:rPr>
          <w:rFonts w:hint="eastAsia"/>
          <w:szCs w:val="21"/>
          <w:highlight w:val="none"/>
          <w:u w:val="single"/>
        </w:rPr>
        <w:t xml:space="preserve"> 贰 </w:t>
      </w:r>
      <w:r>
        <w:rPr>
          <w:szCs w:val="21"/>
          <w:highlight w:val="none"/>
        </w:rPr>
        <w:t>份</w:t>
      </w:r>
      <w:r>
        <w:rPr>
          <w:rFonts w:hint="eastAsia"/>
          <w:szCs w:val="21"/>
          <w:highlight w:val="none"/>
        </w:rPr>
        <w:t>，具有同等法律效力</w:t>
      </w:r>
      <w:r>
        <w:rPr>
          <w:szCs w:val="21"/>
          <w:highlight w:val="none"/>
        </w:rPr>
        <w:t>。</w:t>
      </w:r>
    </w:p>
    <w:p w14:paraId="14F61D37">
      <w:pPr>
        <w:snapToGrid w:val="0"/>
        <w:spacing w:line="360" w:lineRule="exact"/>
        <w:ind w:firstLine="420" w:firstLineChars="200"/>
        <w:rPr>
          <w:rFonts w:eastAsiaTheme="minorEastAsia"/>
          <w:szCs w:val="21"/>
          <w:highlight w:val="none"/>
        </w:rPr>
      </w:pPr>
      <w:r>
        <w:rPr>
          <w:rFonts w:hint="eastAsia" w:eastAsiaTheme="minorEastAsia"/>
          <w:szCs w:val="21"/>
          <w:highlight w:val="none"/>
        </w:rPr>
        <w:t>10.5</w:t>
      </w:r>
      <w:r>
        <w:rPr>
          <w:rFonts w:eastAsiaTheme="minorEastAsia"/>
          <w:szCs w:val="21"/>
          <w:highlight w:val="none"/>
        </w:rPr>
        <w:t xml:space="preserve"> </w:t>
      </w:r>
      <w:r>
        <w:rPr>
          <w:rFonts w:hint="eastAsia" w:eastAsiaTheme="minorEastAsia"/>
          <w:szCs w:val="21"/>
          <w:highlight w:val="none"/>
        </w:rPr>
        <w:t>合同有效期</w:t>
      </w:r>
      <w:r>
        <w:rPr>
          <w:rFonts w:eastAsiaTheme="minorEastAsia"/>
          <w:szCs w:val="21"/>
          <w:highlight w:val="none"/>
        </w:rPr>
        <w:t>：</w:t>
      </w:r>
      <w:r>
        <w:rPr>
          <w:rFonts w:hint="eastAsia" w:eastAsiaTheme="minorEastAsia"/>
          <w:szCs w:val="21"/>
          <w:highlight w:val="none"/>
        </w:rPr>
        <w:t>自本合同生效日期之日起至本合同权利义务履行完毕之日止。</w:t>
      </w:r>
    </w:p>
    <w:p w14:paraId="0A584585">
      <w:pPr>
        <w:widowControl/>
        <w:spacing w:before="156" w:beforeLines="50" w:after="156" w:afterLines="50" w:line="360" w:lineRule="exact"/>
        <w:rPr>
          <w:szCs w:val="21"/>
          <w:highlight w:val="none"/>
        </w:rPr>
      </w:pPr>
      <w:r>
        <w:rPr>
          <w:rFonts w:hint="eastAsia"/>
          <w:b/>
          <w:bCs/>
          <w:szCs w:val="21"/>
          <w:highlight w:val="none"/>
        </w:rPr>
        <w:t>11</w:t>
      </w:r>
      <w:r>
        <w:rPr>
          <w:b/>
          <w:bCs/>
          <w:szCs w:val="21"/>
          <w:highlight w:val="none"/>
        </w:rPr>
        <w:t xml:space="preserve">. </w:t>
      </w:r>
      <w:r>
        <w:rPr>
          <w:rFonts w:hint="eastAsia"/>
          <w:b/>
          <w:bCs/>
          <w:szCs w:val="21"/>
          <w:highlight w:val="none"/>
        </w:rPr>
        <w:t>廉洁条款</w:t>
      </w:r>
    </w:p>
    <w:p w14:paraId="776FA587">
      <w:pPr>
        <w:spacing w:line="340" w:lineRule="exact"/>
        <w:ind w:firstLine="420" w:firstLineChars="200"/>
        <w:rPr>
          <w:rFonts w:ascii="宋体" w:hAnsi="宋体"/>
          <w:highlight w:val="none"/>
        </w:rPr>
      </w:pPr>
      <w:r>
        <w:rPr>
          <w:rFonts w:ascii="宋体" w:hAnsi="宋体"/>
          <w:szCs w:val="21"/>
          <w:highlight w:val="none"/>
        </w:rPr>
        <w:t>11.1</w:t>
      </w:r>
      <w:bookmarkStart w:id="0" w:name="OLE_LINK12"/>
      <w:bookmarkStart w:id="1" w:name="OLE_LINK11"/>
      <w:r>
        <w:rPr>
          <w:rFonts w:ascii="宋体" w:hAnsi="宋体"/>
          <w:szCs w:val="21"/>
          <w:highlight w:val="none"/>
        </w:rPr>
        <w:t>在</w:t>
      </w:r>
      <w:r>
        <w:rPr>
          <w:rFonts w:hint="eastAsia" w:ascii="宋体" w:hAnsi="宋体"/>
          <w:szCs w:val="21"/>
          <w:highlight w:val="none"/>
        </w:rPr>
        <w:t>项目</w:t>
      </w:r>
      <w:r>
        <w:rPr>
          <w:rFonts w:ascii="宋体" w:hAnsi="宋体"/>
          <w:szCs w:val="21"/>
          <w:highlight w:val="none"/>
        </w:rPr>
        <w:t>采购、合同签订、履行过程中，</w:t>
      </w:r>
      <w:r>
        <w:rPr>
          <w:rFonts w:hint="eastAsia" w:ascii="宋体" w:hAnsi="宋体"/>
          <w:szCs w:val="21"/>
          <w:highlight w:val="none"/>
        </w:rPr>
        <w:t>甲方的项目相关负责人员不得存在如下关联关系：</w:t>
      </w:r>
      <w:r>
        <w:rPr>
          <w:rFonts w:ascii="宋体" w:hAnsi="宋体"/>
          <w:szCs w:val="21"/>
          <w:highlight w:val="none"/>
        </w:rPr>
        <w:t>(1)</w:t>
      </w:r>
      <w:r>
        <w:rPr>
          <w:rFonts w:hint="eastAsia" w:ascii="宋体" w:hAnsi="宋体"/>
          <w:szCs w:val="21"/>
          <w:highlight w:val="none"/>
        </w:rPr>
        <w:t>与作为合同相对方的自然人有配偶关系、直系血亲关系、三代以内旁系血亲或者姻亲关系;</w:t>
      </w:r>
      <w:r>
        <w:rPr>
          <w:rFonts w:ascii="宋体" w:hAnsi="宋体"/>
          <w:szCs w:val="21"/>
          <w:highlight w:val="none"/>
        </w:rPr>
        <w:t>(2)</w:t>
      </w:r>
      <w:r>
        <w:rPr>
          <w:rFonts w:hint="eastAsia" w:ascii="宋体" w:hAnsi="宋体"/>
          <w:szCs w:val="21"/>
          <w:highlight w:val="none"/>
        </w:rPr>
        <w:t>在合同相对方任职或者兼职;</w:t>
      </w:r>
      <w:r>
        <w:rPr>
          <w:rFonts w:ascii="宋体" w:hAnsi="宋体"/>
          <w:szCs w:val="21"/>
          <w:highlight w:val="none"/>
        </w:rPr>
        <w:t>(3)</w:t>
      </w:r>
      <w:r>
        <w:rPr>
          <w:rFonts w:hint="eastAsia" w:ascii="宋体" w:hAnsi="宋体"/>
          <w:szCs w:val="21"/>
          <w:highlight w:val="none"/>
        </w:rPr>
        <w:t>本人亲属在合同相对方担任具有决策权的重要职务;</w:t>
      </w:r>
      <w:r>
        <w:rPr>
          <w:rFonts w:ascii="宋体" w:hAnsi="宋体"/>
          <w:szCs w:val="21"/>
          <w:highlight w:val="none"/>
        </w:rPr>
        <w:t>(4)</w:t>
      </w:r>
      <w:r>
        <w:rPr>
          <w:rFonts w:hint="eastAsia" w:ascii="宋体" w:hAnsi="宋体"/>
          <w:szCs w:val="21"/>
          <w:highlight w:val="none"/>
        </w:rPr>
        <w:t>本人及其近亲属直接、间接、共同控制合同相对方或者可对合同相对方施加重大影响</w:t>
      </w:r>
      <w:bookmarkEnd w:id="0"/>
      <w:bookmarkEnd w:id="1"/>
      <w:r>
        <w:rPr>
          <w:rFonts w:hint="eastAsia" w:ascii="宋体" w:hAnsi="宋体"/>
          <w:szCs w:val="21"/>
          <w:highlight w:val="none"/>
        </w:rPr>
        <w:t>。</w:t>
      </w:r>
    </w:p>
    <w:p w14:paraId="112E354E">
      <w:pPr>
        <w:spacing w:line="340" w:lineRule="exact"/>
        <w:ind w:firstLine="420" w:firstLineChars="200"/>
        <w:rPr>
          <w:rFonts w:ascii="宋体" w:hAnsi="宋体"/>
          <w:szCs w:val="21"/>
        </w:rPr>
      </w:pPr>
      <w:r>
        <w:rPr>
          <w:rFonts w:ascii="宋体" w:hAnsi="宋体"/>
          <w:szCs w:val="21"/>
          <w:highlight w:val="none"/>
        </w:rPr>
        <w:t>11.2乙方保证并承诺，在</w:t>
      </w:r>
      <w:r>
        <w:rPr>
          <w:rFonts w:hint="eastAsia" w:ascii="宋体" w:hAnsi="宋体"/>
          <w:szCs w:val="21"/>
          <w:highlight w:val="none"/>
        </w:rPr>
        <w:t>项目</w:t>
      </w:r>
      <w:r>
        <w:rPr>
          <w:rFonts w:ascii="宋体" w:hAnsi="宋体"/>
          <w:szCs w:val="21"/>
          <w:highlight w:val="none"/>
        </w:rPr>
        <w:t>采购、合同签订、履行过程</w:t>
      </w:r>
      <w:r>
        <w:rPr>
          <w:rFonts w:ascii="宋体" w:hAnsi="宋体"/>
          <w:szCs w:val="21"/>
        </w:rPr>
        <w:t>中，未向评标委员会、竞争性谈判小组或者询价小组成员、采购代理机构工作人员、甲方工作人员行贿或者提供其他不正当利益。</w:t>
      </w:r>
    </w:p>
    <w:p w14:paraId="34BFB30D">
      <w:pPr>
        <w:widowControl/>
        <w:spacing w:before="156" w:beforeLines="50" w:after="156" w:afterLines="50" w:line="360" w:lineRule="exact"/>
        <w:rPr>
          <w:szCs w:val="21"/>
        </w:rPr>
      </w:pPr>
      <w:r>
        <w:rPr>
          <w:rFonts w:hint="eastAsia"/>
          <w:b/>
          <w:bCs/>
          <w:szCs w:val="21"/>
        </w:rPr>
        <w:t>1</w:t>
      </w:r>
      <w:r>
        <w:rPr>
          <w:b/>
          <w:bCs/>
          <w:szCs w:val="21"/>
        </w:rPr>
        <w:t xml:space="preserve">2. </w:t>
      </w:r>
      <w:r>
        <w:rPr>
          <w:rFonts w:hint="eastAsia"/>
          <w:b/>
          <w:bCs/>
          <w:szCs w:val="21"/>
        </w:rPr>
        <w:t>特别约定</w:t>
      </w:r>
    </w:p>
    <w:p w14:paraId="3944B8AA">
      <w:pPr>
        <w:spacing w:line="340" w:lineRule="exact"/>
        <w:ind w:firstLine="420" w:firstLineChars="200"/>
        <w:rPr>
          <w:szCs w:val="21"/>
        </w:rPr>
      </w:pPr>
      <w:r>
        <w:rPr>
          <w:rFonts w:hint="eastAsia"/>
          <w:szCs w:val="21"/>
        </w:rPr>
        <w:t>1</w:t>
      </w:r>
      <w:r>
        <w:rPr>
          <w:szCs w:val="21"/>
        </w:rPr>
        <w:t xml:space="preserve">2.1 </w:t>
      </w:r>
      <w:r>
        <w:rPr>
          <w:rFonts w:hint="eastAsia"/>
          <w:szCs w:val="21"/>
        </w:rPr>
        <w:t>因乙方原因造成合同解除的，乙方应退回甲方所有交付款项并承担违约责任。</w:t>
      </w:r>
    </w:p>
    <w:p w14:paraId="1C6D1B6A">
      <w:pPr>
        <w:spacing w:line="340" w:lineRule="exact"/>
        <w:ind w:firstLine="420" w:firstLineChars="200"/>
        <w:rPr>
          <w:szCs w:val="21"/>
        </w:rPr>
      </w:pPr>
      <w:r>
        <w:rPr>
          <w:szCs w:val="21"/>
        </w:rPr>
        <w:t xml:space="preserve">12.2 </w:t>
      </w:r>
      <w:r>
        <w:rPr>
          <w:rFonts w:hint="eastAsia"/>
          <w:szCs w:val="21"/>
        </w:rPr>
        <w:t>本特别约定是合同各方经协商后对合同其他条款的修改或补充，如有不一致，以特别约定为准。</w:t>
      </w:r>
    </w:p>
    <w:p w14:paraId="20C17A31">
      <w:pPr>
        <w:pStyle w:val="29"/>
        <w:spacing w:line="340" w:lineRule="exact"/>
        <w:ind w:firstLine="371" w:firstLineChars="177"/>
        <w:rPr>
          <w:bCs/>
          <w:sz w:val="21"/>
          <w:szCs w:val="21"/>
          <w:lang w:val="en-US"/>
        </w:rPr>
      </w:pPr>
      <w:r>
        <w:rPr>
          <w:bCs/>
          <w:sz w:val="21"/>
          <w:szCs w:val="21"/>
          <w:lang w:val="en-US"/>
        </w:rPr>
        <w:t>双方已充分理解并同意本合同项下全部条款、权利、义务以及风险，且不存在任何其他不明条款，故签订本合同。</w:t>
      </w:r>
    </w:p>
    <w:p w14:paraId="57D90AB2">
      <w:pPr>
        <w:snapToGrid w:val="0"/>
        <w:spacing w:line="360" w:lineRule="exact"/>
        <w:ind w:firstLine="420" w:firstLineChars="200"/>
        <w:rPr>
          <w:bCs/>
          <w:szCs w:val="21"/>
        </w:rPr>
      </w:pPr>
      <w:r>
        <w:rPr>
          <w:rFonts w:hint="eastAsia"/>
          <w:bCs/>
          <w:szCs w:val="21"/>
        </w:rPr>
        <w:t>（以下无正文）</w:t>
      </w:r>
      <w:r>
        <w:rPr>
          <w:bCs/>
          <w:szCs w:val="21"/>
        </w:rPr>
        <w:t>。</w:t>
      </w:r>
    </w:p>
    <w:p w14:paraId="198D565F">
      <w:pPr>
        <w:widowControl/>
        <w:jc w:val="left"/>
        <w:rPr>
          <w:b/>
          <w:bCs/>
          <w:szCs w:val="21"/>
        </w:rPr>
      </w:pPr>
    </w:p>
    <w:tbl>
      <w:tblPr>
        <w:tblStyle w:val="1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95"/>
        <w:gridCol w:w="3679"/>
      </w:tblGrid>
      <w:tr w14:paraId="5913E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5" w:hRule="atLeast"/>
          <w:jc w:val="center"/>
        </w:trPr>
        <w:tc>
          <w:tcPr>
            <w:tcW w:w="4395" w:type="dxa"/>
          </w:tcPr>
          <w:p w14:paraId="2DF93B45">
            <w:pPr>
              <w:spacing w:line="360" w:lineRule="auto"/>
              <w:rPr>
                <w:b/>
                <w:szCs w:val="21"/>
              </w:rPr>
            </w:pPr>
            <w:r>
              <w:rPr>
                <w:b/>
                <w:szCs w:val="21"/>
              </w:rPr>
              <w:t>甲方（盖章）</w:t>
            </w:r>
            <w:r>
              <w:rPr>
                <w:szCs w:val="21"/>
              </w:rPr>
              <w:t>：清华大学</w:t>
            </w:r>
          </w:p>
          <w:p w14:paraId="4D638F1F">
            <w:pPr>
              <w:spacing w:line="360" w:lineRule="auto"/>
              <w:rPr>
                <w:szCs w:val="21"/>
              </w:rPr>
            </w:pPr>
          </w:p>
          <w:p w14:paraId="7F7675EB">
            <w:pPr>
              <w:spacing w:line="360" w:lineRule="auto"/>
              <w:rPr>
                <w:szCs w:val="21"/>
              </w:rPr>
            </w:pPr>
            <w:r>
              <w:rPr>
                <w:rFonts w:hint="eastAsia"/>
                <w:szCs w:val="21"/>
              </w:rPr>
              <w:t>甲方代表（签字）：</w:t>
            </w:r>
          </w:p>
          <w:p w14:paraId="7E96BA85">
            <w:pPr>
              <w:spacing w:line="360" w:lineRule="auto"/>
              <w:rPr>
                <w:szCs w:val="21"/>
              </w:rPr>
            </w:pPr>
          </w:p>
          <w:p w14:paraId="777E6DC9">
            <w:pPr>
              <w:spacing w:line="360" w:lineRule="auto"/>
              <w:rPr>
                <w:szCs w:val="21"/>
              </w:rPr>
            </w:pPr>
          </w:p>
          <w:p w14:paraId="4846A065">
            <w:pPr>
              <w:spacing w:line="360" w:lineRule="auto"/>
              <w:rPr>
                <w:szCs w:val="21"/>
              </w:rPr>
            </w:pPr>
            <w:r>
              <w:rPr>
                <w:szCs w:val="21"/>
              </w:rPr>
              <w:t xml:space="preserve">地址：北京市海淀区清华园 </w:t>
            </w:r>
          </w:p>
          <w:p w14:paraId="58841D94">
            <w:pPr>
              <w:spacing w:line="360" w:lineRule="auto"/>
              <w:rPr>
                <w:szCs w:val="21"/>
              </w:rPr>
            </w:pPr>
            <w:r>
              <w:rPr>
                <w:szCs w:val="21"/>
              </w:rPr>
              <w:t>开户银行：工行海淀西区支行</w:t>
            </w:r>
          </w:p>
          <w:p w14:paraId="5F6F9D44">
            <w:pPr>
              <w:spacing w:line="360" w:lineRule="auto"/>
              <w:rPr>
                <w:szCs w:val="21"/>
              </w:rPr>
            </w:pPr>
            <w:r>
              <w:rPr>
                <w:szCs w:val="21"/>
              </w:rPr>
              <w:t>税号：12100000400000624D</w:t>
            </w:r>
          </w:p>
          <w:p w14:paraId="57F12620">
            <w:pPr>
              <w:spacing w:line="360" w:lineRule="auto"/>
              <w:rPr>
                <w:szCs w:val="21"/>
              </w:rPr>
            </w:pPr>
            <w:r>
              <w:rPr>
                <w:rFonts w:hint="eastAsia"/>
                <w:szCs w:val="21"/>
              </w:rPr>
              <w:t>联系人</w:t>
            </w:r>
            <w:r>
              <w:rPr>
                <w:szCs w:val="21"/>
              </w:rPr>
              <w:t>：</w:t>
            </w:r>
          </w:p>
          <w:p w14:paraId="59506D18">
            <w:pPr>
              <w:spacing w:line="360" w:lineRule="auto"/>
              <w:rPr>
                <w:szCs w:val="21"/>
              </w:rPr>
            </w:pPr>
            <w:r>
              <w:rPr>
                <w:szCs w:val="21"/>
              </w:rPr>
              <w:t>联系</w:t>
            </w:r>
            <w:r>
              <w:rPr>
                <w:rFonts w:hint="eastAsia"/>
                <w:szCs w:val="21"/>
              </w:rPr>
              <w:t>电话</w:t>
            </w:r>
            <w:r>
              <w:rPr>
                <w:szCs w:val="21"/>
              </w:rPr>
              <w:t>：</w:t>
            </w:r>
          </w:p>
          <w:p w14:paraId="7D7618E4">
            <w:pPr>
              <w:spacing w:line="360" w:lineRule="auto"/>
              <w:rPr>
                <w:szCs w:val="21"/>
              </w:rPr>
            </w:pPr>
            <w:r>
              <w:rPr>
                <w:szCs w:val="21"/>
              </w:rPr>
              <w:t>通讯地址：</w:t>
            </w:r>
          </w:p>
          <w:p w14:paraId="36A5E79A">
            <w:pPr>
              <w:spacing w:line="360" w:lineRule="auto"/>
              <w:rPr>
                <w:szCs w:val="21"/>
              </w:rPr>
            </w:pPr>
            <w:r>
              <w:rPr>
                <w:szCs w:val="21"/>
              </w:rPr>
              <w:t>电子邮箱：</w:t>
            </w:r>
          </w:p>
          <w:p w14:paraId="15B2D3B1">
            <w:pPr>
              <w:spacing w:line="360" w:lineRule="auto"/>
              <w:rPr>
                <w:szCs w:val="21"/>
              </w:rPr>
            </w:pPr>
            <w:r>
              <w:rPr>
                <w:szCs w:val="21"/>
              </w:rPr>
              <w:t>传真：</w:t>
            </w:r>
          </w:p>
          <w:p w14:paraId="0B317E2E">
            <w:pPr>
              <w:spacing w:line="360" w:lineRule="auto"/>
              <w:rPr>
                <w:szCs w:val="21"/>
                <w:u w:val="single"/>
              </w:rPr>
            </w:pPr>
          </w:p>
        </w:tc>
        <w:tc>
          <w:tcPr>
            <w:tcW w:w="3679" w:type="dxa"/>
          </w:tcPr>
          <w:p w14:paraId="585672B2">
            <w:pPr>
              <w:spacing w:line="360" w:lineRule="auto"/>
              <w:rPr>
                <w:b/>
                <w:szCs w:val="21"/>
              </w:rPr>
            </w:pPr>
            <w:r>
              <w:rPr>
                <w:b/>
                <w:szCs w:val="21"/>
              </w:rPr>
              <w:t>乙方（盖章）</w:t>
            </w:r>
            <w:r>
              <w:rPr>
                <w:szCs w:val="21"/>
              </w:rPr>
              <w:t>：</w:t>
            </w:r>
          </w:p>
          <w:p w14:paraId="077AF647">
            <w:pPr>
              <w:spacing w:line="360" w:lineRule="auto"/>
              <w:rPr>
                <w:szCs w:val="21"/>
              </w:rPr>
            </w:pPr>
            <w:r>
              <w:rPr>
                <w:rFonts w:hint="eastAsia"/>
                <w:szCs w:val="21"/>
              </w:rPr>
              <w:t>名称</w:t>
            </w:r>
            <w:r>
              <w:rPr>
                <w:szCs w:val="21"/>
              </w:rPr>
              <w:t>：</w:t>
            </w:r>
          </w:p>
          <w:p w14:paraId="1346AC95">
            <w:pPr>
              <w:spacing w:line="360" w:lineRule="auto"/>
              <w:rPr>
                <w:szCs w:val="21"/>
              </w:rPr>
            </w:pPr>
            <w:r>
              <w:rPr>
                <w:szCs w:val="21"/>
              </w:rPr>
              <w:t>法定代表人</w:t>
            </w:r>
            <w:r>
              <w:rPr>
                <w:rFonts w:hint="eastAsia"/>
                <w:szCs w:val="21"/>
              </w:rPr>
              <w:t>或授权人（签字）</w:t>
            </w:r>
            <w:r>
              <w:rPr>
                <w:szCs w:val="21"/>
              </w:rPr>
              <w:t>：</w:t>
            </w:r>
          </w:p>
          <w:p w14:paraId="195778BE">
            <w:pPr>
              <w:spacing w:line="360" w:lineRule="auto"/>
              <w:rPr>
                <w:szCs w:val="21"/>
              </w:rPr>
            </w:pPr>
          </w:p>
          <w:p w14:paraId="4BBFD5BB">
            <w:pPr>
              <w:spacing w:line="360" w:lineRule="auto"/>
              <w:rPr>
                <w:szCs w:val="21"/>
              </w:rPr>
            </w:pPr>
          </w:p>
          <w:p w14:paraId="1977566E">
            <w:pPr>
              <w:spacing w:line="360" w:lineRule="auto"/>
              <w:rPr>
                <w:szCs w:val="21"/>
              </w:rPr>
            </w:pPr>
            <w:r>
              <w:rPr>
                <w:szCs w:val="21"/>
              </w:rPr>
              <w:t xml:space="preserve">地址： </w:t>
            </w:r>
          </w:p>
          <w:p w14:paraId="123B783B">
            <w:pPr>
              <w:spacing w:line="360" w:lineRule="auto"/>
              <w:rPr>
                <w:szCs w:val="21"/>
              </w:rPr>
            </w:pPr>
            <w:r>
              <w:rPr>
                <w:szCs w:val="21"/>
              </w:rPr>
              <w:t>开户银行：</w:t>
            </w:r>
          </w:p>
          <w:p w14:paraId="0E8020BD">
            <w:pPr>
              <w:spacing w:line="360" w:lineRule="auto"/>
              <w:rPr>
                <w:szCs w:val="21"/>
              </w:rPr>
            </w:pPr>
            <w:r>
              <w:rPr>
                <w:szCs w:val="21"/>
              </w:rPr>
              <w:t>银行账号：</w:t>
            </w:r>
          </w:p>
          <w:p w14:paraId="6474BA11">
            <w:pPr>
              <w:spacing w:line="360" w:lineRule="auto"/>
              <w:rPr>
                <w:szCs w:val="21"/>
              </w:rPr>
            </w:pPr>
            <w:r>
              <w:rPr>
                <w:rFonts w:hint="eastAsia"/>
                <w:szCs w:val="21"/>
              </w:rPr>
              <w:t>项目负责人：</w:t>
            </w:r>
          </w:p>
          <w:p w14:paraId="6D12FBFC">
            <w:pPr>
              <w:spacing w:line="360" w:lineRule="auto"/>
              <w:rPr>
                <w:szCs w:val="21"/>
              </w:rPr>
            </w:pPr>
            <w:r>
              <w:rPr>
                <w:szCs w:val="21"/>
              </w:rPr>
              <w:t>联系</w:t>
            </w:r>
            <w:r>
              <w:rPr>
                <w:rFonts w:hint="eastAsia"/>
                <w:szCs w:val="21"/>
              </w:rPr>
              <w:t>电话</w:t>
            </w:r>
            <w:r>
              <w:rPr>
                <w:szCs w:val="21"/>
              </w:rPr>
              <w:t xml:space="preserve">： </w:t>
            </w:r>
          </w:p>
          <w:p w14:paraId="0C59DC46">
            <w:pPr>
              <w:spacing w:line="360" w:lineRule="auto"/>
              <w:rPr>
                <w:szCs w:val="21"/>
              </w:rPr>
            </w:pPr>
            <w:r>
              <w:rPr>
                <w:szCs w:val="21"/>
              </w:rPr>
              <w:t xml:space="preserve">通讯地址： </w:t>
            </w:r>
          </w:p>
          <w:p w14:paraId="6E64284B">
            <w:pPr>
              <w:spacing w:line="360" w:lineRule="auto"/>
              <w:rPr>
                <w:szCs w:val="21"/>
              </w:rPr>
            </w:pPr>
            <w:r>
              <w:rPr>
                <w:szCs w:val="21"/>
              </w:rPr>
              <w:t>电子邮箱：</w:t>
            </w:r>
          </w:p>
          <w:p w14:paraId="246BDD42">
            <w:pPr>
              <w:spacing w:line="360" w:lineRule="auto"/>
              <w:rPr>
                <w:szCs w:val="21"/>
              </w:rPr>
            </w:pPr>
            <w:r>
              <w:rPr>
                <w:szCs w:val="21"/>
              </w:rPr>
              <w:t>传真：</w:t>
            </w:r>
          </w:p>
        </w:tc>
      </w:tr>
    </w:tbl>
    <w:p w14:paraId="2CFA4A2F">
      <w:pPr>
        <w:adjustRightInd w:val="0"/>
        <w:snapToGrid w:val="0"/>
        <w:spacing w:line="400" w:lineRule="exact"/>
        <w:rPr>
          <w:sz w:val="24"/>
        </w:rPr>
        <w:sectPr>
          <w:headerReference r:id="rId3" w:type="default"/>
          <w:footerReference r:id="rId4" w:type="default"/>
          <w:pgSz w:w="11906" w:h="16838"/>
          <w:pgMar w:top="1418" w:right="1701" w:bottom="1418" w:left="1758" w:header="1134" w:footer="964" w:gutter="0"/>
          <w:pgNumType w:start="1"/>
          <w:cols w:space="720" w:num="1"/>
          <w:docGrid w:type="linesAndChars" w:linePitch="312" w:charSpace="0"/>
        </w:sectPr>
      </w:pPr>
    </w:p>
    <w:p w14:paraId="5ED22BF0">
      <w:pPr>
        <w:jc w:val="left"/>
        <w:rPr>
          <w:b/>
          <w:bCs/>
          <w:sz w:val="28"/>
          <w:szCs w:val="28"/>
        </w:rPr>
      </w:pPr>
      <w:r>
        <w:rPr>
          <w:rFonts w:hint="eastAsia"/>
          <w:b/>
          <w:bCs/>
          <w:sz w:val="28"/>
          <w:szCs w:val="28"/>
        </w:rPr>
        <w:t>合同附件一：技术参数</w:t>
      </w:r>
    </w:p>
    <w:tbl>
      <w:tblPr>
        <w:tblStyle w:val="10"/>
        <w:tblW w:w="8469"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69"/>
        <w:gridCol w:w="2432"/>
        <w:gridCol w:w="1078"/>
        <w:gridCol w:w="3390"/>
      </w:tblGrid>
      <w:tr w14:paraId="61641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5" w:hRule="atLeast"/>
        </w:trPr>
        <w:tc>
          <w:tcPr>
            <w:tcW w:w="1569" w:type="dxa"/>
            <w:tcBorders>
              <w:top w:val="single" w:color="000000" w:sz="8" w:space="0"/>
              <w:left w:val="single" w:color="000000" w:sz="8" w:space="0"/>
              <w:bottom w:val="single" w:color="000000" w:sz="8" w:space="0"/>
              <w:right w:val="single" w:color="000000" w:sz="8" w:space="0"/>
            </w:tcBorders>
            <w:shd w:val="clear" w:color="auto" w:fill="D9D9D9"/>
            <w:vAlign w:val="center"/>
          </w:tcPr>
          <w:p w14:paraId="1C401513">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4200*1940*2380</w:t>
            </w:r>
          </w:p>
        </w:tc>
        <w:tc>
          <w:tcPr>
            <w:tcW w:w="3510"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14:paraId="21ECE96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bdr w:val="single" w:color="000000" w:sz="8" w:space="0"/>
                <w:shd w:val="clear" w:fill="FFFFFF"/>
                <w:lang w:val="en-US" w:eastAsia="zh-CN" w:bidi="ar"/>
              </w:rPr>
              <w:drawing>
                <wp:anchor distT="0" distB="0" distL="114300" distR="114300" simplePos="0" relativeHeight="251659264" behindDoc="0" locked="0" layoutInCell="1" allowOverlap="1">
                  <wp:simplePos x="0" y="0"/>
                  <wp:positionH relativeFrom="column">
                    <wp:posOffset>-19050</wp:posOffset>
                  </wp:positionH>
                  <wp:positionV relativeFrom="paragraph">
                    <wp:posOffset>126365</wp:posOffset>
                  </wp:positionV>
                  <wp:extent cx="1717675" cy="1388110"/>
                  <wp:effectExtent l="0" t="0" r="15875" b="2540"/>
                  <wp:wrapNone/>
                  <wp:docPr id="5" name="图片_7"/>
                  <wp:cNvGraphicFramePr/>
                  <a:graphic xmlns:a="http://schemas.openxmlformats.org/drawingml/2006/main">
                    <a:graphicData uri="http://schemas.openxmlformats.org/drawingml/2006/picture">
                      <pic:pic xmlns:pic="http://schemas.openxmlformats.org/drawingml/2006/picture">
                        <pic:nvPicPr>
                          <pic:cNvPr id="5" name="图片_7"/>
                          <pic:cNvPicPr/>
                        </pic:nvPicPr>
                        <pic:blipFill>
                          <a:blip r:embed="rId8"/>
                          <a:stretch>
                            <a:fillRect/>
                          </a:stretch>
                        </pic:blipFill>
                        <pic:spPr>
                          <a:xfrm>
                            <a:off x="0" y="0"/>
                            <a:ext cx="1717675" cy="1388110"/>
                          </a:xfrm>
                          <a:prstGeom prst="rect">
                            <a:avLst/>
                          </a:prstGeom>
                          <a:noFill/>
                          <a:ln>
                            <a:noFill/>
                          </a:ln>
                        </pic:spPr>
                      </pic:pic>
                    </a:graphicData>
                  </a:graphic>
                </wp:anchor>
              </w:drawing>
            </w:r>
          </w:p>
        </w:tc>
        <w:tc>
          <w:tcPr>
            <w:tcW w:w="3390" w:type="dxa"/>
            <w:tcBorders>
              <w:top w:val="single" w:color="000000" w:sz="8" w:space="0"/>
              <w:left w:val="nil"/>
              <w:bottom w:val="single" w:color="000000" w:sz="8" w:space="0"/>
              <w:right w:val="single" w:color="000000" w:sz="8" w:space="0"/>
            </w:tcBorders>
            <w:shd w:val="clear" w:color="auto" w:fill="FFFFFF"/>
            <w:noWrap/>
            <w:vAlign w:val="bottom"/>
          </w:tcPr>
          <w:p w14:paraId="3415DCF4">
            <w:pPr>
              <w:keepNext w:val="0"/>
              <w:keepLines w:val="0"/>
              <w:widowControl/>
              <w:suppressLineNumbers w:val="0"/>
              <w:jc w:val="left"/>
              <w:textAlignment w:val="bottom"/>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shd w:val="clear" w:fill="FFFFFF"/>
                <w:lang w:val="en-US" w:eastAsia="zh-CN" w:bidi="ar"/>
              </w:rPr>
              <w:drawing>
                <wp:anchor distT="0" distB="0" distL="114300" distR="114300" simplePos="0" relativeHeight="251659264" behindDoc="0" locked="0" layoutInCell="1" allowOverlap="1">
                  <wp:simplePos x="0" y="0"/>
                  <wp:positionH relativeFrom="column">
                    <wp:posOffset>60325</wp:posOffset>
                  </wp:positionH>
                  <wp:positionV relativeFrom="paragraph">
                    <wp:posOffset>100965</wp:posOffset>
                  </wp:positionV>
                  <wp:extent cx="1929765" cy="1451610"/>
                  <wp:effectExtent l="0" t="0" r="13335" b="15240"/>
                  <wp:wrapNone/>
                  <wp:docPr id="4" name="图片_1"/>
                  <wp:cNvGraphicFramePr/>
                  <a:graphic xmlns:a="http://schemas.openxmlformats.org/drawingml/2006/main">
                    <a:graphicData uri="http://schemas.openxmlformats.org/drawingml/2006/picture">
                      <pic:pic xmlns:pic="http://schemas.openxmlformats.org/drawingml/2006/picture">
                        <pic:nvPicPr>
                          <pic:cNvPr id="4" name="图片_1"/>
                          <pic:cNvPicPr/>
                        </pic:nvPicPr>
                        <pic:blipFill>
                          <a:blip r:embed="rId9"/>
                          <a:stretch>
                            <a:fillRect/>
                          </a:stretch>
                        </pic:blipFill>
                        <pic:spPr>
                          <a:xfrm>
                            <a:off x="0" y="0"/>
                            <a:ext cx="1929765" cy="1451610"/>
                          </a:xfrm>
                          <a:prstGeom prst="rect">
                            <a:avLst/>
                          </a:prstGeom>
                          <a:noFill/>
                          <a:ln>
                            <a:noFill/>
                          </a:ln>
                        </pic:spPr>
                      </pic:pic>
                    </a:graphicData>
                  </a:graphic>
                </wp:anchor>
              </w:drawing>
            </w:r>
          </w:p>
        </w:tc>
      </w:tr>
      <w:tr w14:paraId="2667C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469" w:type="dxa"/>
            <w:gridSpan w:val="4"/>
            <w:tcBorders>
              <w:top w:val="single" w:color="000000" w:sz="8" w:space="0"/>
              <w:left w:val="single" w:color="000000" w:sz="8" w:space="0"/>
              <w:bottom w:val="single" w:color="000000" w:sz="4" w:space="0"/>
              <w:right w:val="single" w:color="000000" w:sz="4" w:space="0"/>
            </w:tcBorders>
            <w:shd w:val="clear" w:color="auto" w:fill="BFBFBF"/>
            <w:vAlign w:val="center"/>
          </w:tcPr>
          <w:p w14:paraId="3C99754C">
            <w:pPr>
              <w:keepNext w:val="0"/>
              <w:keepLines w:val="0"/>
              <w:widowControl/>
              <w:suppressLineNumbers w:val="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车体参数</w:t>
            </w:r>
          </w:p>
        </w:tc>
      </w:tr>
      <w:tr w14:paraId="03F1C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04728C4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驱动形式</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335A">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电动</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B2140B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电池品牌</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BAA225">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铅酸蓄电池，电池制作商通过ISO9001质量体系认证、ISO14001环境管理体系认证、CE认证、TLC认证</w:t>
            </w:r>
          </w:p>
        </w:tc>
      </w:tr>
      <w:tr w14:paraId="5088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0DF9253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规格（mm）</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A94CB">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4200*1940*2380(长度宽度误差5mm之内，高度误差10mm之内)</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5448C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框架规格</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BC2E9A">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镀锌钢管主框尺寸40mm*40mm，窗框和门框尺寸40mm*80mm，钢管壁厚1.2mm，表面状态为光滑面</w:t>
            </w:r>
          </w:p>
        </w:tc>
      </w:tr>
      <w:tr w14:paraId="0EBFB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43E6D91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电压规格</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B7BB">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60V</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24E0689">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底盘/地板材料厚度</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0DBC73">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双面镀锌压花钢板1.5mm+ 40*80*2mm方管主梁龙骨</w:t>
            </w:r>
          </w:p>
        </w:tc>
      </w:tr>
      <w:tr w14:paraId="1FA43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1DBD8DB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电池数量</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F699">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5块</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8BB038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控制器</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0B76E3">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800W（60V）</w:t>
            </w:r>
          </w:p>
        </w:tc>
      </w:tr>
      <w:tr w14:paraId="338A7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0D62D674">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最大额定功率</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DFC8">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w:t>
            </w:r>
          </w:p>
        </w:tc>
        <w:tc>
          <w:tcPr>
            <w:tcW w:w="1078" w:type="dxa"/>
            <w:tcBorders>
              <w:top w:val="single" w:color="000000" w:sz="4" w:space="0"/>
              <w:left w:val="nil"/>
              <w:bottom w:val="single" w:color="000000" w:sz="4" w:space="0"/>
              <w:right w:val="single" w:color="000000" w:sz="4" w:space="0"/>
            </w:tcBorders>
            <w:shd w:val="clear" w:color="auto" w:fill="D9D9D9"/>
            <w:vAlign w:val="center"/>
          </w:tcPr>
          <w:p w14:paraId="08ACC66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标准插座数量</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79F3738">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标准2个五孔插座，一个五孔一开，一个双开</w:t>
            </w:r>
          </w:p>
        </w:tc>
      </w:tr>
      <w:tr w14:paraId="2B2A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2DBCB20E">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整备质量</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EAFA">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1170kg（正负50kg）</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2E70AB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车顶用料</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AF81CB">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车顶彩钢板0.4mm+方管龙骨+8mm厚PVC板</w:t>
            </w:r>
          </w:p>
        </w:tc>
      </w:tr>
      <w:tr w14:paraId="75E7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0C9848B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标准板簧</w:t>
            </w:r>
          </w:p>
        </w:tc>
        <w:tc>
          <w:tcPr>
            <w:tcW w:w="2432" w:type="dxa"/>
            <w:tcBorders>
              <w:top w:val="single" w:color="000000" w:sz="4" w:space="0"/>
              <w:left w:val="single" w:color="000000" w:sz="4" w:space="0"/>
              <w:bottom w:val="single" w:color="000000" w:sz="4" w:space="0"/>
              <w:right w:val="nil"/>
            </w:tcBorders>
            <w:shd w:val="clear" w:color="auto" w:fill="auto"/>
            <w:vAlign w:val="center"/>
          </w:tcPr>
          <w:p w14:paraId="1AE90FE5">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5片/4组</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381E2B">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外墙板</w:t>
            </w:r>
          </w:p>
        </w:tc>
        <w:tc>
          <w:tcPr>
            <w:tcW w:w="3390" w:type="dxa"/>
            <w:tcBorders>
              <w:top w:val="nil"/>
              <w:left w:val="single" w:color="000000" w:sz="4" w:space="0"/>
              <w:bottom w:val="single" w:color="000000" w:sz="4" w:space="0"/>
              <w:right w:val="single" w:color="000000" w:sz="8" w:space="0"/>
            </w:tcBorders>
            <w:shd w:val="clear" w:color="auto" w:fill="auto"/>
            <w:vAlign w:val="center"/>
          </w:tcPr>
          <w:p w14:paraId="15292231">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金属保温板，厚度20mm，密度1.78g/cm3 ,国标≥1.4g/cm3,表面状态为光滑面</w:t>
            </w:r>
          </w:p>
        </w:tc>
      </w:tr>
      <w:tr w14:paraId="2BBD8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7AEDB126">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标配照明灯管数量</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2893">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12VLED灯4支</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B372D8A">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内墙板</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F38160">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PVC布纹内墙板，厚度6mm，密度1.23g/cm</w:t>
            </w:r>
            <w:r>
              <w:rPr>
                <w:rStyle w:val="32"/>
                <w:lang w:val="en-US" w:eastAsia="zh-CN" w:bidi="ar"/>
              </w:rPr>
              <w:t>3 ,</w:t>
            </w:r>
            <w:r>
              <w:rPr>
                <w:rStyle w:val="31"/>
                <w:lang w:val="en-US" w:eastAsia="zh-CN" w:bidi="ar"/>
              </w:rPr>
              <w:t>国标≥1g/cm3,防火保温层</w:t>
            </w:r>
          </w:p>
        </w:tc>
      </w:tr>
      <w:tr w14:paraId="47583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781C1DF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轮胎规格</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1E66">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4个 145/70R12   符合GB/T 2978-2008《轿车轮胎规格、尺寸、气压与负荷》</w:t>
            </w:r>
          </w:p>
        </w:tc>
        <w:tc>
          <w:tcPr>
            <w:tcW w:w="107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8F3768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车体处理</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A77FCC">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喷漆（两遍底漆，两遍面漆）总厚度80um以上，符合GB/T 18593-2010《熔融结合环氧粉末涂料的防腐蚀涂装》要求</w:t>
            </w:r>
          </w:p>
        </w:tc>
      </w:tr>
      <w:tr w14:paraId="471B5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1569" w:type="dxa"/>
            <w:tcBorders>
              <w:top w:val="single" w:color="000000" w:sz="4" w:space="0"/>
              <w:left w:val="single" w:color="000000" w:sz="8" w:space="0"/>
              <w:bottom w:val="single" w:color="000000" w:sz="4" w:space="0"/>
              <w:right w:val="single" w:color="000000" w:sz="4" w:space="0"/>
            </w:tcBorders>
            <w:shd w:val="clear" w:color="auto" w:fill="D9D9D9"/>
            <w:vAlign w:val="center"/>
          </w:tcPr>
          <w:p w14:paraId="5B6B8BB7">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电机/功率</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BFC1">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800W   </w:t>
            </w:r>
          </w:p>
        </w:tc>
        <w:tc>
          <w:tcPr>
            <w:tcW w:w="1078" w:type="dxa"/>
            <w:tcBorders>
              <w:top w:val="single" w:color="000000" w:sz="4" w:space="0"/>
              <w:left w:val="nil"/>
              <w:bottom w:val="single" w:color="000000" w:sz="4" w:space="0"/>
              <w:right w:val="single" w:color="000000" w:sz="4" w:space="0"/>
            </w:tcBorders>
            <w:shd w:val="clear" w:color="auto" w:fill="D9D9D9"/>
            <w:vAlign w:val="center"/>
          </w:tcPr>
          <w:p w14:paraId="0860765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底盘处理</w:t>
            </w:r>
          </w:p>
        </w:tc>
        <w:tc>
          <w:tcPr>
            <w:tcW w:w="339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ACD2B6">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喷漆（两遍底漆)每遍至少20μm漆膜总厚度40μm以上</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全车车身外皮淡绿色</w:t>
            </w:r>
          </w:p>
        </w:tc>
      </w:tr>
      <w:tr w14:paraId="6E228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1569" w:type="dxa"/>
            <w:tcBorders>
              <w:top w:val="single" w:color="000000" w:sz="4" w:space="0"/>
              <w:left w:val="single" w:color="000000" w:sz="8" w:space="0"/>
              <w:bottom w:val="single" w:color="000000" w:sz="8" w:space="0"/>
              <w:right w:val="single" w:color="000000" w:sz="4" w:space="0"/>
            </w:tcBorders>
            <w:shd w:val="clear" w:color="auto" w:fill="D9D9D9"/>
            <w:vAlign w:val="center"/>
          </w:tcPr>
          <w:p w14:paraId="44E94F3C">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标准车型遮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阳棚安装</w:t>
            </w:r>
          </w:p>
        </w:tc>
        <w:tc>
          <w:tcPr>
            <w:tcW w:w="243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DE346F7">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左侧：安装A03-3.4*1.2米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右侧：安装A03-3.4*1.2米</w:t>
            </w:r>
          </w:p>
        </w:tc>
        <w:tc>
          <w:tcPr>
            <w:tcW w:w="1078" w:type="dxa"/>
            <w:tcBorders>
              <w:top w:val="single" w:color="000000" w:sz="4" w:space="0"/>
              <w:left w:val="nil"/>
              <w:bottom w:val="single" w:color="000000" w:sz="8" w:space="0"/>
              <w:right w:val="single" w:color="000000" w:sz="4" w:space="0"/>
            </w:tcBorders>
            <w:shd w:val="clear" w:color="auto" w:fill="D9D9D9"/>
            <w:vAlign w:val="center"/>
          </w:tcPr>
          <w:p w14:paraId="4B0D0FA0">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千斤顶</w:t>
            </w:r>
          </w:p>
        </w:tc>
        <w:tc>
          <w:tcPr>
            <w:tcW w:w="3390" w:type="dxa"/>
            <w:tcBorders>
              <w:top w:val="single" w:color="000000" w:sz="4" w:space="0"/>
              <w:left w:val="single" w:color="000000" w:sz="4" w:space="0"/>
              <w:bottom w:val="single" w:color="000000" w:sz="8" w:space="0"/>
              <w:right w:val="single" w:color="000000" w:sz="8" w:space="0"/>
            </w:tcBorders>
            <w:shd w:val="clear" w:color="auto" w:fill="auto"/>
            <w:vAlign w:val="center"/>
          </w:tcPr>
          <w:p w14:paraId="68825D34">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配备4个千斤顶支架</w:t>
            </w:r>
          </w:p>
        </w:tc>
      </w:tr>
    </w:tbl>
    <w:p w14:paraId="53321905">
      <w:pPr>
        <w:tabs>
          <w:tab w:val="left" w:pos="1080"/>
        </w:tabs>
        <w:snapToGrid w:val="0"/>
        <w:spacing w:line="400" w:lineRule="exact"/>
        <w:rPr>
          <w:rFonts w:ascii="宋体" w:hAnsi="宋体"/>
        </w:rPr>
      </w:pPr>
    </w:p>
    <w:p w14:paraId="01BB2A27">
      <w:pPr>
        <w:pStyle w:val="4"/>
        <w:adjustRightInd w:val="0"/>
        <w:snapToGrid w:val="0"/>
        <w:spacing w:line="400" w:lineRule="exact"/>
        <w:rPr>
          <w:sz w:val="24"/>
        </w:rPr>
      </w:pPr>
    </w:p>
    <w:sectPr>
      <w:headerReference r:id="rId5" w:type="default"/>
      <w:footerReference r:id="rId6" w:type="default"/>
      <w:pgSz w:w="11906" w:h="16838"/>
      <w:pgMar w:top="1418" w:right="1701" w:bottom="1418" w:left="1758" w:header="1134" w:footer="964"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3E13E">
    <w:pPr>
      <w:pStyle w:val="6"/>
      <w:jc w:val="center"/>
    </w:pPr>
    <w:sdt>
      <w:sdtPr>
        <w:id w:val="147463228"/>
        <w:showingPlcHdr/>
      </w:sdtPr>
      <w:sdtContent>
        <w:r>
          <w:rPr>
            <w:rFonts w:hint="eastAsia"/>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CDA99">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2C444">
    <w:pPr>
      <w:pStyle w:val="7"/>
      <w:jc w:val="center"/>
      <w:rPr>
        <w:rFonts w:ascii="华文仿宋" w:hAnsi="华文仿宋" w:eastAsia="华文仿宋"/>
        <w:sz w:val="28"/>
        <w:szCs w:val="28"/>
      </w:rPr>
    </w:pPr>
    <w:r>
      <w:rPr>
        <w:rFonts w:hint="eastAsia" w:ascii="华文仿宋" w:hAnsi="华文仿宋" w:eastAsia="华文仿宋"/>
        <w:sz w:val="28"/>
        <w:szCs w:val="28"/>
      </w:rPr>
      <w:t>清华大学</w:t>
    </w:r>
    <w:r>
      <w:rPr>
        <w:rFonts w:ascii="华文仿宋" w:hAnsi="华文仿宋" w:eastAsia="华文仿宋"/>
        <w:sz w:val="28"/>
        <w:szCs w:val="28"/>
      </w:rPr>
      <w:t>货物采购简易合同</w:t>
    </w:r>
  </w:p>
  <w:p w14:paraId="50803912">
    <w:pPr>
      <w:jc w:val="left"/>
      <w:rPr>
        <w:b/>
        <w:szCs w:val="21"/>
      </w:rPr>
    </w:pPr>
    <w:r>
      <w:rPr>
        <w:b/>
        <w:szCs w:val="21"/>
      </w:rPr>
      <mc:AlternateContent>
        <mc:Choice Requires="wps">
          <w:drawing>
            <wp:anchor distT="0" distB="0" distL="114300" distR="114300" simplePos="0" relativeHeight="251660288" behindDoc="0" locked="0" layoutInCell="1" allowOverlap="1">
              <wp:simplePos x="0" y="0"/>
              <wp:positionH relativeFrom="column">
                <wp:posOffset>-209550</wp:posOffset>
              </wp:positionH>
              <wp:positionV relativeFrom="paragraph">
                <wp:posOffset>127635</wp:posOffset>
              </wp:positionV>
              <wp:extent cx="5844540" cy="0"/>
              <wp:effectExtent l="0" t="0" r="22860" b="19050"/>
              <wp:wrapNone/>
              <wp:docPr id="2" name="直接连接符 2"/>
              <wp:cNvGraphicFramePr/>
              <a:graphic xmlns:a="http://schemas.openxmlformats.org/drawingml/2006/main">
                <a:graphicData uri="http://schemas.microsoft.com/office/word/2010/wordprocessingShape">
                  <wps:wsp>
                    <wps:cNvCnPr/>
                    <wps:spPr>
                      <a:xfrm>
                        <a:off x="0" y="0"/>
                        <a:ext cx="58445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5pt;margin-top:10.05pt;height:0pt;width:460.2pt;z-index:251660288;mso-width-relative:page;mso-height-relative:page;" filled="f" stroked="t" coordsize="21600,21600" o:gfxdata="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3HGJq9cAAAAJAQAADwAAAAAAAAAB&#10;ACAAAAAiAAAAZHJzL2Rvd25yZXYueG1sUEsBAhQAFAAAAAgAh07iQAm+dKPYAQAAmgMAAA4AAAAA&#10;AAAAAQAgAAAAJgEAAGRycy9lMm9Eb2MueG1sUEsFBgAAAAAGAAYAWQEAAHAFAAAAAA==&#10;">
              <v:fill on="f" focussize="0,0"/>
              <v:stroke color="#000000 [3213]" joinstyle="round"/>
              <v:imagedata o:title=""/>
              <o:lock v:ext="edit" aspectratio="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6488B">
    <w:pPr>
      <w:jc w:val="left"/>
      <w:rPr>
        <w:b/>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hYWY3MGIzNWJhMjI1NDcyYjIyOGU3OWVmNTA1NmEifQ=="/>
  </w:docVars>
  <w:rsids>
    <w:rsidRoot w:val="00606DA0"/>
    <w:rsid w:val="00001138"/>
    <w:rsid w:val="0000605A"/>
    <w:rsid w:val="0000707D"/>
    <w:rsid w:val="0000712F"/>
    <w:rsid w:val="00011A54"/>
    <w:rsid w:val="00016AD1"/>
    <w:rsid w:val="00031441"/>
    <w:rsid w:val="00040506"/>
    <w:rsid w:val="000420FF"/>
    <w:rsid w:val="00042968"/>
    <w:rsid w:val="000548C5"/>
    <w:rsid w:val="00065B96"/>
    <w:rsid w:val="00071A0E"/>
    <w:rsid w:val="00071A6B"/>
    <w:rsid w:val="00072079"/>
    <w:rsid w:val="00073306"/>
    <w:rsid w:val="00073A10"/>
    <w:rsid w:val="00075413"/>
    <w:rsid w:val="000755D4"/>
    <w:rsid w:val="00083340"/>
    <w:rsid w:val="000852FD"/>
    <w:rsid w:val="0008603C"/>
    <w:rsid w:val="00086194"/>
    <w:rsid w:val="00095ED6"/>
    <w:rsid w:val="0009690D"/>
    <w:rsid w:val="00097AFD"/>
    <w:rsid w:val="00097CB0"/>
    <w:rsid w:val="000A21AA"/>
    <w:rsid w:val="000B138F"/>
    <w:rsid w:val="000B5A69"/>
    <w:rsid w:val="000D0893"/>
    <w:rsid w:val="000D1035"/>
    <w:rsid w:val="000D4D0B"/>
    <w:rsid w:val="000D509E"/>
    <w:rsid w:val="000E41A8"/>
    <w:rsid w:val="000F6517"/>
    <w:rsid w:val="001067C5"/>
    <w:rsid w:val="00107630"/>
    <w:rsid w:val="00111536"/>
    <w:rsid w:val="001146B5"/>
    <w:rsid w:val="00117505"/>
    <w:rsid w:val="00117FDD"/>
    <w:rsid w:val="0012382F"/>
    <w:rsid w:val="00126664"/>
    <w:rsid w:val="001271A9"/>
    <w:rsid w:val="00127611"/>
    <w:rsid w:val="00130F2B"/>
    <w:rsid w:val="00140997"/>
    <w:rsid w:val="00144C4B"/>
    <w:rsid w:val="00146F80"/>
    <w:rsid w:val="00147CE0"/>
    <w:rsid w:val="00155800"/>
    <w:rsid w:val="0016330B"/>
    <w:rsid w:val="00165FBB"/>
    <w:rsid w:val="00166C40"/>
    <w:rsid w:val="0017258E"/>
    <w:rsid w:val="00172A27"/>
    <w:rsid w:val="0018032F"/>
    <w:rsid w:val="001814E3"/>
    <w:rsid w:val="001874AD"/>
    <w:rsid w:val="00196D19"/>
    <w:rsid w:val="001A12F2"/>
    <w:rsid w:val="001A6FEB"/>
    <w:rsid w:val="001B014D"/>
    <w:rsid w:val="001B540D"/>
    <w:rsid w:val="001B66DA"/>
    <w:rsid w:val="001D35D8"/>
    <w:rsid w:val="001D3E59"/>
    <w:rsid w:val="001E0B99"/>
    <w:rsid w:val="001E1297"/>
    <w:rsid w:val="001F047D"/>
    <w:rsid w:val="001F3A82"/>
    <w:rsid w:val="001F5595"/>
    <w:rsid w:val="001F6FEF"/>
    <w:rsid w:val="001F79E6"/>
    <w:rsid w:val="00203CF2"/>
    <w:rsid w:val="0020606E"/>
    <w:rsid w:val="00207EA1"/>
    <w:rsid w:val="00207EC7"/>
    <w:rsid w:val="002103F0"/>
    <w:rsid w:val="00211875"/>
    <w:rsid w:val="002137B0"/>
    <w:rsid w:val="0022270A"/>
    <w:rsid w:val="002227F0"/>
    <w:rsid w:val="002359AB"/>
    <w:rsid w:val="002377F1"/>
    <w:rsid w:val="00237C9C"/>
    <w:rsid w:val="00242D8D"/>
    <w:rsid w:val="00245853"/>
    <w:rsid w:val="00253317"/>
    <w:rsid w:val="00256082"/>
    <w:rsid w:val="002609D0"/>
    <w:rsid w:val="00261A33"/>
    <w:rsid w:val="002626AC"/>
    <w:rsid w:val="00263081"/>
    <w:rsid w:val="00274C4C"/>
    <w:rsid w:val="0027681E"/>
    <w:rsid w:val="00277202"/>
    <w:rsid w:val="00281635"/>
    <w:rsid w:val="00283D60"/>
    <w:rsid w:val="00285D40"/>
    <w:rsid w:val="00293B54"/>
    <w:rsid w:val="00294BBB"/>
    <w:rsid w:val="002A0A45"/>
    <w:rsid w:val="002A1801"/>
    <w:rsid w:val="002A2554"/>
    <w:rsid w:val="002B3103"/>
    <w:rsid w:val="002B34C9"/>
    <w:rsid w:val="002B42B9"/>
    <w:rsid w:val="002C0B0A"/>
    <w:rsid w:val="002C15F7"/>
    <w:rsid w:val="002C4CA1"/>
    <w:rsid w:val="002D08E1"/>
    <w:rsid w:val="002D4E35"/>
    <w:rsid w:val="002E0222"/>
    <w:rsid w:val="002E1AF9"/>
    <w:rsid w:val="002E6CD9"/>
    <w:rsid w:val="002E70ED"/>
    <w:rsid w:val="002F020B"/>
    <w:rsid w:val="002F112E"/>
    <w:rsid w:val="002F4596"/>
    <w:rsid w:val="002F7094"/>
    <w:rsid w:val="002F712A"/>
    <w:rsid w:val="003010CF"/>
    <w:rsid w:val="003027E9"/>
    <w:rsid w:val="00305EC5"/>
    <w:rsid w:val="0031637E"/>
    <w:rsid w:val="00326764"/>
    <w:rsid w:val="00341099"/>
    <w:rsid w:val="003417AA"/>
    <w:rsid w:val="003445FF"/>
    <w:rsid w:val="00344CA8"/>
    <w:rsid w:val="00345C94"/>
    <w:rsid w:val="00354674"/>
    <w:rsid w:val="00354FF0"/>
    <w:rsid w:val="00362597"/>
    <w:rsid w:val="00371B7B"/>
    <w:rsid w:val="0037231C"/>
    <w:rsid w:val="003819F0"/>
    <w:rsid w:val="00390300"/>
    <w:rsid w:val="0039042F"/>
    <w:rsid w:val="003A12E7"/>
    <w:rsid w:val="003A5B09"/>
    <w:rsid w:val="003B2DC9"/>
    <w:rsid w:val="003B45BB"/>
    <w:rsid w:val="003D2CDC"/>
    <w:rsid w:val="003D71D8"/>
    <w:rsid w:val="003D7F70"/>
    <w:rsid w:val="003E110F"/>
    <w:rsid w:val="003E247C"/>
    <w:rsid w:val="003E34E1"/>
    <w:rsid w:val="003E4EEE"/>
    <w:rsid w:val="003E51F5"/>
    <w:rsid w:val="003E64FB"/>
    <w:rsid w:val="003E7A52"/>
    <w:rsid w:val="003F1DAF"/>
    <w:rsid w:val="003F2A09"/>
    <w:rsid w:val="003F40F9"/>
    <w:rsid w:val="00410AB5"/>
    <w:rsid w:val="00410E62"/>
    <w:rsid w:val="004129ED"/>
    <w:rsid w:val="004172B8"/>
    <w:rsid w:val="0041742A"/>
    <w:rsid w:val="004205BA"/>
    <w:rsid w:val="00423D86"/>
    <w:rsid w:val="00427F69"/>
    <w:rsid w:val="004308D7"/>
    <w:rsid w:val="004344CF"/>
    <w:rsid w:val="00440E1D"/>
    <w:rsid w:val="004436D3"/>
    <w:rsid w:val="00444FD7"/>
    <w:rsid w:val="00445E59"/>
    <w:rsid w:val="00460AAA"/>
    <w:rsid w:val="00462ED6"/>
    <w:rsid w:val="004657F3"/>
    <w:rsid w:val="00473E62"/>
    <w:rsid w:val="004764C3"/>
    <w:rsid w:val="00486204"/>
    <w:rsid w:val="00490D96"/>
    <w:rsid w:val="00495EA5"/>
    <w:rsid w:val="00496A32"/>
    <w:rsid w:val="004A5B9A"/>
    <w:rsid w:val="004B3D56"/>
    <w:rsid w:val="004B509B"/>
    <w:rsid w:val="004B5C76"/>
    <w:rsid w:val="004C5391"/>
    <w:rsid w:val="004C77D6"/>
    <w:rsid w:val="004C7D3D"/>
    <w:rsid w:val="004D1C9B"/>
    <w:rsid w:val="004E0499"/>
    <w:rsid w:val="004E7BAA"/>
    <w:rsid w:val="004E7BCF"/>
    <w:rsid w:val="004F064D"/>
    <w:rsid w:val="00502C7C"/>
    <w:rsid w:val="00511A49"/>
    <w:rsid w:val="00512B13"/>
    <w:rsid w:val="00525B7A"/>
    <w:rsid w:val="0053312F"/>
    <w:rsid w:val="00533A43"/>
    <w:rsid w:val="00534497"/>
    <w:rsid w:val="00536788"/>
    <w:rsid w:val="00536CE9"/>
    <w:rsid w:val="005453F0"/>
    <w:rsid w:val="00551C0A"/>
    <w:rsid w:val="00555F12"/>
    <w:rsid w:val="005575BB"/>
    <w:rsid w:val="00566D60"/>
    <w:rsid w:val="005679EB"/>
    <w:rsid w:val="0058452B"/>
    <w:rsid w:val="00584738"/>
    <w:rsid w:val="00586CBD"/>
    <w:rsid w:val="005870C4"/>
    <w:rsid w:val="0059711E"/>
    <w:rsid w:val="005A1E0F"/>
    <w:rsid w:val="005A2CFB"/>
    <w:rsid w:val="005A379E"/>
    <w:rsid w:val="005A3C37"/>
    <w:rsid w:val="005A479A"/>
    <w:rsid w:val="005A6AF2"/>
    <w:rsid w:val="005B4E28"/>
    <w:rsid w:val="005B5C93"/>
    <w:rsid w:val="005B78D3"/>
    <w:rsid w:val="005C1C1A"/>
    <w:rsid w:val="005C57A7"/>
    <w:rsid w:val="005C6BBA"/>
    <w:rsid w:val="005C6D42"/>
    <w:rsid w:val="005C7693"/>
    <w:rsid w:val="005C7F35"/>
    <w:rsid w:val="005D1A71"/>
    <w:rsid w:val="005D6571"/>
    <w:rsid w:val="005E5328"/>
    <w:rsid w:val="005F1C77"/>
    <w:rsid w:val="005F1F67"/>
    <w:rsid w:val="005F2324"/>
    <w:rsid w:val="005F2B6C"/>
    <w:rsid w:val="005F4026"/>
    <w:rsid w:val="00606DA0"/>
    <w:rsid w:val="006100DF"/>
    <w:rsid w:val="0061288F"/>
    <w:rsid w:val="00613EF7"/>
    <w:rsid w:val="00617A95"/>
    <w:rsid w:val="00617F57"/>
    <w:rsid w:val="0062517F"/>
    <w:rsid w:val="006258C1"/>
    <w:rsid w:val="00635636"/>
    <w:rsid w:val="0063697F"/>
    <w:rsid w:val="006403B4"/>
    <w:rsid w:val="00653445"/>
    <w:rsid w:val="0065629B"/>
    <w:rsid w:val="00656EE7"/>
    <w:rsid w:val="00662F48"/>
    <w:rsid w:val="00664EFD"/>
    <w:rsid w:val="00666671"/>
    <w:rsid w:val="006674B2"/>
    <w:rsid w:val="00673DE6"/>
    <w:rsid w:val="00677221"/>
    <w:rsid w:val="00685695"/>
    <w:rsid w:val="00685BE8"/>
    <w:rsid w:val="00686825"/>
    <w:rsid w:val="006B1BEA"/>
    <w:rsid w:val="006B4A8F"/>
    <w:rsid w:val="006C2BCC"/>
    <w:rsid w:val="006C4B9C"/>
    <w:rsid w:val="006C7800"/>
    <w:rsid w:val="006D56C0"/>
    <w:rsid w:val="006E1BE7"/>
    <w:rsid w:val="006E4A0C"/>
    <w:rsid w:val="006F6DDB"/>
    <w:rsid w:val="00700D93"/>
    <w:rsid w:val="00702343"/>
    <w:rsid w:val="007031C0"/>
    <w:rsid w:val="00705911"/>
    <w:rsid w:val="0071425C"/>
    <w:rsid w:val="00720501"/>
    <w:rsid w:val="007221E6"/>
    <w:rsid w:val="0072384D"/>
    <w:rsid w:val="00726377"/>
    <w:rsid w:val="00735599"/>
    <w:rsid w:val="00736EAF"/>
    <w:rsid w:val="00743958"/>
    <w:rsid w:val="00746BD2"/>
    <w:rsid w:val="00753C64"/>
    <w:rsid w:val="00755ED4"/>
    <w:rsid w:val="00756DC1"/>
    <w:rsid w:val="007575E1"/>
    <w:rsid w:val="0076316C"/>
    <w:rsid w:val="007638BD"/>
    <w:rsid w:val="00766F29"/>
    <w:rsid w:val="00771112"/>
    <w:rsid w:val="00776F0D"/>
    <w:rsid w:val="007879E1"/>
    <w:rsid w:val="0079116C"/>
    <w:rsid w:val="00792418"/>
    <w:rsid w:val="00792C19"/>
    <w:rsid w:val="007A5C73"/>
    <w:rsid w:val="007A5F91"/>
    <w:rsid w:val="007A600B"/>
    <w:rsid w:val="007A6D5C"/>
    <w:rsid w:val="007C0CCB"/>
    <w:rsid w:val="007C1680"/>
    <w:rsid w:val="007C1E81"/>
    <w:rsid w:val="007C6382"/>
    <w:rsid w:val="007C7F5F"/>
    <w:rsid w:val="007D2283"/>
    <w:rsid w:val="007D68F2"/>
    <w:rsid w:val="007E009E"/>
    <w:rsid w:val="007E7997"/>
    <w:rsid w:val="00801C7D"/>
    <w:rsid w:val="00801DEF"/>
    <w:rsid w:val="00802BC0"/>
    <w:rsid w:val="00804F28"/>
    <w:rsid w:val="00806202"/>
    <w:rsid w:val="00816B17"/>
    <w:rsid w:val="00820456"/>
    <w:rsid w:val="008304A5"/>
    <w:rsid w:val="00835F5D"/>
    <w:rsid w:val="00845EC3"/>
    <w:rsid w:val="0085119C"/>
    <w:rsid w:val="008603B6"/>
    <w:rsid w:val="00876FE3"/>
    <w:rsid w:val="00887C14"/>
    <w:rsid w:val="00894AFA"/>
    <w:rsid w:val="008A190E"/>
    <w:rsid w:val="008B268F"/>
    <w:rsid w:val="008B5C66"/>
    <w:rsid w:val="008C36AB"/>
    <w:rsid w:val="008D5D1A"/>
    <w:rsid w:val="008D7ADF"/>
    <w:rsid w:val="008E3FBA"/>
    <w:rsid w:val="008E448F"/>
    <w:rsid w:val="008E4A20"/>
    <w:rsid w:val="008E7952"/>
    <w:rsid w:val="009045BC"/>
    <w:rsid w:val="0091207C"/>
    <w:rsid w:val="00912651"/>
    <w:rsid w:val="00913811"/>
    <w:rsid w:val="00913C27"/>
    <w:rsid w:val="00927937"/>
    <w:rsid w:val="00932A24"/>
    <w:rsid w:val="009354FD"/>
    <w:rsid w:val="00946C50"/>
    <w:rsid w:val="00957D36"/>
    <w:rsid w:val="00966491"/>
    <w:rsid w:val="009812C0"/>
    <w:rsid w:val="00984C18"/>
    <w:rsid w:val="00993345"/>
    <w:rsid w:val="0099502D"/>
    <w:rsid w:val="00997516"/>
    <w:rsid w:val="00997FBC"/>
    <w:rsid w:val="009A107B"/>
    <w:rsid w:val="009A185B"/>
    <w:rsid w:val="009A207D"/>
    <w:rsid w:val="009A2530"/>
    <w:rsid w:val="009A5693"/>
    <w:rsid w:val="009A5EFB"/>
    <w:rsid w:val="009A6035"/>
    <w:rsid w:val="009B1EFB"/>
    <w:rsid w:val="009C497D"/>
    <w:rsid w:val="009C5F8A"/>
    <w:rsid w:val="009D66B3"/>
    <w:rsid w:val="009D73BD"/>
    <w:rsid w:val="009E197B"/>
    <w:rsid w:val="009E3C66"/>
    <w:rsid w:val="009E4CFB"/>
    <w:rsid w:val="009E4E60"/>
    <w:rsid w:val="009E7372"/>
    <w:rsid w:val="009F79DB"/>
    <w:rsid w:val="00A03554"/>
    <w:rsid w:val="00A041EF"/>
    <w:rsid w:val="00A10C6B"/>
    <w:rsid w:val="00A13F6C"/>
    <w:rsid w:val="00A17169"/>
    <w:rsid w:val="00A20C22"/>
    <w:rsid w:val="00A211D0"/>
    <w:rsid w:val="00A27C5E"/>
    <w:rsid w:val="00A3001B"/>
    <w:rsid w:val="00A32085"/>
    <w:rsid w:val="00A32CA4"/>
    <w:rsid w:val="00A3301F"/>
    <w:rsid w:val="00A43711"/>
    <w:rsid w:val="00A47539"/>
    <w:rsid w:val="00A47F03"/>
    <w:rsid w:val="00A47F40"/>
    <w:rsid w:val="00A520AB"/>
    <w:rsid w:val="00A651D1"/>
    <w:rsid w:val="00A73490"/>
    <w:rsid w:val="00A777E9"/>
    <w:rsid w:val="00A82549"/>
    <w:rsid w:val="00A8461A"/>
    <w:rsid w:val="00A855E2"/>
    <w:rsid w:val="00A97937"/>
    <w:rsid w:val="00AA241A"/>
    <w:rsid w:val="00AA2855"/>
    <w:rsid w:val="00AA637E"/>
    <w:rsid w:val="00AB0226"/>
    <w:rsid w:val="00AB11E5"/>
    <w:rsid w:val="00AB1C3F"/>
    <w:rsid w:val="00AC79B0"/>
    <w:rsid w:val="00AD0A71"/>
    <w:rsid w:val="00AE5992"/>
    <w:rsid w:val="00AF1DBE"/>
    <w:rsid w:val="00AF374B"/>
    <w:rsid w:val="00AF4C42"/>
    <w:rsid w:val="00AF659A"/>
    <w:rsid w:val="00B048DC"/>
    <w:rsid w:val="00B04B69"/>
    <w:rsid w:val="00B0694D"/>
    <w:rsid w:val="00B2115B"/>
    <w:rsid w:val="00B31B69"/>
    <w:rsid w:val="00B3341D"/>
    <w:rsid w:val="00B36DB8"/>
    <w:rsid w:val="00B36F9C"/>
    <w:rsid w:val="00B37BE7"/>
    <w:rsid w:val="00B40C12"/>
    <w:rsid w:val="00B47851"/>
    <w:rsid w:val="00B64BB2"/>
    <w:rsid w:val="00B70958"/>
    <w:rsid w:val="00B75976"/>
    <w:rsid w:val="00B76C0C"/>
    <w:rsid w:val="00B8224F"/>
    <w:rsid w:val="00B84100"/>
    <w:rsid w:val="00B876D2"/>
    <w:rsid w:val="00B90ABB"/>
    <w:rsid w:val="00B95747"/>
    <w:rsid w:val="00B97BE0"/>
    <w:rsid w:val="00BA111F"/>
    <w:rsid w:val="00BA6DC7"/>
    <w:rsid w:val="00BA722E"/>
    <w:rsid w:val="00BB19A6"/>
    <w:rsid w:val="00BB3BD7"/>
    <w:rsid w:val="00BC0370"/>
    <w:rsid w:val="00BC23BE"/>
    <w:rsid w:val="00BC78E5"/>
    <w:rsid w:val="00BD489A"/>
    <w:rsid w:val="00BE0F1C"/>
    <w:rsid w:val="00BE2630"/>
    <w:rsid w:val="00BE5CC8"/>
    <w:rsid w:val="00BF3B70"/>
    <w:rsid w:val="00BF7088"/>
    <w:rsid w:val="00C02367"/>
    <w:rsid w:val="00C05B4A"/>
    <w:rsid w:val="00C10DD6"/>
    <w:rsid w:val="00C14E27"/>
    <w:rsid w:val="00C15D0C"/>
    <w:rsid w:val="00C161D3"/>
    <w:rsid w:val="00C16635"/>
    <w:rsid w:val="00C224CB"/>
    <w:rsid w:val="00C30EED"/>
    <w:rsid w:val="00C334CA"/>
    <w:rsid w:val="00C351CC"/>
    <w:rsid w:val="00C376F6"/>
    <w:rsid w:val="00C43667"/>
    <w:rsid w:val="00C47395"/>
    <w:rsid w:val="00C553CA"/>
    <w:rsid w:val="00C632EE"/>
    <w:rsid w:val="00C63AD3"/>
    <w:rsid w:val="00C64A86"/>
    <w:rsid w:val="00C7377D"/>
    <w:rsid w:val="00C74DBF"/>
    <w:rsid w:val="00C77B39"/>
    <w:rsid w:val="00C80082"/>
    <w:rsid w:val="00C81870"/>
    <w:rsid w:val="00C82EAE"/>
    <w:rsid w:val="00C951E8"/>
    <w:rsid w:val="00CA609F"/>
    <w:rsid w:val="00CB0AFA"/>
    <w:rsid w:val="00CB2C4F"/>
    <w:rsid w:val="00CB2D1A"/>
    <w:rsid w:val="00CC1C9B"/>
    <w:rsid w:val="00CC2F6F"/>
    <w:rsid w:val="00CC6C6A"/>
    <w:rsid w:val="00CC6E25"/>
    <w:rsid w:val="00CE177D"/>
    <w:rsid w:val="00CE7CF9"/>
    <w:rsid w:val="00CF7A5A"/>
    <w:rsid w:val="00D00C18"/>
    <w:rsid w:val="00D02B72"/>
    <w:rsid w:val="00D05EFD"/>
    <w:rsid w:val="00D11C30"/>
    <w:rsid w:val="00D13978"/>
    <w:rsid w:val="00D14E62"/>
    <w:rsid w:val="00D1561A"/>
    <w:rsid w:val="00D2602F"/>
    <w:rsid w:val="00D35585"/>
    <w:rsid w:val="00D35FB9"/>
    <w:rsid w:val="00D366F6"/>
    <w:rsid w:val="00D430EB"/>
    <w:rsid w:val="00D4388D"/>
    <w:rsid w:val="00D43B7C"/>
    <w:rsid w:val="00D44B77"/>
    <w:rsid w:val="00D46DF9"/>
    <w:rsid w:val="00D52363"/>
    <w:rsid w:val="00D56B77"/>
    <w:rsid w:val="00D74801"/>
    <w:rsid w:val="00D77141"/>
    <w:rsid w:val="00D805BD"/>
    <w:rsid w:val="00D80F09"/>
    <w:rsid w:val="00D819E3"/>
    <w:rsid w:val="00D82FD4"/>
    <w:rsid w:val="00D83E37"/>
    <w:rsid w:val="00D85352"/>
    <w:rsid w:val="00D92F23"/>
    <w:rsid w:val="00D9338F"/>
    <w:rsid w:val="00D93838"/>
    <w:rsid w:val="00DA42D0"/>
    <w:rsid w:val="00DA4E0F"/>
    <w:rsid w:val="00DB7E66"/>
    <w:rsid w:val="00DC45F3"/>
    <w:rsid w:val="00DC47C6"/>
    <w:rsid w:val="00DC7FE5"/>
    <w:rsid w:val="00DD3176"/>
    <w:rsid w:val="00DE4368"/>
    <w:rsid w:val="00DE52BB"/>
    <w:rsid w:val="00DE594A"/>
    <w:rsid w:val="00DE62B7"/>
    <w:rsid w:val="00DF25DF"/>
    <w:rsid w:val="00DF480C"/>
    <w:rsid w:val="00DF59F7"/>
    <w:rsid w:val="00E001E1"/>
    <w:rsid w:val="00E03F92"/>
    <w:rsid w:val="00E05155"/>
    <w:rsid w:val="00E10BD0"/>
    <w:rsid w:val="00E138B8"/>
    <w:rsid w:val="00E2140D"/>
    <w:rsid w:val="00E3288B"/>
    <w:rsid w:val="00E35249"/>
    <w:rsid w:val="00E44CEA"/>
    <w:rsid w:val="00E5464A"/>
    <w:rsid w:val="00E557EE"/>
    <w:rsid w:val="00E55A11"/>
    <w:rsid w:val="00E64123"/>
    <w:rsid w:val="00E675A1"/>
    <w:rsid w:val="00E71183"/>
    <w:rsid w:val="00E7136D"/>
    <w:rsid w:val="00E71A08"/>
    <w:rsid w:val="00E72164"/>
    <w:rsid w:val="00E75BFA"/>
    <w:rsid w:val="00E7719B"/>
    <w:rsid w:val="00E80194"/>
    <w:rsid w:val="00E80710"/>
    <w:rsid w:val="00E84E19"/>
    <w:rsid w:val="00E93DDF"/>
    <w:rsid w:val="00EA1BFE"/>
    <w:rsid w:val="00EA41C4"/>
    <w:rsid w:val="00EA5D07"/>
    <w:rsid w:val="00EB089C"/>
    <w:rsid w:val="00EC030B"/>
    <w:rsid w:val="00EC3276"/>
    <w:rsid w:val="00EC461F"/>
    <w:rsid w:val="00EC5B09"/>
    <w:rsid w:val="00EC65CF"/>
    <w:rsid w:val="00ED2A87"/>
    <w:rsid w:val="00EE02CF"/>
    <w:rsid w:val="00EE10AF"/>
    <w:rsid w:val="00EE2D78"/>
    <w:rsid w:val="00EE35D7"/>
    <w:rsid w:val="00EE43CC"/>
    <w:rsid w:val="00EE4FCD"/>
    <w:rsid w:val="00EE523F"/>
    <w:rsid w:val="00EE6CA7"/>
    <w:rsid w:val="00EF44DF"/>
    <w:rsid w:val="00EF5717"/>
    <w:rsid w:val="00EF61FA"/>
    <w:rsid w:val="00F014B3"/>
    <w:rsid w:val="00F01E53"/>
    <w:rsid w:val="00F044AE"/>
    <w:rsid w:val="00F0767A"/>
    <w:rsid w:val="00F12BA5"/>
    <w:rsid w:val="00F16EA7"/>
    <w:rsid w:val="00F255CF"/>
    <w:rsid w:val="00F32E91"/>
    <w:rsid w:val="00F40FA4"/>
    <w:rsid w:val="00F41B4E"/>
    <w:rsid w:val="00F44E22"/>
    <w:rsid w:val="00F50897"/>
    <w:rsid w:val="00F51D87"/>
    <w:rsid w:val="00F7546D"/>
    <w:rsid w:val="00F842BF"/>
    <w:rsid w:val="00F8443A"/>
    <w:rsid w:val="00F86438"/>
    <w:rsid w:val="00F946D8"/>
    <w:rsid w:val="00F974A0"/>
    <w:rsid w:val="00F97CC6"/>
    <w:rsid w:val="00FA0F6A"/>
    <w:rsid w:val="00FB46E1"/>
    <w:rsid w:val="00FB4990"/>
    <w:rsid w:val="00FC4D1D"/>
    <w:rsid w:val="00FD58D3"/>
    <w:rsid w:val="00FD5AB3"/>
    <w:rsid w:val="00FE7BD9"/>
    <w:rsid w:val="010B728D"/>
    <w:rsid w:val="01202CC1"/>
    <w:rsid w:val="01FC5FCC"/>
    <w:rsid w:val="0A0710C9"/>
    <w:rsid w:val="0C210C00"/>
    <w:rsid w:val="114F587D"/>
    <w:rsid w:val="11581E4B"/>
    <w:rsid w:val="151B4910"/>
    <w:rsid w:val="177F0981"/>
    <w:rsid w:val="1A804D9E"/>
    <w:rsid w:val="1EA64683"/>
    <w:rsid w:val="1F401883"/>
    <w:rsid w:val="248F4E23"/>
    <w:rsid w:val="25E602A5"/>
    <w:rsid w:val="27CC2790"/>
    <w:rsid w:val="2B3C72FC"/>
    <w:rsid w:val="2BE27F2E"/>
    <w:rsid w:val="2EE432E0"/>
    <w:rsid w:val="2F48012D"/>
    <w:rsid w:val="309A1891"/>
    <w:rsid w:val="314D46E6"/>
    <w:rsid w:val="33060589"/>
    <w:rsid w:val="33AC7A2C"/>
    <w:rsid w:val="34376337"/>
    <w:rsid w:val="34CC3529"/>
    <w:rsid w:val="37444BC3"/>
    <w:rsid w:val="3ADF2526"/>
    <w:rsid w:val="3E296A4C"/>
    <w:rsid w:val="3FAE395C"/>
    <w:rsid w:val="430D3509"/>
    <w:rsid w:val="45D971CF"/>
    <w:rsid w:val="469D20E2"/>
    <w:rsid w:val="484C626B"/>
    <w:rsid w:val="496B2C40"/>
    <w:rsid w:val="4A4F27DB"/>
    <w:rsid w:val="4C020A98"/>
    <w:rsid w:val="50D37E64"/>
    <w:rsid w:val="51583F33"/>
    <w:rsid w:val="52E03507"/>
    <w:rsid w:val="539B21D4"/>
    <w:rsid w:val="58174E10"/>
    <w:rsid w:val="58EC27F2"/>
    <w:rsid w:val="5AAF04AC"/>
    <w:rsid w:val="5B5B7F93"/>
    <w:rsid w:val="5CE44D4B"/>
    <w:rsid w:val="5E7C4DFA"/>
    <w:rsid w:val="5EF95EB4"/>
    <w:rsid w:val="613D6044"/>
    <w:rsid w:val="637C0128"/>
    <w:rsid w:val="6D52739D"/>
    <w:rsid w:val="70BF5EE0"/>
    <w:rsid w:val="74250EBB"/>
    <w:rsid w:val="74E95642"/>
    <w:rsid w:val="789B3290"/>
    <w:rsid w:val="7E4858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2"/>
    <w:qFormat/>
    <w:uiPriority w:val="9"/>
    <w:pPr>
      <w:keepNext/>
      <w:keepLines/>
      <w:spacing w:before="340" w:after="330" w:line="576" w:lineRule="auto"/>
      <w:outlineLvl w:val="0"/>
    </w:pPr>
    <w:rPr>
      <w:rFonts w:ascii="Calibri" w:hAnsi="Calibri"/>
      <w:b/>
      <w:bCs/>
      <w:kern w:val="44"/>
      <w:sz w:val="44"/>
      <w:szCs w:val="44"/>
      <w:lang w:val="zh-CN"/>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3"/>
    <w:semiHidden/>
    <w:unhideWhenUsed/>
    <w:qFormat/>
    <w:uiPriority w:val="99"/>
    <w:pPr>
      <w:jc w:val="left"/>
    </w:pPr>
  </w:style>
  <w:style w:type="paragraph" w:styleId="4">
    <w:name w:val="Plain Text"/>
    <w:basedOn w:val="1"/>
    <w:qFormat/>
    <w:uiPriority w:val="0"/>
    <w:rPr>
      <w:rFonts w:ascii="宋体" w:hAnsi="Courier New"/>
      <w:sz w:val="20"/>
    </w:rPr>
  </w:style>
  <w:style w:type="paragraph" w:styleId="5">
    <w:name w:val="Balloon Text"/>
    <w:basedOn w:val="1"/>
    <w:link w:val="17"/>
    <w:unhideWhenUsed/>
    <w:qFormat/>
    <w:uiPriority w:val="99"/>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link w:val="1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9">
    <w:name w:val="annotation subject"/>
    <w:basedOn w:val="3"/>
    <w:next w:val="3"/>
    <w:link w:val="24"/>
    <w:semiHidden/>
    <w:unhideWhenUsed/>
    <w:qFormat/>
    <w:uiPriority w:val="99"/>
    <w:rPr>
      <w:b/>
      <w:bCs/>
    </w:rPr>
  </w:style>
  <w:style w:type="table" w:styleId="11">
    <w:name w:val="Table Grid"/>
    <w:basedOn w:val="1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rPr>
  </w:style>
  <w:style w:type="character" w:styleId="14">
    <w:name w:val="Hyperlink"/>
    <w:basedOn w:val="12"/>
    <w:semiHidden/>
    <w:unhideWhenUsed/>
    <w:qFormat/>
    <w:uiPriority w:val="0"/>
    <w:rPr>
      <w:color w:val="0000FF"/>
      <w:u w:val="single"/>
    </w:rPr>
  </w:style>
  <w:style w:type="character" w:styleId="15">
    <w:name w:val="annotation reference"/>
    <w:basedOn w:val="12"/>
    <w:semiHidden/>
    <w:unhideWhenUsed/>
    <w:qFormat/>
    <w:uiPriority w:val="99"/>
    <w:rPr>
      <w:sz w:val="21"/>
      <w:szCs w:val="21"/>
    </w:rPr>
  </w:style>
  <w:style w:type="character" w:customStyle="1" w:styleId="16">
    <w:name w:val="页眉 字符"/>
    <w:basedOn w:val="12"/>
    <w:link w:val="7"/>
    <w:qFormat/>
    <w:uiPriority w:val="99"/>
    <w:rPr>
      <w:kern w:val="2"/>
      <w:sz w:val="18"/>
    </w:rPr>
  </w:style>
  <w:style w:type="character" w:customStyle="1" w:styleId="17">
    <w:name w:val="批注框文本 字符"/>
    <w:basedOn w:val="12"/>
    <w:link w:val="5"/>
    <w:semiHidden/>
    <w:qFormat/>
    <w:uiPriority w:val="99"/>
    <w:rPr>
      <w:kern w:val="2"/>
      <w:sz w:val="18"/>
      <w:szCs w:val="18"/>
    </w:rPr>
  </w:style>
  <w:style w:type="paragraph" w:customStyle="1" w:styleId="18">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9">
    <w:name w:val="页脚 字符"/>
    <w:basedOn w:val="12"/>
    <w:link w:val="6"/>
    <w:qFormat/>
    <w:uiPriority w:val="99"/>
    <w:rPr>
      <w:kern w:val="2"/>
      <w:sz w:val="18"/>
    </w:rPr>
  </w:style>
  <w:style w:type="paragraph" w:customStyle="1" w:styleId="20">
    <w:name w:val="xl35"/>
    <w:basedOn w:val="1"/>
    <w:qFormat/>
    <w:uiPriority w:val="0"/>
    <w:pPr>
      <w:widowControl/>
      <w:spacing w:before="100" w:beforeAutospacing="1" w:after="100" w:afterAutospacing="1"/>
      <w:jc w:val="left"/>
    </w:pPr>
    <w:rPr>
      <w:rFonts w:ascii="宋体" w:hAnsi="宋体" w:cs="宋体"/>
      <w:kern w:val="0"/>
      <w:sz w:val="24"/>
      <w:szCs w:val="24"/>
    </w:rPr>
  </w:style>
  <w:style w:type="paragraph" w:styleId="21">
    <w:name w:val="List Paragraph"/>
    <w:basedOn w:val="1"/>
    <w:qFormat/>
    <w:uiPriority w:val="99"/>
    <w:pPr>
      <w:ind w:firstLine="420" w:firstLineChars="200"/>
    </w:pPr>
  </w:style>
  <w:style w:type="character" w:customStyle="1" w:styleId="22">
    <w:name w:val="标题 1 字符"/>
    <w:basedOn w:val="12"/>
    <w:link w:val="2"/>
    <w:qFormat/>
    <w:uiPriority w:val="9"/>
    <w:rPr>
      <w:rFonts w:ascii="Calibri" w:hAnsi="Calibri"/>
      <w:b/>
      <w:bCs/>
      <w:kern w:val="44"/>
      <w:sz w:val="44"/>
      <w:szCs w:val="44"/>
      <w:lang w:val="zh-CN" w:eastAsia="zh-CN"/>
    </w:rPr>
  </w:style>
  <w:style w:type="character" w:customStyle="1" w:styleId="23">
    <w:name w:val="批注文字 字符"/>
    <w:basedOn w:val="12"/>
    <w:link w:val="3"/>
    <w:semiHidden/>
    <w:qFormat/>
    <w:uiPriority w:val="99"/>
    <w:rPr>
      <w:kern w:val="2"/>
      <w:sz w:val="21"/>
    </w:rPr>
  </w:style>
  <w:style w:type="character" w:customStyle="1" w:styleId="24">
    <w:name w:val="批注主题 字符"/>
    <w:basedOn w:val="23"/>
    <w:link w:val="9"/>
    <w:semiHidden/>
    <w:qFormat/>
    <w:uiPriority w:val="99"/>
    <w:rPr>
      <w:b/>
      <w:bCs/>
      <w:kern w:val="2"/>
      <w:sz w:val="21"/>
    </w:rPr>
  </w:style>
  <w:style w:type="paragraph" w:customStyle="1" w:styleId="25">
    <w:name w:val="样式2"/>
    <w:basedOn w:val="1"/>
    <w:qFormat/>
    <w:uiPriority w:val="99"/>
    <w:pPr>
      <w:spacing w:line="300" w:lineRule="auto"/>
      <w:jc w:val="center"/>
      <w:outlineLvl w:val="0"/>
    </w:pPr>
    <w:rPr>
      <w:rFonts w:ascii="宋体"/>
      <w:b/>
      <w:sz w:val="20"/>
    </w:rPr>
  </w:style>
  <w:style w:type="paragraph" w:customStyle="1" w:styleId="26">
    <w:name w:val="列出段落1"/>
    <w:basedOn w:val="1"/>
    <w:qFormat/>
    <w:uiPriority w:val="34"/>
    <w:pPr>
      <w:ind w:firstLine="420" w:firstLineChars="200"/>
    </w:pPr>
  </w:style>
  <w:style w:type="character" w:customStyle="1" w:styleId="27">
    <w:name w:val="font31"/>
    <w:basedOn w:val="12"/>
    <w:qFormat/>
    <w:uiPriority w:val="0"/>
    <w:rPr>
      <w:rFonts w:hint="eastAsia" w:ascii="微软雅黑" w:hAnsi="微软雅黑" w:eastAsia="微软雅黑" w:cs="微软雅黑"/>
      <w:color w:val="000000"/>
      <w:sz w:val="18"/>
      <w:szCs w:val="18"/>
      <w:u w:val="none"/>
    </w:rPr>
  </w:style>
  <w:style w:type="character" w:customStyle="1" w:styleId="28">
    <w:name w:val="font51"/>
    <w:basedOn w:val="12"/>
    <w:qFormat/>
    <w:uiPriority w:val="0"/>
    <w:rPr>
      <w:rFonts w:hint="eastAsia" w:ascii="微软雅黑" w:hAnsi="微软雅黑" w:eastAsia="微软雅黑" w:cs="微软雅黑"/>
      <w:color w:val="000000"/>
      <w:sz w:val="18"/>
      <w:szCs w:val="18"/>
      <w:u w:val="none"/>
      <w:vertAlign w:val="superscript"/>
    </w:rPr>
  </w:style>
  <w:style w:type="paragraph" w:customStyle="1" w:styleId="29">
    <w:name w:val="AONormal"/>
    <w:qFormat/>
    <w:uiPriority w:val="0"/>
    <w:pPr>
      <w:autoSpaceDE w:val="0"/>
      <w:autoSpaceDN w:val="0"/>
      <w:adjustRightInd w:val="0"/>
      <w:spacing w:line="260" w:lineRule="atLeast"/>
    </w:pPr>
    <w:rPr>
      <w:rFonts w:ascii="Times New Roman" w:hAnsi="Times New Roman" w:eastAsia="宋体" w:cs="Times New Roman"/>
      <w:sz w:val="22"/>
      <w:szCs w:val="22"/>
      <w:lang w:val="en-GB" w:eastAsia="zh-CN" w:bidi="ar-SA"/>
    </w:rPr>
  </w:style>
  <w:style w:type="paragraph" w:customStyle="1" w:styleId="30">
    <w:name w:val="Revision"/>
    <w:hidden/>
    <w:semiHidden/>
    <w:qFormat/>
    <w:uiPriority w:val="99"/>
    <w:rPr>
      <w:rFonts w:ascii="Times New Roman" w:hAnsi="Times New Roman" w:eastAsia="宋体" w:cs="Times New Roman"/>
      <w:kern w:val="2"/>
      <w:sz w:val="21"/>
      <w:lang w:val="en-US" w:eastAsia="zh-CN" w:bidi="ar-SA"/>
    </w:rPr>
  </w:style>
  <w:style w:type="character" w:customStyle="1" w:styleId="31">
    <w:name w:val="font61"/>
    <w:basedOn w:val="12"/>
    <w:qFormat/>
    <w:uiPriority w:val="0"/>
    <w:rPr>
      <w:rFonts w:hint="eastAsia" w:ascii="微软雅黑" w:hAnsi="微软雅黑" w:eastAsia="微软雅黑" w:cs="微软雅黑"/>
      <w:color w:val="000000"/>
      <w:sz w:val="18"/>
      <w:szCs w:val="18"/>
      <w:u w:val="none"/>
      <w:vertAlign w:val="superscript"/>
    </w:rPr>
  </w:style>
  <w:style w:type="character" w:customStyle="1" w:styleId="32">
    <w:name w:val="font81"/>
    <w:basedOn w:val="12"/>
    <w:qFormat/>
    <w:uiPriority w:val="0"/>
    <w:rPr>
      <w:rFonts w:hint="eastAsia" w:ascii="微软雅黑" w:hAnsi="微软雅黑" w:eastAsia="微软雅黑" w:cs="微软雅黑"/>
      <w:color w:val="000000"/>
      <w:sz w:val="18"/>
      <w:szCs w:val="1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haoxueru\Desktop\&#24120;&#29992;\&#27169;&#26495;\Word(&#27169;&#26495;&#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D6A251-0E1F-4796-AB5B-F199D543DFC2}">
  <ds:schemaRefs/>
</ds:datastoreItem>
</file>

<file path=docProps/app.xml><?xml version="1.0" encoding="utf-8"?>
<Properties xmlns="http://schemas.openxmlformats.org/officeDocument/2006/extended-properties" xmlns:vt="http://schemas.openxmlformats.org/officeDocument/2006/docPropsVTypes">
  <Template>Word(模板）.dotx</Template>
  <Company>微软中国</Company>
  <Pages>5</Pages>
  <Words>3604</Words>
  <Characters>3972</Characters>
  <Lines>33</Lines>
  <Paragraphs>9</Paragraphs>
  <TotalTime>35</TotalTime>
  <ScaleCrop>false</ScaleCrop>
  <LinksUpToDate>false</LinksUpToDate>
  <CharactersWithSpaces>4194</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2020-12-10T01:21:00Z</dcterms:created>
  <dc:creator>莫如我一般</dc:creator>
  <cp:lastModifiedBy>紫之罗兰</cp:lastModifiedBy>
  <cp:lastPrinted>2020-09-23T07:47:00Z</cp:lastPrinted>
  <dcterms:modified xsi:type="dcterms:W3CDTF">2026-02-27T00:28:12Z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A01FC855C18F4C2BA005DB57AB0FF800_13</vt:lpwstr>
  </property>
  <property fmtid="{D5CDD505-2E9C-101B-9397-08002B2CF9AE}" pid="4" name="KSOTemplateDocerSaveRecord">
    <vt:lpwstr>eyJoZGlkIjoiYmYzMWNiODIxZTY3MzY0ODM4N2UyMWQxY2NiNTVlMTkiLCJ1c2VySWQiOiIxNzE4NzA5MTA0In0=</vt:lpwstr>
  </property>
</Properties>
</file>