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3E6DB">
      <w:pPr>
        <w:pStyle w:val="14"/>
      </w:pPr>
      <w:r>
        <w:t>清华大学众秀大厦电力</w:t>
      </w:r>
      <w:r>
        <w:rPr>
          <w:rFonts w:hint="eastAsia"/>
          <w:lang w:val="en-US" w:eastAsia="zh-CN"/>
        </w:rPr>
        <w:t>增容改造</w:t>
      </w:r>
      <w:r>
        <w:t>设计</w:t>
      </w:r>
      <w:r>
        <w:rPr>
          <w:rFonts w:hint="eastAsia"/>
          <w:lang w:val="en-US" w:eastAsia="zh-CN"/>
        </w:rPr>
        <w:t>服务</w:t>
      </w:r>
      <w:r>
        <w:t>采购</w:t>
      </w:r>
    </w:p>
    <w:p w14:paraId="370F2D44">
      <w:pPr>
        <w:pStyle w:val="2"/>
        <w:widowControl/>
        <w:numPr>
          <w:ilvl w:val="0"/>
          <w:numId w:val="1"/>
        </w:numPr>
        <w:topLinePunct w:val="0"/>
        <w:ind w:left="0" w:leftChars="0" w:firstLine="0" w:firstLineChars="0"/>
        <w:rPr>
          <w:rFonts w:hint="eastAsia"/>
        </w:rPr>
      </w:pPr>
      <w:r>
        <w:t>项目</w:t>
      </w:r>
      <w:r>
        <w:rPr>
          <w:rFonts w:hint="eastAsia"/>
          <w:lang w:val="en-US" w:eastAsia="zh-CN"/>
        </w:rPr>
        <w:t>介绍</w:t>
      </w:r>
      <w:r>
        <w:t>：</w:t>
      </w:r>
    </w:p>
    <w:p w14:paraId="373BA943">
      <w:pPr>
        <w:pStyle w:val="11"/>
      </w:pPr>
      <w:r>
        <w:t>众秀大厦为超高层写字楼，总高度约230m。</w:t>
      </w:r>
    </w:p>
    <w:p w14:paraId="25F3F866">
      <w:pPr>
        <w:pStyle w:val="11"/>
      </w:pPr>
      <w:r>
        <w:t>地点：北京市朝阳区光华路乙10号院1号楼众秀大厦内。</w:t>
      </w:r>
    </w:p>
    <w:p w14:paraId="27A3355C">
      <w:pPr>
        <w:pStyle w:val="11"/>
        <w:rPr>
          <w:rFonts w:hint="default" w:eastAsia="宋体"/>
          <w:lang w:val="en-US" w:eastAsia="zh-CN"/>
        </w:rPr>
      </w:pPr>
      <w:r>
        <w:t>背景：</w:t>
      </w:r>
      <w:r>
        <w:rPr>
          <w:rFonts w:hint="eastAsia"/>
          <w:lang w:val="en-US" w:eastAsia="zh-CN"/>
        </w:rPr>
        <w:t>大厦不同楼层新入驻租户申请在原有预留电量基础上进行增容，以满足其业务需求。由于大楼变压器未100%发电，且已发电变压器所在楼层（详见附件1）与租户用电负荷中心不一致（详见附件2），</w:t>
      </w:r>
      <w:r>
        <w:t>因此需要根据当前楼宇</w:t>
      </w:r>
      <w:r>
        <w:rPr>
          <w:rFonts w:hint="eastAsia"/>
          <w:lang w:val="en-US" w:eastAsia="zh-CN"/>
        </w:rPr>
        <w:t>电力情况，通过科学分配与改造，实现电力资源高效利用，满足租户用电需求的同时确保大厦公区及空置楼层用电量及楼宇整体用电平衡。</w:t>
      </w:r>
    </w:p>
    <w:p w14:paraId="29EC8345">
      <w:pPr>
        <w:pStyle w:val="11"/>
        <w:rPr>
          <w:b w:val="0"/>
        </w:rPr>
      </w:pPr>
      <w:r>
        <w:t>计划工期：</w:t>
      </w:r>
      <w:r>
        <w:rPr>
          <w:rFonts w:hint="eastAsia"/>
          <w:lang w:val="en-US" w:eastAsia="zh-CN"/>
        </w:rPr>
        <w:t>4</w:t>
      </w:r>
      <w:r>
        <w:rPr>
          <w:highlight w:val="none"/>
        </w:rPr>
        <w:t>0日历天。</w:t>
      </w:r>
    </w:p>
    <w:p w14:paraId="4BD9B89F">
      <w:pPr>
        <w:pStyle w:val="11"/>
        <w:rPr>
          <w:rFonts w:hint="default"/>
          <w:highlight w:val="none"/>
          <w:lang w:val="en-US" w:eastAsia="zh-CN"/>
        </w:rPr>
      </w:pPr>
      <w:r>
        <w:t>预算金额（控制价）：34</w:t>
      </w:r>
      <w:r>
        <w:rPr>
          <w:rFonts w:hint="eastAsia"/>
          <w:lang w:val="en-US" w:eastAsia="zh-CN"/>
        </w:rPr>
        <w:t>0</w:t>
      </w:r>
      <w:r>
        <w:t>,000.00</w:t>
      </w:r>
      <w:r>
        <w:rPr>
          <w:highlight w:val="none"/>
        </w:rPr>
        <w:t>元。</w:t>
      </w:r>
      <w:r>
        <w:rPr>
          <w:rFonts w:hint="eastAsia"/>
          <w:highlight w:val="none"/>
          <w:lang w:val="en-US" w:eastAsia="zh-CN"/>
        </w:rPr>
        <w:t>本项目</w:t>
      </w:r>
      <w:r>
        <w:rPr>
          <w:rFonts w:hint="eastAsia" w:ascii="宋体" w:hAnsi="宋体" w:eastAsia="宋体"/>
          <w:bCs/>
          <w:szCs w:val="24"/>
          <w:lang w:val="en-US" w:eastAsia="zh-CN"/>
        </w:rPr>
        <w:t>建安费估算金额约665万，设计费为包干制，如估算金额超过此概算，设计费不予调整。</w:t>
      </w:r>
    </w:p>
    <w:p w14:paraId="606334B8">
      <w:pPr>
        <w:pStyle w:val="2"/>
        <w:widowControl/>
        <w:numPr>
          <w:ilvl w:val="0"/>
          <w:numId w:val="1"/>
        </w:numPr>
        <w:topLinePunct w:val="0"/>
        <w:ind w:left="0" w:leftChars="0" w:firstLine="0" w:firstLineChars="0"/>
        <w:rPr>
          <w:rFonts w:hint="eastAsia" w:ascii="黑体" w:hAnsi="黑体" w:eastAsia="黑体" w:cs="黑体"/>
          <w:b w:val="0"/>
        </w:rPr>
      </w:pPr>
      <w:r>
        <w:t>主要工作内容：</w:t>
      </w:r>
    </w:p>
    <w:p w14:paraId="13FAECFF">
      <w:pPr>
        <w:pStyle w:val="11"/>
        <w:numPr>
          <w:ilvl w:val="0"/>
          <w:numId w:val="2"/>
        </w:numPr>
        <w:ind w:left="0" w:leftChars="0" w:firstLine="480" w:firstLineChars="0"/>
        <w:rPr>
          <w:b w:val="0"/>
        </w:rPr>
      </w:pPr>
      <w:r>
        <w:t>现场现状调研：完成楼宇现有发电能力、实际用电负荷的全面核查，同步开展变配电室配电柜回路的逐一核对、台账梳理，明确现有电力系统运行基础数据。</w:t>
      </w:r>
    </w:p>
    <w:p w14:paraId="136E8457">
      <w:pPr>
        <w:pStyle w:val="11"/>
        <w:numPr>
          <w:ilvl w:val="0"/>
          <w:numId w:val="2"/>
        </w:numPr>
        <w:ind w:left="0" w:leftChars="0" w:firstLine="480" w:firstLineChars="0"/>
        <w:rPr>
          <w:b w:val="0"/>
        </w:rPr>
      </w:pPr>
      <w:r>
        <w:t>用电需求核准：对接即将入驻大厦的各租户精装设计团队（范围包含已提出增容需求的租户及其相邻将入驻租户），</w:t>
      </w:r>
      <w:r>
        <w:rPr>
          <w:rFonts w:hint="eastAsia"/>
          <w:lang w:val="en-US" w:eastAsia="zh-CN"/>
        </w:rPr>
        <w:t>结合用户用电设备，使用周期，进行负荷计算，</w:t>
      </w:r>
      <w:r>
        <w:t>核定</w:t>
      </w:r>
      <w:r>
        <w:rPr>
          <w:rFonts w:hint="eastAsia"/>
          <w:lang w:val="en-US" w:eastAsia="zh-CN"/>
        </w:rPr>
        <w:t>真实可行的</w:t>
      </w:r>
      <w:r>
        <w:t>增容数据，作为设计任务条件。</w:t>
      </w:r>
    </w:p>
    <w:p w14:paraId="7A44165E">
      <w:pPr>
        <w:pStyle w:val="11"/>
        <w:numPr>
          <w:ilvl w:val="0"/>
          <w:numId w:val="2"/>
        </w:numPr>
        <w:ind w:left="0" w:leftChars="0" w:firstLine="480" w:firstLineChars="0"/>
        <w:rPr>
          <w:b w:val="0"/>
        </w:rPr>
      </w:pPr>
      <w:r>
        <w:t>电力系统专项设计:</w:t>
      </w:r>
    </w:p>
    <w:p w14:paraId="661A2FD4">
      <w:pPr>
        <w:pStyle w:val="11"/>
        <w:numPr>
          <w:ilvl w:val="0"/>
          <w:numId w:val="3"/>
        </w:numPr>
        <w:topLinePunct w:val="0"/>
        <w:ind w:left="0" w:leftChars="0" w:firstLine="480" w:firstLineChars="0"/>
        <w:rPr>
          <w:rFonts w:hint="eastAsia" w:ascii="宋体" w:hAnsi="宋体" w:eastAsia="宋体" w:cs="宋体"/>
          <w:b w:val="0"/>
        </w:rPr>
      </w:pPr>
      <w:r>
        <w:t>变配电室内部优化调整</w:t>
      </w:r>
    </w:p>
    <w:p w14:paraId="1DC4E11A">
      <w:pPr>
        <w:pStyle w:val="11"/>
      </w:pPr>
      <w:r>
        <w:t>结合现场调研结果开展负荷精准计算，制定可满足各精装区域用电容量需求的变配电室供电调整方案；</w:t>
      </w:r>
    </w:p>
    <w:p w14:paraId="1FFADE37">
      <w:pPr>
        <w:pStyle w:val="11"/>
      </w:pPr>
      <w:r>
        <w:t>配合具备相应资质的电力主管部门，完成本次改造所需的各项电力审查工作，推进审查流程落地。</w:t>
      </w:r>
    </w:p>
    <w:p w14:paraId="21387B53">
      <w:pPr>
        <w:pStyle w:val="11"/>
        <w:numPr>
          <w:ilvl w:val="0"/>
          <w:numId w:val="3"/>
        </w:numPr>
        <w:topLinePunct w:val="0"/>
        <w:ind w:left="0" w:leftChars="0" w:firstLine="480" w:firstLineChars="0"/>
        <w:rPr>
          <w:rFonts w:hint="eastAsia" w:ascii="宋体" w:hAnsi="宋体" w:eastAsia="宋体" w:cs="宋体"/>
          <w:b w:val="0"/>
        </w:rPr>
      </w:pPr>
      <w:r>
        <w:t>配电线路及路由设计</w:t>
      </w:r>
    </w:p>
    <w:p w14:paraId="5457F09E">
      <w:pPr>
        <w:pStyle w:val="11"/>
        <w:rPr>
          <w:rFonts w:hint="eastAsia" w:eastAsia="宋体"/>
          <w:lang w:val="en-US" w:eastAsia="zh-CN"/>
        </w:rPr>
      </w:pPr>
      <w:r>
        <w:t>完成从变配电室低压柜至各精装修区域主配电柜、强电间层配电箱的电缆选型、敷设路径及路由专项设计。</w:t>
      </w:r>
    </w:p>
    <w:p w14:paraId="56D3D03F">
      <w:pPr>
        <w:pStyle w:val="11"/>
        <w:numPr>
          <w:ilvl w:val="0"/>
          <w:numId w:val="3"/>
        </w:numPr>
        <w:topLinePunct w:val="0"/>
        <w:ind w:left="0" w:leftChars="0" w:firstLine="480" w:firstLineChars="0"/>
        <w:rPr>
          <w:rFonts w:hint="eastAsia" w:ascii="宋体" w:hAnsi="宋体" w:eastAsia="宋体" w:cs="宋体"/>
          <w:b w:val="0"/>
        </w:rPr>
      </w:pPr>
      <w:r>
        <w:t>强电间层配电箱整改设计</w:t>
      </w:r>
    </w:p>
    <w:p w14:paraId="00286603">
      <w:pPr>
        <w:pStyle w:val="11"/>
      </w:pPr>
      <w:r>
        <w:t>针对强电间层现有配电箱实施调整设计，涵盖层电力配电箱、走道照明配电箱、应急照明配电箱等所有类型配电箱的优化改造设计。</w:t>
      </w:r>
    </w:p>
    <w:p w14:paraId="315BBFFE">
      <w:pPr>
        <w:pStyle w:val="11"/>
        <w:numPr>
          <w:ilvl w:val="0"/>
          <w:numId w:val="2"/>
        </w:numPr>
        <w:ind w:left="0" w:leftChars="0" w:firstLine="480" w:firstLineChars="0"/>
        <w:rPr>
          <w:rFonts w:hint="default" w:eastAsia="宋体"/>
          <w:lang w:val="en-US" w:eastAsia="zh-CN"/>
        </w:rPr>
      </w:pPr>
      <w:r>
        <w:rPr>
          <w:rFonts w:hint="eastAsia"/>
          <w:lang w:val="en-US" w:eastAsia="zh-CN"/>
        </w:rPr>
        <w:t>未来电力分配规划：</w:t>
      </w:r>
    </w:p>
    <w:p w14:paraId="4E776968">
      <w:pPr>
        <w:pStyle w:val="11"/>
        <w:rPr>
          <w:rFonts w:hint="eastAsia" w:eastAsia="宋体"/>
          <w:lang w:val="en-US" w:eastAsia="zh-CN"/>
        </w:rPr>
      </w:pPr>
      <w:r>
        <w:rPr>
          <w:rFonts w:hint="eastAsia" w:eastAsia="宋体"/>
          <w:lang w:val="en-US" w:eastAsia="zh-CN"/>
        </w:rPr>
        <w:t>结合楼宇原开发期电力设计预留情况，科学预估楼宇实现100%发电后，电力垂直分配情况，制定经济合理的电力改造方案，为后续电力系统优化提供支撑。</w:t>
      </w:r>
    </w:p>
    <w:p w14:paraId="698B4C15">
      <w:pPr>
        <w:pStyle w:val="11"/>
        <w:numPr>
          <w:ilvl w:val="0"/>
          <w:numId w:val="2"/>
        </w:numPr>
        <w:ind w:left="0" w:leftChars="0" w:firstLine="480" w:firstLineChars="0"/>
        <w:rPr>
          <w:rFonts w:hint="default"/>
          <w:lang w:val="en-US" w:eastAsia="zh-CN"/>
        </w:rPr>
      </w:pPr>
      <w:r>
        <w:rPr>
          <w:rFonts w:hint="eastAsia"/>
          <w:lang w:val="en-US" w:eastAsia="zh-CN"/>
        </w:rPr>
        <w:t>施工现场配合：</w:t>
      </w:r>
    </w:p>
    <w:p w14:paraId="7293FA83">
      <w:pPr>
        <w:pStyle w:val="11"/>
        <w:rPr>
          <w:rFonts w:hint="default" w:eastAsia="宋体"/>
          <w:lang w:val="en-US" w:eastAsia="zh-CN"/>
        </w:rPr>
      </w:pPr>
      <w:r>
        <w:rPr>
          <w:rFonts w:hint="eastAsia" w:eastAsia="宋体"/>
          <w:lang w:val="en-US" w:eastAsia="zh-CN"/>
        </w:rPr>
        <w:t>现场实施过程中设计单位须密切配合，根据现场情况及时论证可行性，确保实施效果。</w:t>
      </w:r>
    </w:p>
    <w:p w14:paraId="57BF40AF">
      <w:pPr>
        <w:pStyle w:val="2"/>
        <w:widowControl/>
        <w:numPr>
          <w:ilvl w:val="0"/>
          <w:numId w:val="1"/>
        </w:numPr>
        <w:topLinePunct w:val="0"/>
        <w:ind w:left="0" w:leftChars="0" w:firstLine="0" w:firstLineChars="0"/>
        <w:rPr>
          <w:rFonts w:hint="eastAsia" w:ascii="黑体" w:hAnsi="黑体" w:eastAsia="黑体" w:cs="黑体"/>
          <w:b w:val="0"/>
        </w:rPr>
      </w:pPr>
      <w:r>
        <w:t>设计成果要求</w:t>
      </w:r>
    </w:p>
    <w:p w14:paraId="5CC9BA6B">
      <w:pPr>
        <w:pStyle w:val="11"/>
        <w:rPr>
          <w:rFonts w:hint="eastAsia"/>
        </w:rPr>
      </w:pPr>
      <w:r>
        <w:t>本次设计工作需提交完整、规范、可落地的设计成果，确保成果符合设计依据及现场实际需求，具体要求如下：</w:t>
      </w:r>
    </w:p>
    <w:p w14:paraId="41B7DAF6">
      <w:pPr>
        <w:pStyle w:val="11"/>
        <w:numPr>
          <w:ilvl w:val="0"/>
          <w:numId w:val="4"/>
        </w:numPr>
        <w:ind w:left="0" w:leftChars="0" w:firstLine="480" w:firstLineChars="0"/>
        <w:rPr>
          <w:b w:val="0"/>
        </w:rPr>
      </w:pPr>
      <w:r>
        <w:t>现状调研及需求核准成果：包含楼宇现有电力系统现状报告（含发电量、用电负荷、配电柜回路核对台账）、租户用电需求及增容数据核定表；</w:t>
      </w:r>
    </w:p>
    <w:p w14:paraId="06FFF8B3">
      <w:pPr>
        <w:pStyle w:val="11"/>
        <w:numPr>
          <w:ilvl w:val="0"/>
          <w:numId w:val="4"/>
        </w:numPr>
        <w:ind w:left="0" w:leftChars="0" w:firstLine="480" w:firstLineChars="0"/>
        <w:rPr>
          <w:b w:val="0"/>
        </w:rPr>
      </w:pPr>
      <w:r>
        <w:t>专项设计成果：变配电室内部调整</w:t>
      </w:r>
      <w:r>
        <w:rPr>
          <w:rFonts w:hint="eastAsia"/>
          <w:lang w:val="en-US" w:eastAsia="zh-CN"/>
        </w:rPr>
        <w:t>施工</w:t>
      </w:r>
      <w:r>
        <w:t>图纸（含负荷计算书、供电调整方案图纸）、配电线路及路由</w:t>
      </w:r>
      <w:r>
        <w:rPr>
          <w:rFonts w:hint="eastAsia"/>
          <w:lang w:val="en-US" w:eastAsia="zh-CN"/>
        </w:rPr>
        <w:t>施工</w:t>
      </w:r>
      <w:r>
        <w:t>图纸（含电缆选型表、敷设路径图）、强电间层配电箱整改</w:t>
      </w:r>
      <w:r>
        <w:rPr>
          <w:rFonts w:hint="eastAsia"/>
          <w:lang w:val="en-US" w:eastAsia="zh-CN"/>
        </w:rPr>
        <w:t>施工</w:t>
      </w:r>
      <w:r>
        <w:t>图纸；</w:t>
      </w:r>
    </w:p>
    <w:p w14:paraId="085CE3A9">
      <w:pPr>
        <w:pStyle w:val="11"/>
        <w:numPr>
          <w:ilvl w:val="0"/>
          <w:numId w:val="4"/>
        </w:numPr>
        <w:ind w:left="0" w:leftChars="0" w:firstLine="480" w:firstLineChars="0"/>
        <w:rPr>
          <w:b w:val="0"/>
        </w:rPr>
      </w:pPr>
      <w:r>
        <w:t>配套文件：设计说明（含设计思路、设计依据、施工注意事项）、电力审查相关配合文件、设计估算。</w:t>
      </w:r>
    </w:p>
    <w:p w14:paraId="5CBA6E2C">
      <w:pPr>
        <w:pStyle w:val="2"/>
        <w:widowControl/>
        <w:numPr>
          <w:ilvl w:val="0"/>
          <w:numId w:val="1"/>
        </w:numPr>
        <w:topLinePunct w:val="0"/>
        <w:ind w:left="0" w:leftChars="0" w:firstLine="0" w:firstLineChars="0"/>
        <w:rPr>
          <w:rFonts w:hint="eastAsia" w:ascii="黑体" w:hAnsi="黑体" w:eastAsia="黑体" w:cs="黑体"/>
          <w:b w:val="0"/>
        </w:rPr>
      </w:pPr>
      <w:r>
        <w:rPr>
          <w:rFonts w:hint="eastAsia"/>
          <w:lang w:val="en-US" w:eastAsia="zh-CN"/>
        </w:rPr>
        <w:t>评审原则</w:t>
      </w:r>
    </w:p>
    <w:p w14:paraId="2436FF64">
      <w:pPr>
        <w:pStyle w:val="11"/>
        <w:numPr>
          <w:ilvl w:val="0"/>
          <w:numId w:val="0"/>
        </w:numPr>
        <w:rPr>
          <w:rFonts w:hint="default" w:eastAsia="宋体"/>
          <w:lang w:val="en-US" w:eastAsia="zh-CN"/>
        </w:rPr>
      </w:pPr>
      <w:r>
        <w:rPr>
          <w:rFonts w:hint="eastAsia" w:eastAsia="宋体"/>
          <w:lang w:val="en-US" w:eastAsia="zh-CN"/>
        </w:rPr>
        <w:t>本次采用综合评分，</w:t>
      </w:r>
      <w:r>
        <w:rPr>
          <w:rFonts w:hint="eastAsia"/>
          <w:lang w:val="en-US" w:eastAsia="zh-CN"/>
        </w:rPr>
        <w:t>选用综合评分最高的单位为中标单位。</w:t>
      </w:r>
      <w:r>
        <w:rPr>
          <w:rFonts w:hint="eastAsia" w:eastAsia="宋体"/>
          <w:lang w:val="en-US" w:eastAsia="zh-CN"/>
        </w:rPr>
        <w:t>评分表详见附件3.</w:t>
      </w:r>
    </w:p>
    <w:p w14:paraId="65EC6956">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现场踏勘时间：2026年3月26日下午2:00；</w:t>
      </w:r>
    </w:p>
    <w:p w14:paraId="7C4732D3">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集合地点：众秀大厦首层大堂；</w:t>
      </w:r>
    </w:p>
    <w:p w14:paraId="31F8E410">
      <w:pPr>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联系人：王老师，18230066661。</w:t>
      </w:r>
      <w:r>
        <w:rPr>
          <w:rFonts w:ascii="Times New Roman" w:hAnsi="Times New Roman" w:eastAsia="宋体" w:cs="Times New Roman"/>
          <w:sz w:val="24"/>
          <w:szCs w:val="24"/>
        </w:rPr>
        <w:br w:type="page"/>
      </w:r>
    </w:p>
    <w:p w14:paraId="67FF3AE9">
      <w:pPr>
        <w:spacing w:after="120" w:line="360" w:lineRule="auto"/>
        <w:jc w:val="left"/>
        <w:rPr>
          <w:rFonts w:hint="eastAsia" w:ascii="Times New Roman" w:hAnsi="Times New Roman" w:eastAsia="宋体" w:cs="Times New Roman"/>
          <w:sz w:val="24"/>
          <w:szCs w:val="24"/>
          <w:lang w:val="en-US" w:eastAsia="zh-CN"/>
        </w:rPr>
      </w:pPr>
    </w:p>
    <w:p w14:paraId="15852539">
      <w:pPr>
        <w:spacing w:after="120" w:line="360" w:lineRule="auto"/>
        <w:jc w:val="left"/>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附件1: 大厦现有发电情况</w:t>
      </w:r>
    </w:p>
    <w:tbl>
      <w:tblPr>
        <w:tblStyle w:val="15"/>
        <w:tblW w:w="6481"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042"/>
        <w:gridCol w:w="1682"/>
        <w:gridCol w:w="1757"/>
      </w:tblGrid>
      <w:tr w14:paraId="1B6263AA">
        <w:trPr>
          <w:trHeight w:val="1173" w:hRule="atLeast"/>
        </w:trPr>
        <w:tc>
          <w:tcPr>
            <w:tcW w:w="3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DC47">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配电室位置</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E88FF">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设计电量:KVA</w:t>
            </w:r>
          </w:p>
        </w:tc>
        <w:tc>
          <w:tcPr>
            <w:tcW w:w="1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6384">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当前发电量:KVA</w:t>
            </w:r>
          </w:p>
        </w:tc>
      </w:tr>
      <w:tr w14:paraId="2F6178B5">
        <w:trPr>
          <w:trHeight w:val="762" w:hRule="atLeast"/>
        </w:trPr>
        <w:tc>
          <w:tcPr>
            <w:tcW w:w="3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9B2A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38层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负责：39-48层</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736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2500</w:t>
            </w:r>
          </w:p>
        </w:tc>
        <w:tc>
          <w:tcPr>
            <w:tcW w:w="1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40A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1250</w:t>
            </w:r>
          </w:p>
        </w:tc>
      </w:tr>
      <w:tr w14:paraId="04C68FB4">
        <w:trPr>
          <w:trHeight w:val="724" w:hRule="atLeast"/>
        </w:trPr>
        <w:tc>
          <w:tcPr>
            <w:tcW w:w="3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D79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负责：25-37层</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CC5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2500</w:t>
            </w:r>
          </w:p>
        </w:tc>
        <w:tc>
          <w:tcPr>
            <w:tcW w:w="1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9F7C">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2500</w:t>
            </w:r>
          </w:p>
        </w:tc>
      </w:tr>
      <w:tr w14:paraId="7DEB5FE9">
        <w:trPr>
          <w:trHeight w:val="668" w:hRule="atLeast"/>
        </w:trPr>
        <w:tc>
          <w:tcPr>
            <w:tcW w:w="3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7C9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11层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负责：12-23层</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1DF3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2500</w:t>
            </w:r>
          </w:p>
        </w:tc>
        <w:tc>
          <w:tcPr>
            <w:tcW w:w="1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D55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1250</w:t>
            </w:r>
          </w:p>
        </w:tc>
      </w:tr>
      <w:tr w14:paraId="447A51AF">
        <w:trPr>
          <w:trHeight w:val="500" w:hRule="atLeast"/>
        </w:trPr>
        <w:tc>
          <w:tcPr>
            <w:tcW w:w="3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46C3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B1层负责：B4-10层</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C80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6400</w:t>
            </w:r>
          </w:p>
        </w:tc>
        <w:tc>
          <w:tcPr>
            <w:tcW w:w="1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5E0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4800</w:t>
            </w:r>
          </w:p>
        </w:tc>
      </w:tr>
      <w:tr w14:paraId="38F5164D">
        <w:trPr>
          <w:trHeight w:val="574" w:hRule="atLeast"/>
        </w:trPr>
        <w:tc>
          <w:tcPr>
            <w:tcW w:w="3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036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B1总配电室：冷水机组专用</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536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1500</w:t>
            </w:r>
          </w:p>
        </w:tc>
        <w:tc>
          <w:tcPr>
            <w:tcW w:w="1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9D2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1500</w:t>
            </w:r>
          </w:p>
        </w:tc>
      </w:tr>
      <w:tr w14:paraId="512B4206">
        <w:trPr>
          <w:trHeight w:val="520" w:hRule="atLeast"/>
        </w:trPr>
        <w:tc>
          <w:tcPr>
            <w:tcW w:w="3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C68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总计</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7ED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15400</w:t>
            </w:r>
          </w:p>
        </w:tc>
        <w:tc>
          <w:tcPr>
            <w:tcW w:w="1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2C3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11300</w:t>
            </w:r>
          </w:p>
        </w:tc>
      </w:tr>
    </w:tbl>
    <w:p w14:paraId="2BFE76B3">
      <w:pPr>
        <w:spacing w:after="120" w:line="360" w:lineRule="auto"/>
        <w:jc w:val="left"/>
        <w:rPr>
          <w:rFonts w:hint="eastAsia" w:ascii="Times New Roman" w:hAnsi="Times New Roman" w:eastAsia="宋体" w:cs="Times New Roman"/>
          <w:sz w:val="24"/>
          <w:szCs w:val="24"/>
          <w:lang w:val="en-US" w:eastAsia="zh-CN"/>
        </w:rPr>
      </w:pPr>
    </w:p>
    <w:p w14:paraId="7109FDFB">
      <w:pPr>
        <w:spacing w:after="120" w:line="360" w:lineRule="auto"/>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附件2: 租户增容需求</w:t>
      </w:r>
    </w:p>
    <w:tbl>
      <w:tblPr>
        <w:tblStyle w:val="15"/>
        <w:tblpPr w:leftFromText="180" w:rightFromText="180" w:vertAnchor="text" w:horzAnchor="page" w:tblpX="1740" w:tblpY="1252"/>
        <w:tblOverlap w:val="never"/>
        <w:tblW w:w="8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8"/>
        <w:gridCol w:w="1134"/>
        <w:gridCol w:w="930"/>
        <w:gridCol w:w="879"/>
        <w:gridCol w:w="1019"/>
        <w:gridCol w:w="943"/>
        <w:gridCol w:w="1006"/>
        <w:gridCol w:w="1147"/>
      </w:tblGrid>
      <w:tr w14:paraId="6A240051">
        <w:trPr>
          <w:trHeight w:val="560" w:hRule="atLeast"/>
        </w:trPr>
        <w:tc>
          <w:tcPr>
            <w:tcW w:w="10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F45D33">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5911"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4B10F0C">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办公租户</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76B71054">
            <w:pPr>
              <w:keepNext w:val="0"/>
              <w:keepLines w:val="0"/>
              <w:widowControl/>
              <w:suppressLineNumbers w:val="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餐饮租户</w:t>
            </w:r>
          </w:p>
        </w:tc>
      </w:tr>
      <w:tr w14:paraId="3076F242">
        <w:trPr>
          <w:trHeight w:val="560" w:hRule="atLeast"/>
        </w:trPr>
        <w:tc>
          <w:tcPr>
            <w:tcW w:w="10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71A378">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kern w:val="0"/>
                <w:sz w:val="20"/>
                <w:szCs w:val="20"/>
                <w:u w:val="none"/>
                <w:lang w:val="en-US" w:eastAsia="zh-CN" w:bidi="ar"/>
              </w:rPr>
              <w:t>楼层</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352788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B2</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14:paraId="7EEA28BE">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31</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1DCB44A0">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32</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00FB1E8A">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37</w:t>
            </w:r>
          </w:p>
        </w:tc>
        <w:tc>
          <w:tcPr>
            <w:tcW w:w="943" w:type="dxa"/>
            <w:tcBorders>
              <w:top w:val="single" w:color="auto" w:sz="4" w:space="0"/>
              <w:left w:val="single" w:color="auto" w:sz="4" w:space="0"/>
              <w:bottom w:val="single" w:color="auto" w:sz="4" w:space="0"/>
              <w:right w:val="single" w:color="auto" w:sz="4" w:space="0"/>
            </w:tcBorders>
            <w:shd w:val="clear" w:color="auto" w:fill="auto"/>
            <w:vAlign w:val="center"/>
          </w:tcPr>
          <w:p w14:paraId="47D02B74">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41</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14:paraId="611BBB7D">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44/45</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632BC712">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B1</w:t>
            </w:r>
          </w:p>
        </w:tc>
      </w:tr>
      <w:tr w14:paraId="4A7F2189">
        <w:trPr>
          <w:trHeight w:val="480" w:hRule="atLeast"/>
        </w:trPr>
        <w:tc>
          <w:tcPr>
            <w:tcW w:w="10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CFC0AE">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lang w:val="en-US" w:eastAsia="zh-CN"/>
              </w:rPr>
            </w:pPr>
            <w:r>
              <w:rPr>
                <w:rFonts w:hint="eastAsia" w:ascii="宋体" w:hAnsi="宋体" w:eastAsia="宋体" w:cs="宋体"/>
                <w:b w:val="0"/>
                <w:bCs w:val="0"/>
                <w:i w:val="0"/>
                <w:iCs w:val="0"/>
                <w:color w:val="000000"/>
                <w:sz w:val="20"/>
                <w:szCs w:val="20"/>
                <w:u w:val="none"/>
                <w:lang w:val="en-US" w:eastAsia="zh-CN"/>
              </w:rPr>
              <w:t>增容需求</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18172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650KW</w:t>
            </w:r>
          </w:p>
        </w:tc>
        <w:tc>
          <w:tcPr>
            <w:tcW w:w="930" w:type="dxa"/>
            <w:tcBorders>
              <w:top w:val="single" w:color="auto" w:sz="4" w:space="0"/>
              <w:left w:val="single" w:color="auto" w:sz="4" w:space="0"/>
              <w:bottom w:val="single" w:color="auto" w:sz="4" w:space="0"/>
              <w:right w:val="single" w:color="auto" w:sz="4" w:space="0"/>
            </w:tcBorders>
            <w:shd w:val="clear" w:color="auto" w:fill="auto"/>
            <w:vAlign w:val="center"/>
          </w:tcPr>
          <w:p w14:paraId="076FE88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300KW</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740F398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70KW</w:t>
            </w:r>
          </w:p>
        </w:tc>
        <w:tc>
          <w:tcPr>
            <w:tcW w:w="1019" w:type="dxa"/>
            <w:tcBorders>
              <w:top w:val="single" w:color="auto" w:sz="4" w:space="0"/>
              <w:left w:val="single" w:color="auto" w:sz="4" w:space="0"/>
              <w:bottom w:val="single" w:color="auto" w:sz="4" w:space="0"/>
              <w:right w:val="single" w:color="auto" w:sz="4" w:space="0"/>
            </w:tcBorders>
            <w:shd w:val="clear" w:color="auto" w:fill="auto"/>
            <w:vAlign w:val="center"/>
          </w:tcPr>
          <w:p w14:paraId="5A6F7A3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10KW</w:t>
            </w:r>
          </w:p>
        </w:tc>
        <w:tc>
          <w:tcPr>
            <w:tcW w:w="943" w:type="dxa"/>
            <w:tcBorders>
              <w:top w:val="single" w:color="auto" w:sz="4" w:space="0"/>
              <w:left w:val="single" w:color="auto" w:sz="4" w:space="0"/>
              <w:bottom w:val="single" w:color="auto" w:sz="4" w:space="0"/>
              <w:right w:val="single" w:color="auto" w:sz="4" w:space="0"/>
            </w:tcBorders>
            <w:shd w:val="clear" w:color="auto" w:fill="auto"/>
            <w:vAlign w:val="center"/>
          </w:tcPr>
          <w:p w14:paraId="41163EE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80KW</w:t>
            </w:r>
          </w:p>
        </w:tc>
        <w:tc>
          <w:tcPr>
            <w:tcW w:w="1006" w:type="dxa"/>
            <w:tcBorders>
              <w:top w:val="single" w:color="auto" w:sz="4" w:space="0"/>
              <w:left w:val="single" w:color="auto" w:sz="4" w:space="0"/>
              <w:bottom w:val="single" w:color="auto" w:sz="4" w:space="0"/>
              <w:right w:val="single" w:color="auto" w:sz="4" w:space="0"/>
            </w:tcBorders>
            <w:shd w:val="clear" w:color="auto" w:fill="auto"/>
            <w:vAlign w:val="center"/>
          </w:tcPr>
          <w:p w14:paraId="668D379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1000KW</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6A305A6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490KW</w:t>
            </w:r>
          </w:p>
        </w:tc>
      </w:tr>
      <w:tr w14:paraId="7D01A53B">
        <w:trPr>
          <w:trHeight w:val="480" w:hRule="atLeast"/>
        </w:trPr>
        <w:tc>
          <w:tcPr>
            <w:tcW w:w="10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0AEFF8">
            <w:pPr>
              <w:keepNext w:val="0"/>
              <w:keepLines w:val="0"/>
              <w:widowControl/>
              <w:suppressLineNumbers w:val="0"/>
              <w:jc w:val="center"/>
              <w:textAlignment w:val="center"/>
              <w:rPr>
                <w:rFonts w:hint="eastAsia" w:ascii="宋体" w:hAnsi="宋体" w:eastAsia="宋体" w:cs="宋体"/>
                <w:b w:val="0"/>
                <w:bCs w:val="0"/>
                <w:i w:val="0"/>
                <w:iCs w:val="0"/>
                <w:color w:val="000000"/>
                <w:sz w:val="20"/>
                <w:szCs w:val="20"/>
                <w:u w:val="none"/>
                <w:lang w:val="en-US" w:eastAsia="zh-CN"/>
              </w:rPr>
            </w:pPr>
            <w:r>
              <w:rPr>
                <w:rFonts w:hint="eastAsia" w:ascii="宋体" w:hAnsi="宋体" w:eastAsia="宋体" w:cs="宋体"/>
                <w:b w:val="0"/>
                <w:bCs w:val="0"/>
                <w:i w:val="0"/>
                <w:iCs w:val="0"/>
                <w:color w:val="000000"/>
                <w:sz w:val="20"/>
                <w:szCs w:val="20"/>
                <w:u w:val="none"/>
                <w:lang w:val="en-US" w:eastAsia="zh-CN"/>
              </w:rPr>
              <w:t>合计电量</w:t>
            </w:r>
          </w:p>
        </w:tc>
        <w:tc>
          <w:tcPr>
            <w:tcW w:w="5911"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816C0D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2110KW</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144FDE0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490KW</w:t>
            </w:r>
          </w:p>
        </w:tc>
      </w:tr>
    </w:tbl>
    <w:p w14:paraId="440E8D66">
      <w:pPr>
        <w:spacing w:after="120" w:line="360" w:lineRule="auto"/>
        <w:jc w:val="left"/>
        <w:rPr>
          <w:rFonts w:hint="eastAsia" w:ascii="Times New Roman" w:hAnsi="Times New Roman" w:eastAsia="宋体" w:cs="Times New Roman"/>
          <w:sz w:val="24"/>
          <w:szCs w:val="24"/>
          <w:lang w:val="en-US" w:eastAsia="zh-CN"/>
        </w:rPr>
      </w:pPr>
    </w:p>
    <w:p w14:paraId="64DF4425">
      <w:pPr>
        <w:spacing w:after="120" w:line="360" w:lineRule="auto"/>
        <w:jc w:val="left"/>
        <w:rPr>
          <w:rFonts w:hint="eastAsia" w:ascii="Times New Roman" w:hAnsi="Times New Roman" w:eastAsia="宋体" w:cs="Times New Roman"/>
          <w:sz w:val="24"/>
          <w:szCs w:val="24"/>
          <w:lang w:val="en-US" w:eastAsia="zh-CN"/>
        </w:rPr>
      </w:pPr>
    </w:p>
    <w:p w14:paraId="2B1062CB">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br w:type="page"/>
      </w:r>
    </w:p>
    <w:p w14:paraId="6464439C">
      <w:pPr>
        <w:spacing w:after="120" w:line="360" w:lineRule="auto"/>
        <w:jc w:val="left"/>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附件3: 评分标准</w:t>
      </w:r>
      <w:bookmarkStart w:id="0" w:name="_GoBack"/>
      <w:bookmarkEnd w:id="0"/>
    </w:p>
    <w:tbl>
      <w:tblPr>
        <w:tblStyle w:val="15"/>
        <w:tblpPr w:leftFromText="180" w:rightFromText="180" w:vertAnchor="text" w:horzAnchor="page" w:tblpX="1614" w:tblpY="582"/>
        <w:tblOverlap w:val="never"/>
        <w:tblW w:w="90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4"/>
        <w:gridCol w:w="1327"/>
        <w:gridCol w:w="1110"/>
        <w:gridCol w:w="5768"/>
      </w:tblGrid>
      <w:tr w14:paraId="28A3FD8D">
        <w:trPr>
          <w:trHeight w:val="352" w:hRule="atLeast"/>
        </w:trPr>
        <w:tc>
          <w:tcPr>
            <w:tcW w:w="8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CB0F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0B96D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评分内容</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FEDE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标准分</w:t>
            </w:r>
          </w:p>
        </w:tc>
        <w:tc>
          <w:tcPr>
            <w:tcW w:w="57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71CC4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评分标准</w:t>
            </w:r>
          </w:p>
        </w:tc>
      </w:tr>
      <w:tr w14:paraId="2E5421BB">
        <w:trPr>
          <w:trHeight w:val="352" w:hRule="atLeast"/>
        </w:trPr>
        <w:tc>
          <w:tcPr>
            <w:tcW w:w="8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E6B6B">
            <w:pPr>
              <w:jc w:val="center"/>
              <w:rPr>
                <w:rFonts w:hint="eastAsia" w:ascii="宋体" w:hAnsi="宋体" w:eastAsia="宋体" w:cs="宋体"/>
                <w:b/>
                <w:bCs/>
                <w:i w:val="0"/>
                <w:iCs w:val="0"/>
                <w:color w:val="000000"/>
                <w:sz w:val="21"/>
                <w:szCs w:val="21"/>
                <w:u w:val="none"/>
              </w:rPr>
            </w:pPr>
          </w:p>
        </w:tc>
        <w:tc>
          <w:tcPr>
            <w:tcW w:w="13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27A70">
            <w:pPr>
              <w:jc w:val="center"/>
              <w:rPr>
                <w:rFonts w:hint="eastAsia" w:ascii="宋体" w:hAnsi="宋体" w:eastAsia="宋体" w:cs="宋体"/>
                <w:b/>
                <w:bCs/>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F47C3">
            <w:pPr>
              <w:jc w:val="center"/>
              <w:rPr>
                <w:rFonts w:hint="eastAsia" w:ascii="宋体" w:hAnsi="宋体" w:eastAsia="宋体" w:cs="宋体"/>
                <w:b/>
                <w:bCs/>
                <w:i w:val="0"/>
                <w:iCs w:val="0"/>
                <w:color w:val="000000"/>
                <w:sz w:val="21"/>
                <w:szCs w:val="21"/>
                <w:u w:val="none"/>
              </w:rPr>
            </w:pPr>
          </w:p>
        </w:tc>
        <w:tc>
          <w:tcPr>
            <w:tcW w:w="5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AC7CD">
            <w:pPr>
              <w:jc w:val="center"/>
              <w:rPr>
                <w:rFonts w:hint="eastAsia" w:ascii="宋体" w:hAnsi="宋体" w:eastAsia="宋体" w:cs="宋体"/>
                <w:b/>
                <w:bCs/>
                <w:i w:val="0"/>
                <w:iCs w:val="0"/>
                <w:color w:val="000000"/>
                <w:sz w:val="21"/>
                <w:szCs w:val="21"/>
                <w:u w:val="none"/>
              </w:rPr>
            </w:pPr>
          </w:p>
        </w:tc>
      </w:tr>
      <w:tr w14:paraId="6CA322A4">
        <w:trPr>
          <w:trHeight w:val="1580" w:hRule="atLeast"/>
        </w:trPr>
        <w:tc>
          <w:tcPr>
            <w:tcW w:w="804" w:type="dxa"/>
            <w:tcBorders>
              <w:top w:val="single" w:color="000000" w:sz="4" w:space="0"/>
              <w:left w:val="single" w:color="000000" w:sz="4" w:space="0"/>
              <w:bottom w:val="nil"/>
              <w:right w:val="single" w:color="000000" w:sz="4" w:space="0"/>
            </w:tcBorders>
            <w:shd w:val="clear" w:color="auto" w:fill="auto"/>
            <w:vAlign w:val="center"/>
          </w:tcPr>
          <w:p w14:paraId="3498F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27" w:type="dxa"/>
            <w:tcBorders>
              <w:top w:val="single" w:color="000000" w:sz="4" w:space="0"/>
              <w:left w:val="single" w:color="000000" w:sz="4" w:space="0"/>
              <w:bottom w:val="nil"/>
              <w:right w:val="single" w:color="000000" w:sz="4" w:space="0"/>
            </w:tcBorders>
            <w:shd w:val="clear" w:color="auto" w:fill="auto"/>
            <w:vAlign w:val="center"/>
          </w:tcPr>
          <w:p w14:paraId="4E9436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设计费报价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C5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5768" w:type="dxa"/>
            <w:tcBorders>
              <w:top w:val="single" w:color="000000" w:sz="4" w:space="0"/>
              <w:left w:val="nil"/>
              <w:bottom w:val="single" w:color="000000" w:sz="4" w:space="0"/>
              <w:right w:val="single" w:color="000000" w:sz="4" w:space="0"/>
            </w:tcBorders>
            <w:shd w:val="clear" w:color="auto" w:fill="auto"/>
            <w:vAlign w:val="center"/>
          </w:tcPr>
          <w:p w14:paraId="1BF8227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报价需充分考量项目重难点、实际工作量，所报工时需能支撑服务费报价合理性；</w:t>
            </w:r>
          </w:p>
          <w:p w14:paraId="4E6B31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以</w:t>
            </w:r>
            <w:r>
              <w:rPr>
                <w:rFonts w:hint="eastAsia" w:ascii="宋体" w:hAnsi="宋体" w:eastAsia="宋体" w:cs="宋体"/>
                <w:b/>
                <w:bCs/>
                <w:i w:val="0"/>
                <w:iCs w:val="0"/>
                <w:color w:val="000000"/>
                <w:kern w:val="0"/>
                <w:sz w:val="22"/>
                <w:szCs w:val="22"/>
                <w:u w:val="none"/>
                <w:lang w:val="en-US" w:eastAsia="zh-CN" w:bidi="ar"/>
              </w:rPr>
              <w:t>有效报价中的最低报价</w:t>
            </w:r>
            <w:r>
              <w:rPr>
                <w:rFonts w:hint="eastAsia" w:ascii="宋体" w:hAnsi="宋体" w:eastAsia="宋体" w:cs="宋体"/>
                <w:i w:val="0"/>
                <w:iCs w:val="0"/>
                <w:color w:val="000000"/>
                <w:kern w:val="0"/>
                <w:sz w:val="22"/>
                <w:szCs w:val="22"/>
                <w:u w:val="none"/>
                <w:lang w:val="en-US" w:eastAsia="zh-CN" w:bidi="ar"/>
              </w:rPr>
              <w:t>为基准费率，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价格得分=（基准费率/报价费率）×标准分</w:t>
            </w:r>
          </w:p>
        </w:tc>
      </w:tr>
      <w:tr w14:paraId="35177D02">
        <w:trPr>
          <w:trHeight w:val="873" w:hRule="atLeast"/>
        </w:trPr>
        <w:tc>
          <w:tcPr>
            <w:tcW w:w="804" w:type="dxa"/>
            <w:vMerge w:val="restart"/>
            <w:tcBorders>
              <w:top w:val="single" w:color="000000" w:sz="4" w:space="0"/>
              <w:left w:val="single" w:color="000000" w:sz="4" w:space="0"/>
              <w:bottom w:val="nil"/>
              <w:right w:val="single" w:color="000000" w:sz="4" w:space="0"/>
            </w:tcBorders>
            <w:shd w:val="clear" w:color="auto" w:fill="auto"/>
            <w:vAlign w:val="center"/>
          </w:tcPr>
          <w:p w14:paraId="3200AC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27" w:type="dxa"/>
            <w:vMerge w:val="restart"/>
            <w:tcBorders>
              <w:top w:val="single" w:color="000000" w:sz="4" w:space="0"/>
              <w:left w:val="single" w:color="000000" w:sz="4" w:space="0"/>
              <w:bottom w:val="nil"/>
              <w:right w:val="single" w:color="000000" w:sz="4" w:space="0"/>
            </w:tcBorders>
            <w:shd w:val="clear" w:color="auto" w:fill="auto"/>
            <w:vAlign w:val="center"/>
          </w:tcPr>
          <w:p w14:paraId="705B0A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企业资质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A6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C29EF">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具备住房和城乡建设行政主管部门核发的建筑行业（建筑工程）专业设计甲级设计资质证书的法人或其他组织，提供证书复印件加盖公章，符合得5分，不符合得0分。</w:t>
            </w:r>
          </w:p>
        </w:tc>
      </w:tr>
      <w:tr w14:paraId="751BD919">
        <w:trPr>
          <w:trHeight w:val="838" w:hRule="atLeast"/>
        </w:trPr>
        <w:tc>
          <w:tcPr>
            <w:tcW w:w="804" w:type="dxa"/>
            <w:vMerge w:val="continue"/>
            <w:tcBorders>
              <w:top w:val="single" w:color="000000" w:sz="4" w:space="0"/>
              <w:left w:val="single" w:color="000000" w:sz="4" w:space="0"/>
              <w:bottom w:val="nil"/>
              <w:right w:val="single" w:color="000000" w:sz="4" w:space="0"/>
            </w:tcBorders>
            <w:shd w:val="clear" w:color="auto" w:fill="auto"/>
            <w:vAlign w:val="center"/>
          </w:tcPr>
          <w:p w14:paraId="6C098440">
            <w:pPr>
              <w:jc w:val="center"/>
              <w:rPr>
                <w:rFonts w:hint="eastAsia" w:ascii="宋体" w:hAnsi="宋体" w:eastAsia="宋体" w:cs="宋体"/>
                <w:i w:val="0"/>
                <w:iCs w:val="0"/>
                <w:color w:val="000000"/>
                <w:sz w:val="22"/>
                <w:szCs w:val="22"/>
                <w:u w:val="none"/>
              </w:rPr>
            </w:pPr>
          </w:p>
        </w:tc>
        <w:tc>
          <w:tcPr>
            <w:tcW w:w="1327" w:type="dxa"/>
            <w:vMerge w:val="continue"/>
            <w:tcBorders>
              <w:top w:val="single" w:color="000000" w:sz="4" w:space="0"/>
              <w:left w:val="single" w:color="000000" w:sz="4" w:space="0"/>
              <w:bottom w:val="nil"/>
              <w:right w:val="single" w:color="000000" w:sz="4" w:space="0"/>
            </w:tcBorders>
            <w:shd w:val="clear" w:color="auto" w:fill="auto"/>
            <w:vAlign w:val="center"/>
          </w:tcPr>
          <w:p w14:paraId="3C4F78E7">
            <w:pPr>
              <w:jc w:val="center"/>
              <w:rPr>
                <w:rFonts w:hint="eastAsia" w:ascii="宋体" w:hAnsi="宋体" w:eastAsia="宋体" w:cs="宋体"/>
                <w:i w:val="0"/>
                <w:iCs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BF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1EE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投标人注册地须为北京市，提供营业执照（法人）或合法登记证明（其他组织）复印件加盖公章，符合得5分，不符合得0分；</w:t>
            </w:r>
          </w:p>
        </w:tc>
      </w:tr>
      <w:tr w14:paraId="480BB0F3">
        <w:trPr>
          <w:trHeight w:val="924" w:hRule="atLeast"/>
        </w:trPr>
        <w:tc>
          <w:tcPr>
            <w:tcW w:w="804" w:type="dxa"/>
            <w:vMerge w:val="continue"/>
            <w:tcBorders>
              <w:top w:val="single" w:color="000000" w:sz="4" w:space="0"/>
              <w:left w:val="single" w:color="000000" w:sz="4" w:space="0"/>
              <w:bottom w:val="nil"/>
              <w:right w:val="single" w:color="000000" w:sz="4" w:space="0"/>
            </w:tcBorders>
            <w:shd w:val="clear" w:color="auto" w:fill="auto"/>
            <w:vAlign w:val="center"/>
          </w:tcPr>
          <w:p w14:paraId="4D87D2FC">
            <w:pPr>
              <w:jc w:val="center"/>
              <w:rPr>
                <w:rFonts w:hint="eastAsia" w:ascii="宋体" w:hAnsi="宋体" w:eastAsia="宋体" w:cs="宋体"/>
                <w:i w:val="0"/>
                <w:iCs w:val="0"/>
                <w:color w:val="000000"/>
                <w:sz w:val="22"/>
                <w:szCs w:val="22"/>
                <w:u w:val="none"/>
              </w:rPr>
            </w:pPr>
          </w:p>
        </w:tc>
        <w:tc>
          <w:tcPr>
            <w:tcW w:w="1327" w:type="dxa"/>
            <w:vMerge w:val="continue"/>
            <w:tcBorders>
              <w:top w:val="single" w:color="000000" w:sz="4" w:space="0"/>
              <w:left w:val="single" w:color="000000" w:sz="4" w:space="0"/>
              <w:bottom w:val="nil"/>
              <w:right w:val="single" w:color="000000" w:sz="4" w:space="0"/>
            </w:tcBorders>
            <w:shd w:val="clear" w:color="auto" w:fill="auto"/>
            <w:vAlign w:val="center"/>
          </w:tcPr>
          <w:p w14:paraId="412AAC45">
            <w:pPr>
              <w:jc w:val="center"/>
              <w:rPr>
                <w:rFonts w:hint="eastAsia" w:ascii="宋体" w:hAnsi="宋体" w:eastAsia="宋体" w:cs="宋体"/>
                <w:i w:val="0"/>
                <w:iCs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10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41F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近10年（自报名截止日起倒推）承接过</w:t>
            </w:r>
            <w:r>
              <w:rPr>
                <w:rFonts w:hint="eastAsia" w:ascii="宋体" w:hAnsi="宋体" w:eastAsia="宋体" w:cs="宋体"/>
                <w:b/>
                <w:bCs/>
                <w:i w:val="0"/>
                <w:iCs w:val="0"/>
                <w:color w:val="000000"/>
                <w:kern w:val="0"/>
                <w:sz w:val="22"/>
                <w:szCs w:val="22"/>
                <w:u w:val="none"/>
                <w:lang w:val="en-US" w:eastAsia="zh-CN" w:bidi="ar"/>
              </w:rPr>
              <w:t>超高层建筑方案及施工图设计</w:t>
            </w:r>
            <w:r>
              <w:rPr>
                <w:rFonts w:hint="eastAsia" w:ascii="宋体" w:hAnsi="宋体" w:eastAsia="宋体" w:cs="宋体"/>
                <w:b w:val="0"/>
                <w:bCs w:val="0"/>
                <w:i w:val="0"/>
                <w:iCs w:val="0"/>
                <w:color w:val="000000"/>
                <w:kern w:val="0"/>
                <w:sz w:val="22"/>
                <w:szCs w:val="22"/>
                <w:u w:val="none"/>
                <w:lang w:val="en-US" w:eastAsia="zh-CN" w:bidi="ar"/>
              </w:rPr>
              <w:t>（提供合同等证明材料），符合得5分，不符合得0分；</w:t>
            </w:r>
          </w:p>
        </w:tc>
      </w:tr>
      <w:tr w14:paraId="49353EC6">
        <w:trPr>
          <w:trHeight w:val="680"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EDA6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DA9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团队人员资质</w:t>
            </w:r>
          </w:p>
          <w:p w14:paraId="56BC3EE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34B1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AA7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本项目负责人资质（3分）：</w:t>
            </w:r>
            <w:r>
              <w:rPr>
                <w:rFonts w:hint="eastAsia" w:ascii="宋体" w:hAnsi="宋体" w:eastAsia="宋体" w:cs="宋体"/>
                <w:b/>
                <w:bCs/>
                <w:i w:val="0"/>
                <w:iCs w:val="0"/>
                <w:color w:val="000000"/>
                <w:kern w:val="0"/>
                <w:sz w:val="22"/>
                <w:szCs w:val="22"/>
                <w:u w:val="none"/>
                <w:lang w:val="en-US" w:eastAsia="zh-CN" w:bidi="ar"/>
              </w:rPr>
              <w:t>同时具有高级职称及注册电气工程师执业资格</w:t>
            </w:r>
            <w:r>
              <w:rPr>
                <w:rFonts w:hint="eastAsia" w:ascii="宋体" w:hAnsi="宋体" w:eastAsia="宋体" w:cs="宋体"/>
                <w:i w:val="0"/>
                <w:iCs w:val="0"/>
                <w:color w:val="000000"/>
                <w:kern w:val="0"/>
                <w:sz w:val="22"/>
                <w:szCs w:val="22"/>
                <w:u w:val="none"/>
                <w:lang w:val="en-US" w:eastAsia="zh-CN" w:bidi="ar"/>
              </w:rPr>
              <w:t>，提供职称证书、执业资格证书及社保缴纳证明复印件加盖公章，两项资质均满足得 3 分，缺一项得 0 分。</w:t>
            </w:r>
          </w:p>
          <w:p w14:paraId="7338966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核心技术人员资质（2 分）：团队中除负责人外，具有注册电气工程师执业资格≥1 人且中级及以上职称≥2 人得 2 分，满足其一得 1 分，均不满足得 0 分；：</w:t>
            </w:r>
            <w:r>
              <w:rPr>
                <w:rFonts w:hint="eastAsia" w:ascii="宋体" w:hAnsi="宋体" w:eastAsia="宋体" w:cs="宋体"/>
                <w:i w:val="0"/>
                <w:iCs w:val="0"/>
                <w:color w:val="000000"/>
                <w:kern w:val="0"/>
                <w:sz w:val="22"/>
                <w:szCs w:val="22"/>
                <w:u w:val="none"/>
                <w:lang w:val="en-US" w:eastAsia="zh-CN" w:bidi="ar"/>
              </w:rPr>
              <w:br w:type="textWrapping"/>
            </w:r>
          </w:p>
        </w:tc>
      </w:tr>
      <w:tr w14:paraId="54F2CC6E">
        <w:trPr>
          <w:trHeight w:val="680"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402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03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现场踏勘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E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0A77">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按采购方要求完成项目现场踏勘，</w:t>
            </w:r>
            <w:r>
              <w:rPr>
                <w:rFonts w:hint="eastAsia" w:ascii="宋体" w:hAnsi="宋体" w:eastAsia="宋体" w:cs="宋体"/>
                <w:b w:val="0"/>
                <w:bCs w:val="0"/>
                <w:i w:val="0"/>
                <w:iCs w:val="0"/>
                <w:color w:val="000000"/>
                <w:kern w:val="0"/>
                <w:sz w:val="22"/>
                <w:szCs w:val="22"/>
                <w:u w:val="none"/>
                <w:lang w:val="en-US" w:eastAsia="zh-CN" w:bidi="ar"/>
              </w:rPr>
              <w:t>符合得5分，不符合得0分；</w:t>
            </w:r>
          </w:p>
        </w:tc>
      </w:tr>
      <w:tr w14:paraId="3AF1F70A">
        <w:trPr>
          <w:trHeight w:val="700" w:hRule="atLeast"/>
        </w:trPr>
        <w:tc>
          <w:tcPr>
            <w:tcW w:w="804" w:type="dxa"/>
            <w:vMerge w:val="restart"/>
            <w:tcBorders>
              <w:top w:val="single" w:color="000000" w:sz="4" w:space="0"/>
              <w:left w:val="single" w:color="000000" w:sz="4" w:space="0"/>
              <w:bottom w:val="nil"/>
              <w:right w:val="single" w:color="000000" w:sz="4" w:space="0"/>
            </w:tcBorders>
            <w:shd w:val="clear" w:color="auto" w:fill="auto"/>
            <w:vAlign w:val="center"/>
          </w:tcPr>
          <w:p w14:paraId="0588F8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27" w:type="dxa"/>
            <w:vMerge w:val="restart"/>
            <w:tcBorders>
              <w:top w:val="single" w:color="000000" w:sz="4" w:space="0"/>
              <w:left w:val="single" w:color="000000" w:sz="4" w:space="0"/>
              <w:bottom w:val="nil"/>
              <w:right w:val="single" w:color="000000" w:sz="4" w:space="0"/>
            </w:tcBorders>
            <w:shd w:val="clear" w:color="auto" w:fill="auto"/>
            <w:vAlign w:val="center"/>
          </w:tcPr>
          <w:p w14:paraId="0707FA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技术方案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71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2AA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针对大厦现有供电能力、用电负荷，变配电室配电柜情况的核查方案；</w:t>
            </w:r>
          </w:p>
          <w:p w14:paraId="5353CFF6">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方案科学合理得5分，</w:t>
            </w:r>
          </w:p>
          <w:p w14:paraId="17988A9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内容不完善按程度扣1-4分，</w:t>
            </w:r>
          </w:p>
          <w:p w14:paraId="69CDC0FF">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无内容得0分</w:t>
            </w:r>
          </w:p>
        </w:tc>
      </w:tr>
      <w:tr w14:paraId="28B0C1B4">
        <w:trPr>
          <w:trHeight w:val="700" w:hRule="atLeast"/>
        </w:trPr>
        <w:tc>
          <w:tcPr>
            <w:tcW w:w="804" w:type="dxa"/>
            <w:vMerge w:val="continue"/>
            <w:tcBorders>
              <w:top w:val="single" w:color="000000" w:sz="4" w:space="0"/>
              <w:left w:val="single" w:color="000000" w:sz="4" w:space="0"/>
              <w:bottom w:val="nil"/>
              <w:right w:val="single" w:color="000000" w:sz="4" w:space="0"/>
            </w:tcBorders>
            <w:shd w:val="clear" w:color="auto" w:fill="auto"/>
            <w:vAlign w:val="center"/>
          </w:tcPr>
          <w:p w14:paraId="1E984A28">
            <w:pPr>
              <w:jc w:val="center"/>
              <w:rPr>
                <w:rFonts w:hint="eastAsia" w:ascii="宋体" w:hAnsi="宋体" w:eastAsia="宋体" w:cs="宋体"/>
                <w:i w:val="0"/>
                <w:iCs w:val="0"/>
                <w:color w:val="000000"/>
                <w:sz w:val="22"/>
                <w:szCs w:val="22"/>
                <w:u w:val="none"/>
              </w:rPr>
            </w:pPr>
          </w:p>
        </w:tc>
        <w:tc>
          <w:tcPr>
            <w:tcW w:w="1327" w:type="dxa"/>
            <w:vMerge w:val="continue"/>
            <w:tcBorders>
              <w:top w:val="single" w:color="000000" w:sz="4" w:space="0"/>
              <w:left w:val="single" w:color="000000" w:sz="4" w:space="0"/>
              <w:bottom w:val="nil"/>
              <w:right w:val="single" w:color="000000" w:sz="4" w:space="0"/>
            </w:tcBorders>
            <w:shd w:val="clear" w:color="auto" w:fill="auto"/>
            <w:vAlign w:val="center"/>
          </w:tcPr>
          <w:p w14:paraId="06D3603A">
            <w:pPr>
              <w:jc w:val="center"/>
              <w:rPr>
                <w:rFonts w:hint="eastAsia" w:ascii="宋体" w:hAnsi="宋体" w:eastAsia="宋体" w:cs="宋体"/>
                <w:i w:val="0"/>
                <w:iCs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4E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C16D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制定针对增容的需量管理方案，明确对承租户增容需求的核定标准与流程。</w:t>
            </w:r>
          </w:p>
          <w:p w14:paraId="0C0BE8E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方案可落地性强得5分，</w:t>
            </w:r>
          </w:p>
          <w:p w14:paraId="4A0F6A1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内容不完善按程度扣1-4分，</w:t>
            </w:r>
          </w:p>
          <w:p w14:paraId="409019BC">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无内容得0分</w:t>
            </w:r>
          </w:p>
        </w:tc>
      </w:tr>
      <w:tr w14:paraId="315549B1">
        <w:trPr>
          <w:trHeight w:val="700" w:hRule="atLeast"/>
        </w:trPr>
        <w:tc>
          <w:tcPr>
            <w:tcW w:w="804" w:type="dxa"/>
            <w:vMerge w:val="continue"/>
            <w:tcBorders>
              <w:top w:val="single" w:color="000000" w:sz="4" w:space="0"/>
              <w:left w:val="single" w:color="000000" w:sz="4" w:space="0"/>
              <w:bottom w:val="nil"/>
              <w:right w:val="single" w:color="000000" w:sz="4" w:space="0"/>
            </w:tcBorders>
            <w:shd w:val="clear" w:color="auto" w:fill="auto"/>
            <w:vAlign w:val="center"/>
          </w:tcPr>
          <w:p w14:paraId="7954D020">
            <w:pPr>
              <w:jc w:val="center"/>
              <w:rPr>
                <w:rFonts w:hint="eastAsia" w:ascii="宋体" w:hAnsi="宋体" w:eastAsia="宋体" w:cs="宋体"/>
                <w:i w:val="0"/>
                <w:iCs w:val="0"/>
                <w:color w:val="000000"/>
                <w:sz w:val="22"/>
                <w:szCs w:val="22"/>
                <w:u w:val="none"/>
              </w:rPr>
            </w:pPr>
          </w:p>
        </w:tc>
        <w:tc>
          <w:tcPr>
            <w:tcW w:w="1327" w:type="dxa"/>
            <w:vMerge w:val="continue"/>
            <w:tcBorders>
              <w:top w:val="single" w:color="000000" w:sz="4" w:space="0"/>
              <w:left w:val="single" w:color="000000" w:sz="4" w:space="0"/>
              <w:bottom w:val="nil"/>
              <w:right w:val="single" w:color="000000" w:sz="4" w:space="0"/>
            </w:tcBorders>
            <w:shd w:val="clear" w:color="auto" w:fill="auto"/>
            <w:vAlign w:val="center"/>
          </w:tcPr>
          <w:p w14:paraId="325EF2F4">
            <w:pPr>
              <w:jc w:val="center"/>
              <w:rPr>
                <w:rFonts w:hint="eastAsia" w:ascii="宋体" w:hAnsi="宋体" w:eastAsia="宋体" w:cs="宋体"/>
                <w:i w:val="0"/>
                <w:iCs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E7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ADA0">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结合项目现状及发展需求，制定楼宇电力科学分配、高效利用方案。（含容量预留、线路优化等内容）；</w:t>
            </w:r>
          </w:p>
          <w:p w14:paraId="7C6825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方案贴合项目实际、经济性和可操作性俱佳得 16-20 分，</w:t>
            </w:r>
          </w:p>
          <w:p w14:paraId="179B93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方案基本可行但有优化空间得 8-15 分，</w:t>
            </w:r>
          </w:p>
          <w:p w14:paraId="256209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方案粗糙、与项目不符得 1-7 分，</w:t>
            </w:r>
          </w:p>
          <w:p w14:paraId="21960C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无相关方案得 0 分。</w:t>
            </w:r>
          </w:p>
        </w:tc>
      </w:tr>
      <w:tr w14:paraId="1C584769">
        <w:trPr>
          <w:trHeight w:val="1690" w:hRule="atLeast"/>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12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47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服务方案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DD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B89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制定完善的全流程服务方案：</w:t>
            </w:r>
          </w:p>
          <w:p w14:paraId="4B8859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方案完整、责任清晰、措施具体得 12-15 分，</w:t>
            </w:r>
          </w:p>
          <w:p w14:paraId="3A744C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方案基本完整但细节不足得 6-11 分，</w:t>
            </w:r>
          </w:p>
          <w:p w14:paraId="09C7DC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方案简略得 1-5 分，</w:t>
            </w:r>
          </w:p>
          <w:p w14:paraId="0DB1F7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无相关方案得 0 分。</w:t>
            </w:r>
          </w:p>
        </w:tc>
      </w:tr>
      <w:tr w14:paraId="22DF9C7C">
        <w:trPr>
          <w:trHeight w:val="699" w:hRule="atLeast"/>
        </w:trPr>
        <w:tc>
          <w:tcPr>
            <w:tcW w:w="21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39BF72">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E3D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71124">
            <w:pPr>
              <w:jc w:val="left"/>
              <w:rPr>
                <w:rFonts w:hint="eastAsia" w:ascii="宋体" w:hAnsi="宋体" w:eastAsia="宋体" w:cs="宋体"/>
                <w:i w:val="0"/>
                <w:iCs w:val="0"/>
                <w:color w:val="000000"/>
                <w:sz w:val="22"/>
                <w:szCs w:val="22"/>
                <w:u w:val="none"/>
              </w:rPr>
            </w:pPr>
          </w:p>
        </w:tc>
      </w:tr>
    </w:tbl>
    <w:p w14:paraId="132AE742">
      <w:pPr>
        <w:spacing w:after="120" w:line="360" w:lineRule="auto"/>
        <w:jc w:val="left"/>
        <w:rPr>
          <w:rFonts w:hint="default" w:ascii="Times New Roman" w:hAnsi="Times New Roman" w:eastAsia="宋体" w:cs="Times New Roman"/>
          <w:sz w:val="24"/>
          <w:szCs w:val="24"/>
          <w:lang w:val="en-US" w:eastAsia="zh-CN"/>
        </w:rPr>
      </w:pPr>
    </w:p>
    <w:p w14:paraId="46D2A8E1">
      <w:pPr>
        <w:spacing w:after="120" w:line="360" w:lineRule="auto"/>
        <w:jc w:val="left"/>
        <w:rPr>
          <w:rFonts w:hint="default" w:ascii="Times New Roman" w:hAnsi="Times New Roman" w:eastAsia="宋体"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EF" w:usb1="C0007841" w:usb2="00000009" w:usb3="00000000" w:csb0="400001FF" w:csb1="FFFF0000"/>
  </w:font>
  <w:font w:name="宋体">
    <w:altName w:val="汉仪书宋二KW"/>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20F0302020204030204"/>
    <w:charset w:val="00"/>
    <w:family w:val="auto"/>
    <w:pitch w:val="default"/>
    <w:sig w:usb0="00000000" w:usb1="00000000" w:usb2="00000009" w:usb3="00000000" w:csb0="200001F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7E61C"/>
    <w:multiLevelType w:val="singleLevel"/>
    <w:tmpl w:val="D177E61C"/>
    <w:lvl w:ilvl="0" w:tentative="0">
      <w:start w:val="1"/>
      <w:numFmt w:val="decimal"/>
      <w:suff w:val="space"/>
      <w:lvlText w:val="%1."/>
      <w:lvlJc w:val="left"/>
      <w:pPr>
        <w:ind w:left="0" w:firstLine="480"/>
      </w:pPr>
      <w:rPr>
        <w:rFonts w:hint="default"/>
      </w:rPr>
    </w:lvl>
  </w:abstractNum>
  <w:abstractNum w:abstractNumId="1">
    <w:nsid w:val="E7DB5952"/>
    <w:multiLevelType w:val="singleLevel"/>
    <w:tmpl w:val="E7DB5952"/>
    <w:lvl w:ilvl="0" w:tentative="0">
      <w:start w:val="1"/>
      <w:numFmt w:val="decimal"/>
      <w:suff w:val="space"/>
      <w:lvlText w:val="%1."/>
      <w:lvlJc w:val="left"/>
      <w:pPr>
        <w:ind w:left="0" w:firstLine="480"/>
      </w:pPr>
      <w:rPr>
        <w:rFonts w:hint="default"/>
      </w:rPr>
    </w:lvl>
  </w:abstractNum>
  <w:abstractNum w:abstractNumId="2">
    <w:nsid w:val="FC9F36EB"/>
    <w:multiLevelType w:val="singleLevel"/>
    <w:tmpl w:val="FC9F36EB"/>
    <w:lvl w:ilvl="0" w:tentative="0">
      <w:start w:val="1"/>
      <w:numFmt w:val="decimal"/>
      <w:suff w:val="nothing"/>
      <w:lvlText w:val="（%1）"/>
      <w:lvlJc w:val="left"/>
      <w:pPr>
        <w:ind w:left="0" w:firstLine="480"/>
      </w:pPr>
      <w:rPr>
        <w:rFonts w:hint="default"/>
      </w:rPr>
    </w:lvl>
  </w:abstractNum>
  <w:abstractNum w:abstractNumId="3">
    <w:nsid w:val="FCFCD1A5"/>
    <w:multiLevelType w:val="singleLevel"/>
    <w:tmpl w:val="FCFCD1A5"/>
    <w:lvl w:ilvl="0" w:tentative="0">
      <w:start w:val="1"/>
      <w:numFmt w:val="chineseCounting"/>
      <w:suff w:val="nothing"/>
      <w:lvlText w:val="%1、"/>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0D"/>
    <w:rsid w:val="000162F2"/>
    <w:rsid w:val="0004242C"/>
    <w:rsid w:val="00324C43"/>
    <w:rsid w:val="003C55C6"/>
    <w:rsid w:val="003D4F09"/>
    <w:rsid w:val="00456E00"/>
    <w:rsid w:val="006B0C06"/>
    <w:rsid w:val="006C011F"/>
    <w:rsid w:val="0075018B"/>
    <w:rsid w:val="00852A0D"/>
    <w:rsid w:val="00B90AFE"/>
    <w:rsid w:val="00BC3A1F"/>
    <w:rsid w:val="00C111F0"/>
    <w:rsid w:val="00C11266"/>
    <w:rsid w:val="00CB56A3"/>
    <w:rsid w:val="00D965E9"/>
    <w:rsid w:val="00E164D9"/>
    <w:rsid w:val="00E35A64"/>
    <w:rsid w:val="00F2395D"/>
    <w:rsid w:val="00F24105"/>
    <w:rsid w:val="076005EE"/>
    <w:rsid w:val="078F6575"/>
    <w:rsid w:val="0BA4423F"/>
    <w:rsid w:val="0BD7308C"/>
    <w:rsid w:val="0D897F56"/>
    <w:rsid w:val="18D21BDA"/>
    <w:rsid w:val="1AD82DAC"/>
    <w:rsid w:val="1B59213E"/>
    <w:rsid w:val="1BCF53AF"/>
    <w:rsid w:val="1D1BD8B4"/>
    <w:rsid w:val="23531B69"/>
    <w:rsid w:val="29037B8D"/>
    <w:rsid w:val="362A49AB"/>
    <w:rsid w:val="366F6862"/>
    <w:rsid w:val="3AD061B8"/>
    <w:rsid w:val="3BDA7A57"/>
    <w:rsid w:val="3F7B9B42"/>
    <w:rsid w:val="3FAF09FE"/>
    <w:rsid w:val="441E193B"/>
    <w:rsid w:val="44F26661"/>
    <w:rsid w:val="4DDB4F48"/>
    <w:rsid w:val="4E685C19"/>
    <w:rsid w:val="4FFED073"/>
    <w:rsid w:val="55125CC1"/>
    <w:rsid w:val="59F56718"/>
    <w:rsid w:val="5BFDBCF3"/>
    <w:rsid w:val="5C6791F7"/>
    <w:rsid w:val="5DD90910"/>
    <w:rsid w:val="62D34709"/>
    <w:rsid w:val="63EBD311"/>
    <w:rsid w:val="6B594E10"/>
    <w:rsid w:val="6B95528F"/>
    <w:rsid w:val="6C3A04AE"/>
    <w:rsid w:val="6CB231BA"/>
    <w:rsid w:val="6D0112BB"/>
    <w:rsid w:val="6DEF55B7"/>
    <w:rsid w:val="6E9B225D"/>
    <w:rsid w:val="6FFF5CE3"/>
    <w:rsid w:val="77DEEB90"/>
    <w:rsid w:val="77FF2F12"/>
    <w:rsid w:val="7A6F11D7"/>
    <w:rsid w:val="7BBA7657"/>
    <w:rsid w:val="7D7287F5"/>
    <w:rsid w:val="7DBF7085"/>
    <w:rsid w:val="7DF6140F"/>
    <w:rsid w:val="7EDEE0E3"/>
    <w:rsid w:val="7F4A1F31"/>
    <w:rsid w:val="7FA80C7D"/>
    <w:rsid w:val="7FF9C7FF"/>
    <w:rsid w:val="97F7A6EB"/>
    <w:rsid w:val="9E6DDE9B"/>
    <w:rsid w:val="BFF96E64"/>
    <w:rsid w:val="CAF6CE63"/>
    <w:rsid w:val="DCEF0058"/>
    <w:rsid w:val="E7FD760D"/>
    <w:rsid w:val="EBBE2C2A"/>
    <w:rsid w:val="EF7E767C"/>
    <w:rsid w:val="EFBF410D"/>
    <w:rsid w:val="F7B73BFE"/>
    <w:rsid w:val="FDCE1170"/>
    <w:rsid w:val="FE3D47E8"/>
    <w:rsid w:val="FFBD24DE"/>
    <w:rsid w:val="FFEFE1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link w:val="18"/>
    <w:qFormat/>
    <w:uiPriority w:val="9"/>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link w:val="19"/>
    <w:semiHidden/>
    <w:unhideWhenUsed/>
    <w:qFormat/>
    <w:uiPriority w:val="9"/>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link w:val="20"/>
    <w:semiHidden/>
    <w:unhideWhenUsed/>
    <w:qFormat/>
    <w:uiPriority w:val="9"/>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link w:val="21"/>
    <w:semiHidden/>
    <w:unhideWhenUsed/>
    <w:qFormat/>
    <w:uiPriority w:val="9"/>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link w:val="22"/>
    <w:semiHidden/>
    <w:unhideWhenUsed/>
    <w:qFormat/>
    <w:uiPriority w:val="9"/>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link w:val="23"/>
    <w:semiHidden/>
    <w:unhideWhenUsed/>
    <w:qFormat/>
    <w:uiPriority w:val="9"/>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link w:val="24"/>
    <w:semiHidden/>
    <w:unhideWhenUsed/>
    <w:qFormat/>
    <w:uiPriority w:val="9"/>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link w:val="25"/>
    <w:semiHidden/>
    <w:unhideWhenUsed/>
    <w:qFormat/>
    <w:uiPriority w:val="9"/>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link w:val="26"/>
    <w:semiHidden/>
    <w:unhideWhenUsed/>
    <w:qFormat/>
    <w:uiPriority w:val="9"/>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Body Text"/>
    <w:semiHidden/>
    <w:unhideWhenUsed/>
    <w:qFormat/>
    <w:uiPriority w:val="99"/>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Subtitle"/>
    <w:next w:val="1"/>
    <w:link w:val="28"/>
    <w:qFormat/>
    <w:uiPriority w:val="11"/>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3">
    <w:name w:val="Normal (Web)"/>
    <w:basedOn w:val="1"/>
    <w:semiHidden/>
    <w:unhideWhenUsed/>
    <w:qFormat/>
    <w:uiPriority w:val="99"/>
    <w:rPr>
      <w:sz w:val="24"/>
    </w:rPr>
  </w:style>
  <w:style w:type="paragraph" w:styleId="14">
    <w:name w:val="Title"/>
    <w:next w:val="1"/>
    <w:link w:val="27"/>
    <w:qFormat/>
    <w:uiPriority w:val="1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7">
    <w:name w:val="Strong"/>
    <w:basedOn w:val="16"/>
    <w:qFormat/>
    <w:uiPriority w:val="22"/>
    <w:rPr>
      <w:b/>
    </w:rPr>
  </w:style>
  <w:style w:type="character" w:customStyle="1" w:styleId="18">
    <w:name w:val="标题 1 字符"/>
    <w:basedOn w:val="16"/>
    <w:link w:val="2"/>
    <w:qFormat/>
    <w:uiPriority w:val="9"/>
    <w:rPr>
      <w:rFonts w:asciiTheme="majorHAnsi" w:hAnsiTheme="majorHAnsi" w:eastAsiaTheme="majorEastAsia" w:cstheme="majorBidi"/>
      <w:color w:val="2E54A1" w:themeColor="accent1" w:themeShade="BF"/>
      <w:sz w:val="48"/>
      <w:szCs w:val="48"/>
    </w:rPr>
  </w:style>
  <w:style w:type="character" w:customStyle="1" w:styleId="19">
    <w:name w:val="标题 2 字符"/>
    <w:basedOn w:val="16"/>
    <w:link w:val="3"/>
    <w:semiHidden/>
    <w:qFormat/>
    <w:uiPriority w:val="9"/>
    <w:rPr>
      <w:rFonts w:asciiTheme="majorHAnsi" w:hAnsiTheme="majorHAnsi" w:eastAsiaTheme="majorEastAsia" w:cstheme="majorBidi"/>
      <w:color w:val="2E54A1" w:themeColor="accent1" w:themeShade="BF"/>
      <w:sz w:val="40"/>
      <w:szCs w:val="40"/>
    </w:rPr>
  </w:style>
  <w:style w:type="character" w:customStyle="1" w:styleId="20">
    <w:name w:val="标题 3 字符"/>
    <w:basedOn w:val="16"/>
    <w:link w:val="4"/>
    <w:semiHidden/>
    <w:qFormat/>
    <w:uiPriority w:val="9"/>
    <w:rPr>
      <w:rFonts w:asciiTheme="majorHAnsi" w:hAnsiTheme="majorHAnsi" w:eastAsiaTheme="majorEastAsia" w:cstheme="majorBidi"/>
      <w:color w:val="2E54A1" w:themeColor="accent1" w:themeShade="BF"/>
      <w:sz w:val="32"/>
      <w:szCs w:val="32"/>
    </w:rPr>
  </w:style>
  <w:style w:type="character" w:customStyle="1" w:styleId="21">
    <w:name w:val="标题 4 字符"/>
    <w:basedOn w:val="16"/>
    <w:link w:val="5"/>
    <w:semiHidden/>
    <w:qFormat/>
    <w:uiPriority w:val="9"/>
    <w:rPr>
      <w:rFonts w:cstheme="majorBidi"/>
      <w:color w:val="2E54A1" w:themeColor="accent1" w:themeShade="BF"/>
      <w:sz w:val="28"/>
      <w:szCs w:val="28"/>
    </w:rPr>
  </w:style>
  <w:style w:type="character" w:customStyle="1" w:styleId="22">
    <w:name w:val="标题 5 字符"/>
    <w:basedOn w:val="16"/>
    <w:link w:val="6"/>
    <w:semiHidden/>
    <w:qFormat/>
    <w:uiPriority w:val="9"/>
    <w:rPr>
      <w:rFonts w:cstheme="majorBidi"/>
      <w:color w:val="2E54A1" w:themeColor="accent1" w:themeShade="BF"/>
      <w:sz w:val="24"/>
    </w:rPr>
  </w:style>
  <w:style w:type="character" w:customStyle="1" w:styleId="23">
    <w:name w:val="标题 6 字符"/>
    <w:basedOn w:val="16"/>
    <w:link w:val="7"/>
    <w:semiHidden/>
    <w:qFormat/>
    <w:uiPriority w:val="9"/>
    <w:rPr>
      <w:rFonts w:cstheme="majorBidi"/>
      <w:b/>
      <w:bCs/>
      <w:color w:val="2E54A1" w:themeColor="accent1" w:themeShade="BF"/>
    </w:rPr>
  </w:style>
  <w:style w:type="character" w:customStyle="1" w:styleId="24">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6"/>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引用 字符"/>
    <w:basedOn w:val="16"/>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6"/>
    <w:qFormat/>
    <w:uiPriority w:val="21"/>
    <w:rPr>
      <w:i/>
      <w:iCs/>
      <w:color w:val="2E54A1" w:themeColor="accent1" w:themeShade="BF"/>
    </w:rPr>
  </w:style>
  <w:style w:type="paragraph" w:styleId="33">
    <w:name w:val="Intense Quote"/>
    <w:basedOn w:val="1"/>
    <w:next w:val="1"/>
    <w:link w:val="34"/>
    <w:qFormat/>
    <w:uiPriority w:val="30"/>
    <w:pPr>
      <w:pBdr>
        <w:top w:val="single" w:color="2D54A0" w:themeColor="accent1" w:themeShade="BF" w:sz="4" w:space="10"/>
        <w:bottom w:val="single" w:color="2D54A0" w:themeColor="accent1" w:themeShade="BF" w:sz="4" w:space="10"/>
      </w:pBdr>
      <w:spacing w:before="360" w:after="360"/>
      <w:ind w:left="864" w:right="864"/>
      <w:jc w:val="center"/>
    </w:pPr>
    <w:rPr>
      <w:i/>
      <w:iCs/>
      <w:color w:val="2E54A1" w:themeColor="accent1" w:themeShade="BF"/>
    </w:rPr>
  </w:style>
  <w:style w:type="character" w:customStyle="1" w:styleId="34">
    <w:name w:val="明显引用 字符"/>
    <w:basedOn w:val="16"/>
    <w:link w:val="33"/>
    <w:qFormat/>
    <w:uiPriority w:val="30"/>
    <w:rPr>
      <w:i/>
      <w:iCs/>
      <w:color w:val="2E54A1" w:themeColor="accent1" w:themeShade="BF"/>
    </w:rPr>
  </w:style>
  <w:style w:type="character" w:customStyle="1" w:styleId="35">
    <w:name w:val="Intense Reference"/>
    <w:basedOn w:val="16"/>
    <w:qFormat/>
    <w:uiPriority w:val="32"/>
    <w:rPr>
      <w:b/>
      <w:bCs/>
      <w:smallCaps/>
      <w:color w:val="2E54A1" w:themeColor="accent1" w:themeShade="BF"/>
      <w:spacing w:val="5"/>
    </w:rPr>
  </w:style>
  <w:style w:type="paragraph" w:customStyle="1" w:styleId="36">
    <w:name w:val="强调标题"/>
    <w:next w:val="1"/>
    <w:qFormat/>
    <w:uiPriority w:val="0"/>
    <w:pPr>
      <w:spacing w:after="120" w:line="360" w:lineRule="auto"/>
      <w:ind w:firstLine="420" w:firstLineChars="200"/>
      <w:outlineLvl w:val="0"/>
    </w:pPr>
    <w:rPr>
      <w:rFonts w:ascii="Calibri" w:hAnsi="Calibri" w:eastAsia="宋体" w:cs="Times New Roman"/>
      <w:b/>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1149</Words>
  <Characters>1297</Characters>
  <Lines>8</Lines>
  <Paragraphs>2</Paragraphs>
  <TotalTime>1</TotalTime>
  <ScaleCrop>false</ScaleCrop>
  <LinksUpToDate>false</LinksUpToDate>
  <CharactersWithSpaces>1306</CharactersWithSpaces>
  <Application>WPS Office_7.5.1.8994_F1E327BC-269C-435d-A152-05C5408002CA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2025-05-23T07:28:00Z</dcterms:created>
  <dc:creator>Wang Jia</dc:creator>
  <cp:lastModifiedBy>王迦(2025620252)</cp:lastModifiedBy>
  <dcterms:modified xsi:type="dcterms:W3CDTF">2026-03-23T16:09:32Z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ecabac-5b6e-420d-b686-5fca49014776_Enabled">
    <vt:lpwstr>true</vt:lpwstr>
  </property>
  <property fmtid="{D5CDD505-2E9C-101B-9397-08002B2CF9AE}" pid="3" name="MSIP_Label_a3ecabac-5b6e-420d-b686-5fca49014776_SetDate">
    <vt:lpwstr>2025-05-19T07:29:16Z</vt:lpwstr>
  </property>
  <property fmtid="{D5CDD505-2E9C-101B-9397-08002B2CF9AE}" pid="4" name="MSIP_Label_a3ecabac-5b6e-420d-b686-5fca49014776_Method">
    <vt:lpwstr>Privileged</vt:lpwstr>
  </property>
  <property fmtid="{D5CDD505-2E9C-101B-9397-08002B2CF9AE}" pid="5" name="MSIP_Label_a3ecabac-5b6e-420d-b686-5fca49014776_Name">
    <vt:lpwstr>a3ecabac-5b6e-420d-b686-5fca49014776</vt:lpwstr>
  </property>
  <property fmtid="{D5CDD505-2E9C-101B-9397-08002B2CF9AE}" pid="6" name="MSIP_Label_a3ecabac-5b6e-420d-b686-5fca49014776_SiteId">
    <vt:lpwstr>ae326a90-5548-4db0-a52c-9b8e317c2010</vt:lpwstr>
  </property>
  <property fmtid="{D5CDD505-2E9C-101B-9397-08002B2CF9AE}" pid="7" name="MSIP_Label_a3ecabac-5b6e-420d-b686-5fca49014776_ActionId">
    <vt:lpwstr>5a77ad2d-bcf6-420a-8a1d-fa27e73b0288</vt:lpwstr>
  </property>
  <property fmtid="{D5CDD505-2E9C-101B-9397-08002B2CF9AE}" pid="8" name="MSIP_Label_a3ecabac-5b6e-420d-b686-5fca49014776_ContentBits">
    <vt:lpwstr>0</vt:lpwstr>
  </property>
  <property fmtid="{D5CDD505-2E9C-101B-9397-08002B2CF9AE}" pid="9" name="MSIP_Label_a3ecabac-5b6e-420d-b686-5fca49014776_Tag">
    <vt:lpwstr>50, 0, 1, 1</vt:lpwstr>
  </property>
  <property fmtid="{D5CDD505-2E9C-101B-9397-08002B2CF9AE}" pid="10" name="KSOTemplateDocerSaveRecord">
    <vt:lpwstr>eyJoZGlkIjoiN2ZkN2U0NTE2ZWZjNGNkOGYwMTY5ODIwZjEyYjUxNGMiLCJ1c2VySWQiOiI4MDQ3MzIwNjEifQ==</vt:lpwstr>
  </property>
  <property fmtid="{D5CDD505-2E9C-101B-9397-08002B2CF9AE}" pid="11" name="KSOProductBuildVer">
    <vt:lpwstr>2052-7.5.1.8994</vt:lpwstr>
  </property>
  <property fmtid="{D5CDD505-2E9C-101B-9397-08002B2CF9AE}" pid="12" name="ICV">
    <vt:lpwstr>EEE88DBADE59F63B24F4C0691C734999_43</vt:lpwstr>
  </property>
</Properties>
</file>