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D9A" w:rsidRDefault="00A940E0" w:rsidP="002C5621">
      <w:pPr>
        <w:jc w:val="center"/>
      </w:pPr>
      <w:r>
        <w:rPr>
          <w:rFonts w:hint="eastAsia"/>
        </w:rPr>
        <w:t>光伏利用技术实验虚拟仿真模块</w:t>
      </w:r>
      <w:r w:rsidR="002C5621">
        <w:rPr>
          <w:rFonts w:hint="eastAsia"/>
        </w:rPr>
        <w:t>技术参数</w:t>
      </w:r>
    </w:p>
    <w:p w:rsidR="00A940E0" w:rsidRDefault="00A940E0"/>
    <w:p w:rsidR="00A940E0" w:rsidRPr="00777FE9" w:rsidRDefault="00A940E0" w:rsidP="00A940E0">
      <w:pPr>
        <w:spacing w:line="360" w:lineRule="auto"/>
        <w:ind w:firstLineChars="200" w:firstLine="420"/>
        <w:jc w:val="left"/>
      </w:pPr>
      <w:r>
        <w:rPr>
          <w:rFonts w:hint="eastAsia"/>
        </w:rPr>
        <w:t>前</w:t>
      </w:r>
      <w:r w:rsidRPr="00777FE9">
        <w:rPr>
          <w:rFonts w:hint="eastAsia"/>
        </w:rPr>
        <w:t>已进行完成1000W光电光热综合利用技术实体实验台（改善办学条件经费支持），还需建设大场景光电光热综合利用虚拟仿真，并与实体实验台数据耦合。实验对比光伏发电和光热发电实现光电和热电直接转换的实验平台。</w:t>
      </w:r>
    </w:p>
    <w:p w:rsidR="00A940E0" w:rsidRPr="003848A2" w:rsidRDefault="00A940E0" w:rsidP="00A940E0">
      <w:pPr>
        <w:spacing w:line="360" w:lineRule="auto"/>
        <w:jc w:val="left"/>
        <w:rPr>
          <w:b/>
          <w:bCs/>
          <w:sz w:val="32"/>
          <w:szCs w:val="32"/>
        </w:rPr>
      </w:pPr>
      <w:r w:rsidRPr="003848A2">
        <w:rPr>
          <w:rFonts w:hint="eastAsia"/>
          <w:b/>
          <w:bCs/>
          <w:sz w:val="32"/>
          <w:szCs w:val="32"/>
        </w:rPr>
        <w:t>技术要求</w:t>
      </w:r>
    </w:p>
    <w:p w:rsidR="00A940E0" w:rsidRPr="00393B11" w:rsidRDefault="00A940E0" w:rsidP="00A940E0">
      <w:pPr>
        <w:pStyle w:val="1"/>
        <w:spacing w:line="360" w:lineRule="auto"/>
      </w:pPr>
      <w:r>
        <w:rPr>
          <w:rFonts w:ascii="宋体" w:hAnsi="宋体" w:hint="eastAsia"/>
          <w:szCs w:val="21"/>
        </w:rPr>
        <w:t>本实验模块场景以光伏电站为背景，采用三维虚拟仿真技术，实验对太阳能电池板、蓄电池室，并网逆变器、变压器、汇流箱等设备</w:t>
      </w:r>
      <w:r>
        <w:rPr>
          <w:rFonts w:hint="eastAsia"/>
        </w:rPr>
        <w:t>的真实模拟重现</w:t>
      </w:r>
      <w:r>
        <w:rPr>
          <w:rFonts w:ascii="宋体" w:hAnsi="宋体" w:hint="eastAsia"/>
          <w:szCs w:val="21"/>
        </w:rPr>
        <w:t>。以生产流程和设计光伏电站实验展开学习。</w:t>
      </w:r>
    </w:p>
    <w:p w:rsidR="00A940E0" w:rsidRDefault="00A940E0" w:rsidP="00A940E0">
      <w:pPr>
        <w:spacing w:line="360" w:lineRule="auto"/>
        <w:ind w:firstLineChars="200" w:firstLine="420"/>
        <w:jc w:val="left"/>
        <w:rPr>
          <w:szCs w:val="21"/>
        </w:rPr>
      </w:pPr>
      <w:r>
        <w:rPr>
          <w:rFonts w:hint="eastAsia"/>
          <w:szCs w:val="21"/>
        </w:rPr>
        <w:t>1、课程学习功能</w:t>
      </w:r>
    </w:p>
    <w:p w:rsidR="00A940E0" w:rsidRDefault="00A940E0" w:rsidP="00A940E0">
      <w:pPr>
        <w:spacing w:line="360" w:lineRule="auto"/>
        <w:ind w:firstLineChars="200" w:firstLine="420"/>
        <w:jc w:val="left"/>
        <w:rPr>
          <w:szCs w:val="21"/>
        </w:rPr>
      </w:pPr>
      <w:r>
        <w:rPr>
          <w:rFonts w:hint="eastAsia"/>
          <w:szCs w:val="21"/>
        </w:rPr>
        <w:t>可以学习到光伏光伏发电系统发电流程、光伏电池组件与光伏方阵、光伏阵列支架、光伏控制器和逆变器、储能电池及器件、整体配置及相关设计、安装施工与检查测试、运行维护与故障排除。</w:t>
      </w:r>
    </w:p>
    <w:p w:rsidR="00A940E0" w:rsidRDefault="00A940E0" w:rsidP="00A940E0">
      <w:pPr>
        <w:spacing w:line="36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2、虚拟安装功能</w:t>
      </w:r>
      <w:bookmarkStart w:id="0" w:name="_GoBack"/>
      <w:bookmarkEnd w:id="0"/>
    </w:p>
    <w:p w:rsidR="00A940E0" w:rsidRDefault="00A940E0" w:rsidP="00A940E0">
      <w:pPr>
        <w:spacing w:line="360" w:lineRule="auto"/>
        <w:ind w:firstLineChars="200" w:firstLine="420"/>
      </w:pPr>
      <w:r>
        <w:rPr>
          <w:rFonts w:hint="eastAsia"/>
          <w:szCs w:val="21"/>
        </w:rPr>
        <w:t>包括学习模式、练习模式、考核模式。</w:t>
      </w:r>
      <w:r>
        <w:rPr>
          <w:rFonts w:hint="eastAsia"/>
        </w:rPr>
        <w:t>在学习模式下，可以根据装配步骤，自动进行装配。在练习模式中，根据步骤提示，将各个模块从模块库中拖到指定的位置进行安装，如果安装错误，可以将模块拖到回收站中。在考核模式下，没有实验步骤，用户需要根据前面的学习模式和练习模式所学到的知识，自己进行安装，所有的操作将进行评分。</w:t>
      </w:r>
    </w:p>
    <w:p w:rsidR="00A940E0" w:rsidRDefault="00A940E0" w:rsidP="00A940E0">
      <w:pPr>
        <w:spacing w:line="360" w:lineRule="auto"/>
        <w:ind w:firstLineChars="200" w:firstLine="420"/>
      </w:pPr>
      <w:r>
        <w:rPr>
          <w:rFonts w:hint="eastAsia"/>
        </w:rPr>
        <w:t>3、设备学习功能</w:t>
      </w:r>
    </w:p>
    <w:p w:rsidR="00A940E0" w:rsidRDefault="00A940E0" w:rsidP="00A940E0">
      <w:pPr>
        <w:spacing w:line="360" w:lineRule="auto"/>
        <w:ind w:firstLineChars="200" w:firstLine="420"/>
      </w:pPr>
      <w:r>
        <w:rPr>
          <w:rFonts w:hint="eastAsia"/>
        </w:rPr>
        <w:t>学习光伏电站中各个设备的设备原理、主要作用以及应用场景等知识点。包括单晶硅太阳能电池、多晶硅太阳能电池、薄膜太阳能电池、逆变器、变压器、电流互感器。可通过一键定位功能定位到主要的设备位置，进行相应的设备学习。</w:t>
      </w:r>
    </w:p>
    <w:p w:rsidR="00A940E0" w:rsidRDefault="00A940E0" w:rsidP="00A940E0">
      <w:pPr>
        <w:spacing w:line="360" w:lineRule="auto"/>
        <w:ind w:firstLineChars="200" w:firstLine="420"/>
      </w:pPr>
      <w:r>
        <w:rPr>
          <w:rFonts w:hint="eastAsia"/>
        </w:rPr>
        <w:t>4、最大功率追踪实验</w:t>
      </w:r>
    </w:p>
    <w:p w:rsidR="00A940E0" w:rsidRDefault="00A940E0" w:rsidP="00A940E0">
      <w:pPr>
        <w:spacing w:line="360" w:lineRule="auto"/>
        <w:ind w:firstLineChars="200" w:firstLine="420"/>
      </w:pPr>
      <w:r>
        <w:rPr>
          <w:rFonts w:hint="eastAsia"/>
        </w:rPr>
        <w:t>在一定的光照强度和环境温度下，电阻不同时，光伏板可以有不同的输出电压。但是，只有在某一输出电压时，光伏阵列的输出功率才能达到最大值。当光照强度、环境温度发生变化时，通过改变光伏阵列的等效负载 ，调节光伏阵列的工作点，使之始终工作在最大功率点附近，这个过程称为最大功率点跟踪。常用的方法有：恒定电压法，扰动观察法、增量电导法。实验中通过改变时间，可改变太阳的角度和当前的辐射强度，光伏电池输出电压电流发生改变，最大功率点变化。改变光伏电池的角度，调节光伏阵列工作点，电池板输出最大功率。</w:t>
      </w:r>
    </w:p>
    <w:p w:rsidR="00A940E0" w:rsidRDefault="00A940E0" w:rsidP="00A940E0">
      <w:pPr>
        <w:spacing w:line="360" w:lineRule="auto"/>
        <w:ind w:firstLineChars="200" w:firstLine="420"/>
      </w:pPr>
      <w:r>
        <w:rPr>
          <w:rFonts w:hint="eastAsia"/>
        </w:rPr>
        <w:lastRenderedPageBreak/>
        <w:t>5、并网实验</w:t>
      </w:r>
    </w:p>
    <w:p w:rsidR="00A940E0" w:rsidRDefault="00A940E0" w:rsidP="00A940E0">
      <w:pPr>
        <w:spacing w:line="360" w:lineRule="auto"/>
        <w:ind w:firstLineChars="200" w:firstLine="420"/>
      </w:pPr>
      <w:r>
        <w:rPr>
          <w:rFonts w:hint="eastAsia"/>
        </w:rPr>
        <w:t>选择逆变器的型号，确定逆变器的功率，电压范围，电流范围。设计光伏阵列的串并联数量，进行并网逆变器操作并网，将会对串并联的电池的电压、电流和功率进行判断，是否大于逆变器的参数范围，如果大于，将提示重新设计。如果设计的在逆变器的范围内，将提示并网成功。</w:t>
      </w:r>
    </w:p>
    <w:p w:rsidR="00A940E0" w:rsidRPr="00FC5823" w:rsidRDefault="00A940E0" w:rsidP="00A940E0">
      <w:pPr>
        <w:spacing w:line="360" w:lineRule="auto"/>
        <w:ind w:firstLineChars="200" w:firstLine="420"/>
        <w:jc w:val="left"/>
        <w:rPr>
          <w:b/>
          <w:bCs/>
        </w:rPr>
      </w:pPr>
      <w:r>
        <w:rPr>
          <w:rFonts w:hint="eastAsia"/>
        </w:rPr>
        <w:t>6、资源管理平台</w:t>
      </w:r>
    </w:p>
    <w:p w:rsidR="00A940E0" w:rsidRDefault="00A940E0" w:rsidP="00A940E0">
      <w:pPr>
        <w:spacing w:line="360" w:lineRule="auto"/>
        <w:ind w:firstLineChars="200" w:firstLine="420"/>
        <w:jc w:val="left"/>
      </w:pPr>
      <w:r>
        <w:rPr>
          <w:rFonts w:hint="eastAsia"/>
        </w:rPr>
        <w:t>本实验模块由资源管理平台进行管理，资源管理平台具有前端功能、后端功能和角色管理功能。</w:t>
      </w:r>
    </w:p>
    <w:p w:rsidR="00A940E0" w:rsidRDefault="00A940E0" w:rsidP="00A940E0">
      <w:pPr>
        <w:spacing w:line="360" w:lineRule="auto"/>
        <w:ind w:firstLineChars="200" w:firstLine="420"/>
      </w:pPr>
      <w:r>
        <w:rPr>
          <w:rFonts w:hint="eastAsia"/>
        </w:rPr>
        <w:t>前端功能包括：课程、实验库、资源</w:t>
      </w:r>
      <w:r>
        <w:t>3</w:t>
      </w:r>
      <w:r>
        <w:rPr>
          <w:rFonts w:hint="eastAsia"/>
        </w:rPr>
        <w:t>大块，包含用户、班级、题库、试卷库等配套功能，可根据指定的筛选条件进行查询，实现对数据的增、删、改、查功能。</w:t>
      </w:r>
    </w:p>
    <w:p w:rsidR="00A940E0" w:rsidRDefault="00A940E0" w:rsidP="00A940E0">
      <w:pPr>
        <w:spacing w:line="360" w:lineRule="auto"/>
        <w:ind w:firstLineChars="200" w:firstLine="420"/>
      </w:pPr>
      <w:r>
        <w:rPr>
          <w:rFonts w:hint="eastAsia"/>
        </w:rPr>
        <w:t>课程库：可根据课程教学的要求，自由定制课程的内容，自由配置UI界面，UI的类型包括：导读、课程目录、笔记、讨论、评价等子功能；可自定义章、节、课时的列表，课时包括：视频、音频、仿真软件等形式。</w:t>
      </w:r>
    </w:p>
    <w:p w:rsidR="00A940E0" w:rsidRDefault="00A940E0" w:rsidP="00A940E0">
      <w:pPr>
        <w:spacing w:line="360" w:lineRule="auto"/>
        <w:ind w:firstLineChars="200" w:firstLine="420"/>
      </w:pPr>
      <w:r>
        <w:rPr>
          <w:rFonts w:hint="eastAsia"/>
        </w:rPr>
        <w:t>实验库：可根据实验教学的要求，自由定制实验的内容，自由配置UI界面，包括：导读、实验目录、笔记、讨论、评价等子功能，可自定义实验的内容，包括：导读、要求、教学、操作、结果、报告等形式；根据仿真软件的类型， PC版软件和WEB版软件的实验教学，具备实时仿真计算能力。</w:t>
      </w:r>
    </w:p>
    <w:p w:rsidR="00A940E0" w:rsidRDefault="00A940E0" w:rsidP="00A940E0">
      <w:pPr>
        <w:spacing w:line="360" w:lineRule="auto"/>
        <w:ind w:firstLineChars="200" w:firstLine="420"/>
      </w:pPr>
      <w:r>
        <w:rPr>
          <w:rFonts w:hint="eastAsia"/>
        </w:rPr>
        <w:t>资源库：管理员、教师用户可上传教学使用的资源文件，包括：仿真软件、视频、音频、图片、办公文件等形式，资源库中的资源可应用到课程或实验库中。对于站外的资源，可以通过外链功能引入到本站中，实现外部资源的集中管理。</w:t>
      </w:r>
    </w:p>
    <w:p w:rsidR="00A940E0" w:rsidRDefault="00A940E0" w:rsidP="00A940E0">
      <w:pPr>
        <w:spacing w:line="360" w:lineRule="auto"/>
        <w:ind w:firstLineChars="200" w:firstLine="420"/>
      </w:pPr>
      <w:r>
        <w:rPr>
          <w:rFonts w:hint="eastAsia"/>
        </w:rPr>
        <w:t>后端功能包括：机构管理、人员管理、资源管理、课程管理、仿真软件的授权、日志管理、黑名单管理等功能；管理员可对公共资源和基础数据进行管理等功能。</w:t>
      </w:r>
    </w:p>
    <w:p w:rsidR="00A940E0" w:rsidRDefault="00A940E0" w:rsidP="00A940E0">
      <w:pPr>
        <w:spacing w:line="360" w:lineRule="auto"/>
        <w:ind w:firstLineChars="200" w:firstLine="420"/>
      </w:pPr>
      <w:r>
        <w:rPr>
          <w:rFonts w:hint="eastAsia"/>
        </w:rPr>
        <w:t>角色管理根据用户权限的不同，系统总体上分为：管理员用户、教师用户、学生用户共3种角色；</w:t>
      </w:r>
    </w:p>
    <w:p w:rsidR="00A940E0" w:rsidRDefault="00A940E0" w:rsidP="00A940E0">
      <w:pPr>
        <w:spacing w:line="360" w:lineRule="auto"/>
        <w:ind w:firstLineChars="200" w:firstLine="420"/>
      </w:pPr>
      <w:r>
        <w:rPr>
          <w:rFonts w:hint="eastAsia"/>
        </w:rPr>
        <w:t>管理员用户：主要对公共资源和基础数据进行管理，包括人员、机构、资源、权限、日志等。</w:t>
      </w:r>
    </w:p>
    <w:p w:rsidR="00A940E0" w:rsidRPr="0079203C" w:rsidRDefault="00A940E0" w:rsidP="00A940E0">
      <w:pPr>
        <w:spacing w:line="360" w:lineRule="auto"/>
        <w:ind w:firstLineChars="200" w:firstLine="420"/>
      </w:pPr>
      <w:r>
        <w:rPr>
          <w:rFonts w:hint="eastAsia"/>
        </w:rPr>
        <w:t>教师用户：管理教学资源、课程、组织考试、答疑、讨论等日常教学活动。拥有3D仿真课程、理论课程等不同的课程类型，不同课程类型的组织元素不同，课时类型包括视频、音频、仿真软件、作业、考试等形式，方便课程教学。</w:t>
      </w:r>
    </w:p>
    <w:p w:rsidR="00A940E0" w:rsidRPr="006B5289" w:rsidRDefault="00A940E0" w:rsidP="00A940E0">
      <w:pPr>
        <w:spacing w:line="360" w:lineRule="auto"/>
        <w:ind w:firstLineChars="200" w:firstLine="420"/>
      </w:pPr>
      <w:r>
        <w:rPr>
          <w:rFonts w:hint="eastAsia"/>
        </w:rPr>
        <w:t>学生用户：根据教师创建的课程、实验库，可学习其中的课程等，进行在线学习、在线</w:t>
      </w:r>
      <w:r>
        <w:rPr>
          <w:rFonts w:hint="eastAsia"/>
        </w:rPr>
        <w:lastRenderedPageBreak/>
        <w:t>实验等。</w:t>
      </w:r>
    </w:p>
    <w:p w:rsidR="00A940E0" w:rsidRPr="00A940E0" w:rsidRDefault="00A940E0" w:rsidP="00A940E0">
      <w:pPr>
        <w:rPr>
          <w:color w:val="000000" w:themeColor="text1"/>
        </w:rPr>
      </w:pPr>
      <w:r w:rsidRPr="00A940E0">
        <w:rPr>
          <w:rFonts w:hint="eastAsia"/>
          <w:color w:val="000000" w:themeColor="text1"/>
        </w:rPr>
        <w:t>卖方所供产品需具有与买方建设的资源管理平台、能源动力世界虚实交互框架软件进行数据对接的功能，能够纳入资源管理平台进行综合管理，并且不影响其原有功能和效果。在上述数据对接过程中，买方为卖方提供必要的联系协助，其它具体事宜由卖方与相关技术提供方协商解决</w:t>
      </w:r>
    </w:p>
    <w:sectPr w:rsidR="00A940E0" w:rsidRPr="00A940E0" w:rsidSect="00997C8F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044" w:rsidRDefault="009E0044"/>
  </w:endnote>
  <w:endnote w:type="continuationSeparator" w:id="0">
    <w:p w:rsidR="009E0044" w:rsidRDefault="009E00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044" w:rsidRDefault="009E0044"/>
  </w:footnote>
  <w:footnote w:type="continuationSeparator" w:id="0">
    <w:p w:rsidR="009E0044" w:rsidRDefault="009E004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0E0"/>
    <w:rsid w:val="00294614"/>
    <w:rsid w:val="002C5621"/>
    <w:rsid w:val="00325D9A"/>
    <w:rsid w:val="0074660E"/>
    <w:rsid w:val="00997C8F"/>
    <w:rsid w:val="009A1D18"/>
    <w:rsid w:val="009E0044"/>
    <w:rsid w:val="00A940E0"/>
    <w:rsid w:val="00FD3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250C30D-4C3B-744D-BDF1-73F47A9CB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列出段落1"/>
    <w:basedOn w:val="a"/>
    <w:uiPriority w:val="34"/>
    <w:qFormat/>
    <w:rsid w:val="00A940E0"/>
    <w:pPr>
      <w:ind w:firstLineChars="200" w:firstLine="420"/>
    </w:pPr>
    <w:rPr>
      <w:rFonts w:ascii="Times New Roman" w:eastAsia="宋体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277</Words>
  <Characters>1581</Characters>
  <Application>Microsoft Office Word</Application>
  <DocSecurity>0</DocSecurity>
  <Lines>13</Lines>
  <Paragraphs>3</Paragraphs>
  <ScaleCrop>false</ScaleCrop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Windows 用户</cp:lastModifiedBy>
  <cp:revision>2</cp:revision>
  <dcterms:created xsi:type="dcterms:W3CDTF">2020-12-14T08:14:00Z</dcterms:created>
  <dcterms:modified xsi:type="dcterms:W3CDTF">2020-12-14T08:14:00Z</dcterms:modified>
</cp:coreProperties>
</file>