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400" w:lineRule="exact"/>
        <w:rPr>
          <w:rFonts w:ascii="宋体" w:hAnsi="宋体" w:cs="宋体"/>
          <w:sz w:val="32"/>
          <w:szCs w:val="32"/>
        </w:rPr>
      </w:pPr>
    </w:p>
    <w:p>
      <w:pPr>
        <w:snapToGrid w:val="0"/>
        <w:spacing w:line="400" w:lineRule="exact"/>
        <w:jc w:val="center"/>
        <w:rPr>
          <w:rFonts w:ascii="宋体" w:hAnsi="宋体" w:cs="宋体"/>
          <w:sz w:val="72"/>
          <w:szCs w:val="72"/>
        </w:rPr>
      </w:pPr>
    </w:p>
    <w:p>
      <w:pPr>
        <w:snapToGrid w:val="0"/>
        <w:spacing w:line="400" w:lineRule="exact"/>
        <w:jc w:val="center"/>
        <w:rPr>
          <w:rFonts w:ascii="宋体" w:hAnsi="宋体" w:cs="宋体"/>
          <w:sz w:val="72"/>
          <w:szCs w:val="72"/>
        </w:rPr>
      </w:pPr>
    </w:p>
    <w:p>
      <w:pPr>
        <w:snapToGrid w:val="0"/>
        <w:spacing w:line="400" w:lineRule="exact"/>
        <w:jc w:val="center"/>
        <w:rPr>
          <w:rFonts w:ascii="宋体" w:hAnsi="宋体" w:cs="宋体"/>
          <w:sz w:val="72"/>
          <w:szCs w:val="72"/>
        </w:rPr>
      </w:pPr>
    </w:p>
    <w:p>
      <w:pPr>
        <w:snapToGrid w:val="0"/>
        <w:spacing w:line="400" w:lineRule="exact"/>
        <w:jc w:val="center"/>
        <w:rPr>
          <w:rFonts w:ascii="宋体" w:hAnsi="宋体" w:cs="宋体"/>
          <w:sz w:val="72"/>
          <w:szCs w:val="72"/>
        </w:rPr>
      </w:pPr>
    </w:p>
    <w:p>
      <w:pPr>
        <w:snapToGrid w:val="0"/>
        <w:spacing w:line="240" w:lineRule="auto"/>
        <w:jc w:val="center"/>
        <w:rPr>
          <w:rFonts w:hint="eastAsia" w:ascii="宋体" w:hAnsi="宋体" w:eastAsia="宋体" w:cs="宋体"/>
          <w:sz w:val="44"/>
          <w:szCs w:val="44"/>
          <w:u w:val="single"/>
          <w:lang w:eastAsia="zh-CN"/>
        </w:rPr>
      </w:pPr>
      <w:r>
        <w:rPr>
          <w:rFonts w:hint="eastAsia" w:ascii="宋体" w:hAnsi="宋体" w:cs="宋体"/>
          <w:sz w:val="44"/>
          <w:szCs w:val="44"/>
          <w:u w:val="single"/>
          <w:lang w:eastAsia="zh-CN"/>
        </w:rPr>
        <w:t>清华大学形态学虚拟仿真教学系统采购项目</w:t>
      </w:r>
    </w:p>
    <w:p>
      <w:pPr>
        <w:snapToGrid w:val="0"/>
        <w:spacing w:line="240" w:lineRule="auto"/>
        <w:jc w:val="center"/>
        <w:rPr>
          <w:rFonts w:ascii="宋体" w:hAnsi="宋体" w:cs="宋体"/>
          <w:sz w:val="44"/>
          <w:szCs w:val="44"/>
          <w:u w:val="single"/>
        </w:rPr>
      </w:pPr>
    </w:p>
    <w:p>
      <w:pPr>
        <w:snapToGrid w:val="0"/>
        <w:spacing w:line="360" w:lineRule="auto"/>
        <w:jc w:val="center"/>
        <w:rPr>
          <w:rFonts w:ascii="宋体" w:hAnsi="宋体" w:cs="宋体"/>
          <w:sz w:val="84"/>
          <w:szCs w:val="84"/>
        </w:rPr>
      </w:pPr>
    </w:p>
    <w:p>
      <w:pPr>
        <w:snapToGrid w:val="0"/>
        <w:spacing w:line="360" w:lineRule="auto"/>
        <w:jc w:val="center"/>
        <w:rPr>
          <w:rFonts w:ascii="宋体" w:hAnsi="宋体" w:cs="宋体"/>
          <w:sz w:val="84"/>
          <w:szCs w:val="84"/>
        </w:rPr>
      </w:pPr>
      <w:r>
        <w:rPr>
          <w:rFonts w:hint="eastAsia" w:ascii="宋体" w:hAnsi="宋体" w:cs="宋体"/>
          <w:sz w:val="84"/>
          <w:szCs w:val="84"/>
        </w:rPr>
        <w:t>招标文件</w:t>
      </w:r>
    </w:p>
    <w:p>
      <w:pPr>
        <w:snapToGrid w:val="0"/>
        <w:spacing w:line="360" w:lineRule="auto"/>
        <w:jc w:val="both"/>
        <w:rPr>
          <w:rFonts w:ascii="宋体" w:hAnsi="宋体" w:cs="宋体"/>
          <w:sz w:val="84"/>
          <w:szCs w:val="84"/>
        </w:rPr>
      </w:pPr>
    </w:p>
    <w:p>
      <w:pPr>
        <w:snapToGrid w:val="0"/>
        <w:spacing w:line="360" w:lineRule="auto"/>
        <w:jc w:val="both"/>
        <w:rPr>
          <w:rFonts w:ascii="宋体" w:hAnsi="宋体" w:cs="宋体"/>
          <w:sz w:val="32"/>
          <w:szCs w:val="32"/>
        </w:rPr>
      </w:pPr>
    </w:p>
    <w:p>
      <w:pPr>
        <w:snapToGrid w:val="0"/>
        <w:spacing w:line="360" w:lineRule="auto"/>
        <w:ind w:firstLine="320" w:firstLineChars="100"/>
        <w:jc w:val="both"/>
        <w:rPr>
          <w:rFonts w:ascii="宋体" w:hAnsi="宋体" w:cs="宋体"/>
          <w:sz w:val="32"/>
          <w:szCs w:val="32"/>
        </w:rPr>
      </w:pPr>
    </w:p>
    <w:p>
      <w:pPr>
        <w:snapToGrid w:val="0"/>
        <w:spacing w:line="360" w:lineRule="auto"/>
        <w:ind w:firstLine="320" w:firstLineChars="100"/>
        <w:jc w:val="both"/>
        <w:rPr>
          <w:rFonts w:ascii="宋体" w:hAnsi="宋体" w:cs="宋体"/>
          <w:sz w:val="32"/>
          <w:szCs w:val="32"/>
        </w:rPr>
      </w:pPr>
      <w:r>
        <w:rPr>
          <w:rFonts w:hint="eastAsia" w:ascii="宋体" w:hAnsi="宋体" w:cs="宋体"/>
          <w:sz w:val="32"/>
          <w:szCs w:val="32"/>
        </w:rPr>
        <w:t>项目编号：</w:t>
      </w:r>
      <w:r>
        <w:rPr>
          <w:rFonts w:hint="eastAsia" w:ascii="宋体" w:hAnsi="宋体" w:cs="宋体"/>
          <w:sz w:val="32"/>
          <w:szCs w:val="32"/>
          <w:lang w:eastAsia="zh-CN"/>
        </w:rPr>
        <w:t>清设招第2022849号（0873-2201HW3L0895）</w:t>
      </w:r>
      <w:r>
        <w:rPr>
          <w:rFonts w:hint="eastAsia" w:ascii="宋体" w:hAnsi="宋体" w:cs="宋体"/>
          <w:sz w:val="32"/>
          <w:szCs w:val="32"/>
        </w:rPr>
        <w:t xml:space="preserve"> </w:t>
      </w:r>
    </w:p>
    <w:p>
      <w:pPr>
        <w:snapToGrid w:val="0"/>
        <w:spacing w:line="360" w:lineRule="auto"/>
        <w:ind w:firstLine="320" w:firstLineChars="100"/>
        <w:jc w:val="both"/>
        <w:rPr>
          <w:rFonts w:ascii="宋体" w:hAnsi="宋体" w:cs="宋体"/>
          <w:sz w:val="32"/>
          <w:szCs w:val="32"/>
        </w:rPr>
      </w:pPr>
      <w:r>
        <w:rPr>
          <w:rFonts w:hint="eastAsia" w:ascii="宋体" w:hAnsi="宋体" w:cs="宋体"/>
          <w:sz w:val="32"/>
          <w:szCs w:val="32"/>
        </w:rPr>
        <w:t>采购人：清华大学</w:t>
      </w:r>
    </w:p>
    <w:p>
      <w:pPr>
        <w:snapToGrid w:val="0"/>
        <w:spacing w:line="360" w:lineRule="auto"/>
        <w:ind w:firstLine="320" w:firstLineChars="100"/>
        <w:rPr>
          <w:rFonts w:ascii="宋体" w:hAnsi="宋体" w:cs="宋体"/>
          <w:sz w:val="32"/>
          <w:szCs w:val="32"/>
        </w:rPr>
      </w:pPr>
      <w:r>
        <w:rPr>
          <w:rFonts w:hint="eastAsia" w:ascii="宋体" w:hAnsi="宋体" w:cs="宋体"/>
          <w:sz w:val="32"/>
          <w:szCs w:val="32"/>
        </w:rPr>
        <w:t>采购代理机构：北京中教仪国际招标代理有限公司</w:t>
      </w:r>
    </w:p>
    <w:p>
      <w:pPr>
        <w:snapToGrid w:val="0"/>
        <w:spacing w:line="360" w:lineRule="auto"/>
        <w:jc w:val="both"/>
        <w:rPr>
          <w:rFonts w:ascii="宋体" w:hAnsi="宋体" w:cs="宋体"/>
          <w:sz w:val="32"/>
          <w:szCs w:val="32"/>
        </w:rPr>
      </w:pPr>
    </w:p>
    <w:p>
      <w:pPr>
        <w:snapToGrid w:val="0"/>
        <w:spacing w:line="360" w:lineRule="auto"/>
        <w:rPr>
          <w:rFonts w:ascii="宋体" w:hAnsi="宋体" w:cs="宋体"/>
          <w:sz w:val="32"/>
          <w:szCs w:val="32"/>
        </w:rPr>
      </w:pPr>
    </w:p>
    <w:p>
      <w:pPr>
        <w:snapToGrid w:val="0"/>
        <w:spacing w:line="360" w:lineRule="auto"/>
        <w:jc w:val="center"/>
        <w:rPr>
          <w:rFonts w:ascii="宋体" w:hAnsi="宋体" w:cs="宋体"/>
          <w:sz w:val="32"/>
          <w:szCs w:val="32"/>
        </w:rPr>
      </w:pPr>
      <w:r>
        <w:rPr>
          <w:rFonts w:hint="eastAsia" w:ascii="宋体" w:hAnsi="宋体" w:cs="宋体"/>
          <w:sz w:val="32"/>
          <w:szCs w:val="32"/>
        </w:rPr>
        <w:t>2022年11月</w:t>
      </w:r>
    </w:p>
    <w:p>
      <w:pPr>
        <w:snapToGrid w:val="0"/>
        <w:spacing w:line="560" w:lineRule="exact"/>
        <w:jc w:val="center"/>
        <w:outlineLvl w:val="0"/>
        <w:rPr>
          <w:rFonts w:ascii="宋体" w:hAnsi="宋体" w:cs="宋体"/>
          <w:b/>
          <w:bCs/>
          <w:kern w:val="44"/>
          <w:sz w:val="44"/>
          <w:szCs w:val="44"/>
        </w:rPr>
        <w:sectPr>
          <w:headerReference r:id="rId5" w:type="first"/>
          <w:pgSz w:w="11906" w:h="16838"/>
          <w:pgMar w:top="1440" w:right="1797" w:bottom="1440" w:left="1797" w:header="851" w:footer="992" w:gutter="0"/>
          <w:pgNumType w:start="0"/>
          <w:cols w:space="425" w:num="1"/>
          <w:titlePg/>
          <w:docGrid w:linePitch="326" w:charSpace="0"/>
        </w:sectPr>
      </w:pPr>
      <w:bookmarkStart w:id="0" w:name="_Toc477185295"/>
      <w:bookmarkStart w:id="1" w:name="_Toc469484212"/>
      <w:bookmarkStart w:id="2" w:name="_Toc1226"/>
      <w:bookmarkStart w:id="3" w:name="_Toc328815981"/>
    </w:p>
    <w:p>
      <w:pPr>
        <w:snapToGrid w:val="0"/>
        <w:spacing w:line="560" w:lineRule="exact"/>
        <w:jc w:val="center"/>
        <w:outlineLvl w:val="0"/>
        <w:rPr>
          <w:rFonts w:ascii="宋体" w:hAnsi="宋体" w:cs="宋体"/>
          <w:b/>
          <w:bCs/>
          <w:sz w:val="44"/>
          <w:szCs w:val="44"/>
        </w:rPr>
      </w:pPr>
      <w:r>
        <w:rPr>
          <w:rFonts w:hint="eastAsia" w:ascii="宋体" w:hAnsi="宋体" w:cs="宋体"/>
          <w:b/>
          <w:bCs/>
          <w:kern w:val="44"/>
          <w:sz w:val="44"/>
          <w:szCs w:val="44"/>
        </w:rPr>
        <w:t xml:space="preserve">  </w:t>
      </w:r>
      <w:bookmarkStart w:id="4" w:name="_Toc20883"/>
      <w:bookmarkStart w:id="5" w:name="_Toc3011"/>
      <w:bookmarkStart w:id="6" w:name="_Toc86156752"/>
      <w:bookmarkStart w:id="7" w:name="_Toc95326673"/>
      <w:bookmarkStart w:id="8" w:name="_Toc4846"/>
      <w:bookmarkStart w:id="9" w:name="_Toc30610"/>
      <w:bookmarkStart w:id="10" w:name="_Toc19242"/>
      <w:bookmarkStart w:id="11" w:name="_Toc17558"/>
      <w:bookmarkStart w:id="12" w:name="_Toc151"/>
      <w:bookmarkStart w:id="13" w:name="_Toc21073"/>
      <w:r>
        <w:rPr>
          <w:rFonts w:hint="eastAsia" w:ascii="宋体" w:hAnsi="宋体" w:cs="宋体"/>
          <w:b/>
          <w:bCs/>
          <w:kern w:val="44"/>
          <w:sz w:val="44"/>
          <w:szCs w:val="44"/>
        </w:rPr>
        <w:t>目  录</w:t>
      </w:r>
      <w:bookmarkEnd w:id="0"/>
      <w:bookmarkEnd w:id="1"/>
      <w:bookmarkEnd w:id="2"/>
      <w:bookmarkEnd w:id="3"/>
      <w:bookmarkEnd w:id="4"/>
      <w:bookmarkEnd w:id="5"/>
      <w:bookmarkEnd w:id="6"/>
      <w:bookmarkEnd w:id="7"/>
      <w:bookmarkEnd w:id="8"/>
      <w:bookmarkEnd w:id="9"/>
      <w:bookmarkEnd w:id="10"/>
      <w:bookmarkEnd w:id="11"/>
      <w:bookmarkEnd w:id="12"/>
      <w:bookmarkEnd w:id="13"/>
    </w:p>
    <w:p>
      <w:pPr>
        <w:pStyle w:val="20"/>
        <w:tabs>
          <w:tab w:val="right" w:leader="dot" w:pos="9120"/>
        </w:tabs>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r>
        <w:rPr>
          <w:rFonts w:hint="eastAsia" w:ascii="宋体" w:hAnsi="宋体" w:cs="宋体"/>
        </w:rPr>
        <w:fldChar w:fldCharType="begin"/>
      </w:r>
      <w:r>
        <w:rPr>
          <w:rFonts w:hint="eastAsia" w:ascii="宋体" w:hAnsi="宋体" w:cs="宋体"/>
        </w:rPr>
        <w:instrText xml:space="preserve"> HYPERLINK \l _Toc1427 </w:instrText>
      </w:r>
      <w:r>
        <w:rPr>
          <w:rFonts w:hint="eastAsia" w:ascii="宋体" w:hAnsi="宋体" w:cs="宋体"/>
        </w:rPr>
        <w:fldChar w:fldCharType="separate"/>
      </w:r>
      <w:r>
        <w:rPr>
          <w:rFonts w:hint="eastAsia" w:ascii="宋体" w:hAnsi="宋体" w:eastAsia="宋体" w:cs="宋体"/>
        </w:rPr>
        <w:t>第一章 投标邀请</w:t>
      </w:r>
      <w:r>
        <w:tab/>
      </w:r>
      <w:r>
        <w:fldChar w:fldCharType="begin"/>
      </w:r>
      <w:r>
        <w:instrText xml:space="preserve"> PAGEREF _Toc1427 \h </w:instrText>
      </w:r>
      <w:r>
        <w:fldChar w:fldCharType="separate"/>
      </w:r>
      <w:r>
        <w:t>2</w:t>
      </w:r>
      <w:r>
        <w:fldChar w:fldCharType="end"/>
      </w:r>
      <w:r>
        <w:rPr>
          <w:rFonts w:hint="eastAsia" w:ascii="宋体" w:hAnsi="宋体" w:cs="宋体"/>
        </w:rPr>
        <w:fldChar w:fldCharType="end"/>
      </w:r>
    </w:p>
    <w:p>
      <w:pPr>
        <w:pStyle w:val="20"/>
        <w:tabs>
          <w:tab w:val="right" w:leader="dot" w:pos="9120"/>
        </w:tabs>
      </w:pPr>
      <w:r>
        <w:rPr>
          <w:rFonts w:hint="eastAsia" w:ascii="宋体" w:hAnsi="宋体" w:cs="宋体"/>
        </w:rPr>
        <w:fldChar w:fldCharType="begin"/>
      </w:r>
      <w:r>
        <w:rPr>
          <w:rFonts w:hint="eastAsia" w:ascii="宋体" w:hAnsi="宋体" w:cs="宋体"/>
        </w:rPr>
        <w:instrText xml:space="preserve"> HYPERLINK \l _Toc20397 </w:instrText>
      </w:r>
      <w:r>
        <w:rPr>
          <w:rFonts w:hint="eastAsia" w:ascii="宋体" w:hAnsi="宋体" w:cs="宋体"/>
        </w:rPr>
        <w:fldChar w:fldCharType="separate"/>
      </w:r>
      <w:r>
        <w:rPr>
          <w:rFonts w:hint="eastAsia" w:ascii="宋体" w:hAnsi="宋体" w:eastAsia="宋体" w:cs="宋体"/>
        </w:rPr>
        <w:t>第二章 投标人须知</w:t>
      </w:r>
      <w:r>
        <w:tab/>
      </w:r>
      <w:r>
        <w:fldChar w:fldCharType="begin"/>
      </w:r>
      <w:r>
        <w:instrText xml:space="preserve"> PAGEREF _Toc20397 \h </w:instrText>
      </w:r>
      <w:r>
        <w:fldChar w:fldCharType="separate"/>
      </w:r>
      <w:r>
        <w:t>4</w:t>
      </w:r>
      <w:r>
        <w:fldChar w:fldCharType="end"/>
      </w:r>
      <w:r>
        <w:rPr>
          <w:rFonts w:hint="eastAsia" w:ascii="宋体" w:hAnsi="宋体" w:cs="宋体"/>
        </w:rPr>
        <w:fldChar w:fldCharType="end"/>
      </w:r>
    </w:p>
    <w:p>
      <w:pPr>
        <w:pStyle w:val="20"/>
        <w:tabs>
          <w:tab w:val="right" w:leader="dot" w:pos="9120"/>
        </w:tabs>
      </w:pPr>
      <w:r>
        <w:rPr>
          <w:rFonts w:hint="eastAsia" w:ascii="宋体" w:hAnsi="宋体" w:cs="宋体"/>
        </w:rPr>
        <w:fldChar w:fldCharType="begin"/>
      </w:r>
      <w:r>
        <w:rPr>
          <w:rFonts w:hint="eastAsia" w:ascii="宋体" w:hAnsi="宋体" w:cs="宋体"/>
        </w:rPr>
        <w:instrText xml:space="preserve"> HYPERLINK \l _Toc5165 </w:instrText>
      </w:r>
      <w:r>
        <w:rPr>
          <w:rFonts w:hint="eastAsia" w:ascii="宋体" w:hAnsi="宋体" w:cs="宋体"/>
        </w:rPr>
        <w:fldChar w:fldCharType="separate"/>
      </w:r>
      <w:r>
        <w:rPr>
          <w:rFonts w:hint="eastAsia" w:ascii="宋体" w:hAnsi="宋体" w:eastAsia="宋体" w:cs="宋体"/>
        </w:rPr>
        <w:t>第三章 采购需求</w:t>
      </w:r>
      <w:r>
        <w:tab/>
      </w:r>
      <w:r>
        <w:fldChar w:fldCharType="begin"/>
      </w:r>
      <w:r>
        <w:instrText xml:space="preserve"> PAGEREF _Toc5165 \h </w:instrText>
      </w:r>
      <w:r>
        <w:fldChar w:fldCharType="separate"/>
      </w:r>
      <w:r>
        <w:t>22</w:t>
      </w:r>
      <w:r>
        <w:fldChar w:fldCharType="end"/>
      </w:r>
      <w:r>
        <w:rPr>
          <w:rFonts w:hint="eastAsia" w:ascii="宋体" w:hAnsi="宋体" w:cs="宋体"/>
        </w:rPr>
        <w:fldChar w:fldCharType="end"/>
      </w:r>
    </w:p>
    <w:p>
      <w:pPr>
        <w:pStyle w:val="20"/>
        <w:tabs>
          <w:tab w:val="right" w:leader="dot" w:pos="9120"/>
        </w:tabs>
      </w:pPr>
      <w:r>
        <w:rPr>
          <w:rFonts w:hint="eastAsia" w:ascii="宋体" w:hAnsi="宋体" w:cs="宋体"/>
        </w:rPr>
        <w:fldChar w:fldCharType="begin"/>
      </w:r>
      <w:r>
        <w:rPr>
          <w:rFonts w:hint="eastAsia" w:ascii="宋体" w:hAnsi="宋体" w:cs="宋体"/>
        </w:rPr>
        <w:instrText xml:space="preserve"> HYPERLINK \l _Toc13043 </w:instrText>
      </w:r>
      <w:r>
        <w:rPr>
          <w:rFonts w:hint="eastAsia" w:ascii="宋体" w:hAnsi="宋体" w:cs="宋体"/>
        </w:rPr>
        <w:fldChar w:fldCharType="separate"/>
      </w:r>
      <w:r>
        <w:rPr>
          <w:rFonts w:hint="eastAsia" w:ascii="宋体" w:hAnsi="宋体" w:cs="宋体"/>
          <w:kern w:val="44"/>
          <w:szCs w:val="20"/>
        </w:rPr>
        <w:t>第四章 评标方法和评标标准</w:t>
      </w:r>
      <w:bookmarkStart w:id="385" w:name="_GoBack"/>
      <w:bookmarkEnd w:id="385"/>
      <w:r>
        <w:tab/>
      </w:r>
      <w:r>
        <w:fldChar w:fldCharType="begin"/>
      </w:r>
      <w:r>
        <w:instrText xml:space="preserve"> PAGEREF _Toc13043 \h </w:instrText>
      </w:r>
      <w:r>
        <w:fldChar w:fldCharType="separate"/>
      </w:r>
      <w:r>
        <w:t>39</w:t>
      </w:r>
      <w:r>
        <w:fldChar w:fldCharType="end"/>
      </w:r>
      <w:r>
        <w:rPr>
          <w:rFonts w:hint="eastAsia" w:ascii="宋体" w:hAnsi="宋体" w:cs="宋体"/>
        </w:rPr>
        <w:fldChar w:fldCharType="end"/>
      </w:r>
    </w:p>
    <w:p>
      <w:pPr>
        <w:pStyle w:val="20"/>
        <w:tabs>
          <w:tab w:val="right" w:leader="dot" w:pos="9120"/>
        </w:tabs>
      </w:pPr>
      <w:r>
        <w:rPr>
          <w:rFonts w:hint="eastAsia" w:ascii="宋体" w:hAnsi="宋体" w:cs="宋体"/>
        </w:rPr>
        <w:fldChar w:fldCharType="begin"/>
      </w:r>
      <w:r>
        <w:rPr>
          <w:rFonts w:hint="eastAsia" w:ascii="宋体" w:hAnsi="宋体" w:cs="宋体"/>
        </w:rPr>
        <w:instrText xml:space="preserve"> HYPERLINK \l _Toc23384 </w:instrText>
      </w:r>
      <w:r>
        <w:rPr>
          <w:rFonts w:hint="eastAsia" w:ascii="宋体" w:hAnsi="宋体" w:cs="宋体"/>
        </w:rPr>
        <w:fldChar w:fldCharType="separate"/>
      </w:r>
      <w:r>
        <w:rPr>
          <w:rFonts w:hint="eastAsia" w:ascii="宋体" w:hAnsi="宋体" w:cs="宋体"/>
          <w:kern w:val="44"/>
          <w:szCs w:val="20"/>
        </w:rPr>
        <w:t>第五章 合同文本</w:t>
      </w:r>
      <w:r>
        <w:tab/>
      </w:r>
      <w:r>
        <w:fldChar w:fldCharType="begin"/>
      </w:r>
      <w:r>
        <w:instrText xml:space="preserve"> PAGEREF _Toc23384 \h </w:instrText>
      </w:r>
      <w:r>
        <w:fldChar w:fldCharType="separate"/>
      </w:r>
      <w:r>
        <w:t>42</w:t>
      </w:r>
      <w:r>
        <w:fldChar w:fldCharType="end"/>
      </w:r>
      <w:r>
        <w:rPr>
          <w:rFonts w:hint="eastAsia" w:ascii="宋体" w:hAnsi="宋体" w:cs="宋体"/>
        </w:rPr>
        <w:fldChar w:fldCharType="end"/>
      </w:r>
    </w:p>
    <w:p>
      <w:pPr>
        <w:pStyle w:val="20"/>
        <w:tabs>
          <w:tab w:val="right" w:leader="dot" w:pos="9120"/>
        </w:tabs>
      </w:pPr>
      <w:r>
        <w:rPr>
          <w:rFonts w:hint="eastAsia" w:ascii="宋体" w:hAnsi="宋体" w:cs="宋体"/>
        </w:rPr>
        <w:fldChar w:fldCharType="begin"/>
      </w:r>
      <w:r>
        <w:rPr>
          <w:rFonts w:hint="eastAsia" w:ascii="宋体" w:hAnsi="宋体" w:cs="宋体"/>
        </w:rPr>
        <w:instrText xml:space="preserve"> HYPERLINK \l _Toc9891 </w:instrText>
      </w:r>
      <w:r>
        <w:rPr>
          <w:rFonts w:hint="eastAsia" w:ascii="宋体" w:hAnsi="宋体" w:cs="宋体"/>
        </w:rPr>
        <w:fldChar w:fldCharType="separate"/>
      </w:r>
      <w:r>
        <w:rPr>
          <w:rFonts w:hint="eastAsia" w:ascii="宋体" w:hAnsi="宋体" w:eastAsia="宋体" w:cs="宋体"/>
        </w:rPr>
        <w:t>第六章 投标文件格式</w:t>
      </w:r>
      <w:r>
        <w:tab/>
      </w:r>
      <w:r>
        <w:fldChar w:fldCharType="begin"/>
      </w:r>
      <w:r>
        <w:instrText xml:space="preserve"> PAGEREF _Toc9891 \h </w:instrText>
      </w:r>
      <w:r>
        <w:fldChar w:fldCharType="separate"/>
      </w:r>
      <w:r>
        <w:t>50</w:t>
      </w:r>
      <w:r>
        <w:fldChar w:fldCharType="end"/>
      </w:r>
      <w:r>
        <w:rPr>
          <w:rFonts w:hint="eastAsia" w:ascii="宋体" w:hAnsi="宋体" w:cs="宋体"/>
        </w:rPr>
        <w:fldChar w:fldCharType="end"/>
      </w:r>
    </w:p>
    <w:p>
      <w:pPr>
        <w:snapToGrid w:val="0"/>
        <w:spacing w:line="480" w:lineRule="exact"/>
        <w:rPr>
          <w:rFonts w:ascii="宋体" w:hAnsi="宋体" w:cs="宋体"/>
          <w:sz w:val="30"/>
          <w:szCs w:val="30"/>
        </w:rPr>
      </w:pPr>
      <w:r>
        <w:rPr>
          <w:rFonts w:hint="eastAsia" w:ascii="宋体" w:hAnsi="宋体" w:cs="宋体"/>
        </w:rPr>
        <w:fldChar w:fldCharType="end"/>
      </w:r>
    </w:p>
    <w:p>
      <w:pPr>
        <w:pStyle w:val="3"/>
        <w:snapToGrid w:val="0"/>
        <w:spacing w:before="0" w:after="0" w:line="240" w:lineRule="auto"/>
        <w:rPr>
          <w:rFonts w:ascii="宋体" w:hAnsi="宋体" w:eastAsia="宋体" w:cs="宋体"/>
        </w:rPr>
        <w:sectPr>
          <w:footerReference r:id="rId8" w:type="first"/>
          <w:headerReference r:id="rId6" w:type="default"/>
          <w:footerReference r:id="rId7" w:type="default"/>
          <w:pgSz w:w="11906" w:h="16838"/>
          <w:pgMar w:top="1440" w:right="1469" w:bottom="1440" w:left="1317" w:header="851" w:footer="992" w:gutter="0"/>
          <w:pgNumType w:start="1"/>
          <w:cols w:space="425" w:num="1"/>
          <w:docGrid w:linePitch="326" w:charSpace="0"/>
        </w:sectPr>
      </w:pPr>
      <w:bookmarkStart w:id="14" w:name="_Toc328815982"/>
    </w:p>
    <w:p>
      <w:pPr>
        <w:pStyle w:val="3"/>
        <w:snapToGrid w:val="0"/>
        <w:spacing w:before="0" w:after="0" w:line="240" w:lineRule="auto"/>
        <w:rPr>
          <w:rFonts w:ascii="宋体" w:hAnsi="宋体" w:eastAsia="宋体" w:cs="宋体"/>
        </w:rPr>
      </w:pPr>
      <w:bookmarkStart w:id="15" w:name="_Toc1427"/>
      <w:r>
        <w:rPr>
          <w:rFonts w:hint="eastAsia" w:ascii="宋体" w:hAnsi="宋体" w:eastAsia="宋体" w:cs="宋体"/>
        </w:rPr>
        <w:t>第一章 投标邀请</w:t>
      </w:r>
      <w:bookmarkEnd w:id="14"/>
      <w:bookmarkEnd w:id="15"/>
    </w:p>
    <w:p>
      <w:pPr>
        <w:snapToGrid w:val="0"/>
        <w:spacing w:line="400" w:lineRule="exact"/>
        <w:ind w:firstLine="480" w:firstLineChars="200"/>
        <w:rPr>
          <w:rFonts w:ascii="宋体" w:hAnsi="宋体" w:cs="宋体"/>
        </w:rPr>
      </w:pPr>
      <w:r>
        <w:rPr>
          <w:rFonts w:hint="eastAsia" w:ascii="宋体" w:hAnsi="宋体" w:cs="宋体"/>
          <w:u w:val="single"/>
        </w:rPr>
        <w:t>北京中教仪国际招标代理有限公司</w:t>
      </w:r>
      <w:r>
        <w:rPr>
          <w:rFonts w:hint="eastAsia" w:ascii="宋体" w:hAnsi="宋体" w:cs="宋体"/>
        </w:rPr>
        <w:t>（以下简称“采购代理机构”）受清华大学（以下简称“采购人”）委托，就</w:t>
      </w:r>
      <w:r>
        <w:rPr>
          <w:rFonts w:hint="eastAsia" w:ascii="宋体" w:hAnsi="宋体" w:cs="宋体"/>
          <w:u w:val="single"/>
          <w:lang w:eastAsia="zh-CN"/>
        </w:rPr>
        <w:t>清华大学形态学虚拟仿真教学系统采购项目</w:t>
      </w:r>
      <w:r>
        <w:rPr>
          <w:rFonts w:hint="eastAsia" w:ascii="宋体" w:hAnsi="宋体" w:cs="宋体"/>
        </w:rPr>
        <w:t>的货物及相关服务进行国内公开招标，现邀请合格投标人提交密封投标。</w:t>
      </w:r>
    </w:p>
    <w:p>
      <w:pPr>
        <w:snapToGrid w:val="0"/>
        <w:spacing w:line="400" w:lineRule="exact"/>
        <w:ind w:firstLine="482" w:firstLineChars="200"/>
        <w:rPr>
          <w:rFonts w:ascii="宋体" w:hAnsi="宋体" w:cs="宋体"/>
          <w:u w:val="single"/>
        </w:rPr>
      </w:pPr>
      <w:r>
        <w:rPr>
          <w:rFonts w:hint="eastAsia" w:ascii="宋体" w:hAnsi="宋体" w:cs="宋体"/>
          <w:b/>
          <w:bCs/>
        </w:rPr>
        <w:t>一、项目编号：</w:t>
      </w:r>
      <w:r>
        <w:rPr>
          <w:rFonts w:hint="eastAsia" w:ascii="宋体" w:hAnsi="宋体" w:cs="宋体"/>
          <w:b/>
          <w:bCs/>
          <w:lang w:eastAsia="zh-CN"/>
        </w:rPr>
        <w:t>清设招第2022849号（0873-2201HW3L0895）</w:t>
      </w:r>
      <w:r>
        <w:rPr>
          <w:rFonts w:hint="eastAsia" w:ascii="宋体" w:hAnsi="宋体" w:cs="宋体"/>
          <w:b/>
          <w:bCs/>
        </w:rPr>
        <w:t xml:space="preserve"> </w:t>
      </w:r>
    </w:p>
    <w:p>
      <w:pPr>
        <w:snapToGrid w:val="0"/>
        <w:spacing w:line="400" w:lineRule="exact"/>
        <w:ind w:left="967" w:leftChars="200" w:hanging="487" w:hangingChars="202"/>
        <w:rPr>
          <w:rFonts w:hint="eastAsia" w:ascii="宋体" w:hAnsi="宋体" w:eastAsia="宋体" w:cs="宋体"/>
          <w:b/>
          <w:bCs/>
          <w:lang w:eastAsia="zh-CN"/>
        </w:rPr>
      </w:pPr>
      <w:r>
        <w:rPr>
          <w:rFonts w:hint="eastAsia" w:ascii="宋体" w:hAnsi="宋体" w:cs="宋体"/>
          <w:b/>
          <w:bCs/>
        </w:rPr>
        <w:t>二、项目名称：</w:t>
      </w:r>
      <w:r>
        <w:rPr>
          <w:rFonts w:hint="eastAsia" w:ascii="宋体" w:hAnsi="宋体" w:cs="宋体"/>
          <w:b/>
          <w:bCs/>
          <w:lang w:eastAsia="zh-CN"/>
        </w:rPr>
        <w:t>清华大学形态学虚拟仿真教学系统采购项目</w:t>
      </w:r>
    </w:p>
    <w:p>
      <w:pPr>
        <w:snapToGrid w:val="0"/>
        <w:spacing w:line="400" w:lineRule="exact"/>
        <w:ind w:firstLine="482" w:firstLineChars="200"/>
        <w:rPr>
          <w:rFonts w:ascii="宋体" w:hAnsi="宋体" w:cs="宋体"/>
          <w:b/>
          <w:bCs/>
        </w:rPr>
      </w:pPr>
      <w:r>
        <w:rPr>
          <w:rFonts w:hint="eastAsia" w:ascii="宋体" w:hAnsi="宋体" w:cs="宋体"/>
          <w:b/>
          <w:bCs/>
        </w:rPr>
        <w:t>三、采购预算：</w:t>
      </w:r>
      <w:r>
        <w:rPr>
          <w:rFonts w:hint="eastAsia" w:ascii="宋体" w:hAnsi="宋体" w:cs="宋体"/>
          <w:b/>
          <w:bCs/>
          <w:lang w:eastAsia="zh-CN"/>
        </w:rPr>
        <w:t>483</w:t>
      </w:r>
      <w:r>
        <w:rPr>
          <w:rFonts w:hint="eastAsia" w:ascii="宋体" w:hAnsi="宋体" w:cs="宋体"/>
          <w:b/>
          <w:bCs/>
        </w:rPr>
        <w:t>万元</w:t>
      </w:r>
    </w:p>
    <w:p>
      <w:pPr>
        <w:snapToGrid w:val="0"/>
        <w:spacing w:line="400" w:lineRule="exact"/>
        <w:ind w:firstLine="482" w:firstLineChars="200"/>
        <w:rPr>
          <w:rFonts w:ascii="宋体" w:hAnsi="宋体" w:cs="宋体"/>
          <w:b/>
          <w:bCs/>
        </w:rPr>
      </w:pPr>
      <w:r>
        <w:rPr>
          <w:rFonts w:hint="eastAsia" w:ascii="宋体" w:hAnsi="宋体" w:cs="宋体"/>
          <w:b/>
          <w:bCs/>
        </w:rPr>
        <w:t>四、招标内容</w:t>
      </w:r>
    </w:p>
    <w:p>
      <w:pPr>
        <w:snapToGrid w:val="0"/>
        <w:spacing w:line="400" w:lineRule="exact"/>
        <w:ind w:firstLine="480" w:firstLineChars="200"/>
        <w:rPr>
          <w:rFonts w:ascii="宋体" w:hAnsi="宋体" w:cs="宋体"/>
        </w:rPr>
      </w:pPr>
      <w:r>
        <w:rPr>
          <w:rFonts w:hint="eastAsia" w:ascii="宋体" w:hAnsi="宋体" w:cs="宋体"/>
        </w:rPr>
        <w:t>1.本次招标共</w:t>
      </w:r>
      <w:r>
        <w:rPr>
          <w:rFonts w:hint="eastAsia" w:ascii="宋体" w:hAnsi="宋体" w:cs="宋体"/>
          <w:u w:val="single"/>
        </w:rPr>
        <w:t>1</w:t>
      </w:r>
      <w:r>
        <w:rPr>
          <w:rFonts w:hint="eastAsia" w:ascii="宋体" w:hAnsi="宋体" w:cs="宋体"/>
        </w:rPr>
        <w:t>包：</w:t>
      </w:r>
    </w:p>
    <w:tbl>
      <w:tblPr>
        <w:tblStyle w:val="26"/>
        <w:tblW w:w="8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3136"/>
        <w:gridCol w:w="905"/>
        <w:gridCol w:w="1939"/>
        <w:gridCol w:w="1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snapToGrid w:val="0"/>
              <w:spacing w:line="400" w:lineRule="exact"/>
              <w:jc w:val="center"/>
              <w:rPr>
                <w:rFonts w:ascii="宋体" w:hAnsi="宋体" w:cs="宋体"/>
              </w:rPr>
            </w:pPr>
            <w:r>
              <w:rPr>
                <w:rFonts w:hint="eastAsia" w:ascii="宋体" w:hAnsi="宋体" w:cs="宋体"/>
              </w:rPr>
              <w:t>包号</w:t>
            </w:r>
          </w:p>
        </w:tc>
        <w:tc>
          <w:tcPr>
            <w:tcW w:w="3136" w:type="dxa"/>
            <w:vAlign w:val="center"/>
          </w:tcPr>
          <w:p>
            <w:pPr>
              <w:snapToGrid w:val="0"/>
              <w:spacing w:line="400" w:lineRule="exact"/>
              <w:jc w:val="center"/>
              <w:rPr>
                <w:rFonts w:ascii="宋体" w:hAnsi="宋体" w:cs="宋体"/>
              </w:rPr>
            </w:pPr>
            <w:r>
              <w:rPr>
                <w:rFonts w:hint="eastAsia" w:ascii="宋体" w:hAnsi="宋体" w:cs="宋体"/>
              </w:rPr>
              <w:t>名称</w:t>
            </w:r>
          </w:p>
        </w:tc>
        <w:tc>
          <w:tcPr>
            <w:tcW w:w="905" w:type="dxa"/>
            <w:vAlign w:val="center"/>
          </w:tcPr>
          <w:p>
            <w:pPr>
              <w:snapToGrid w:val="0"/>
              <w:spacing w:line="400" w:lineRule="exact"/>
              <w:jc w:val="center"/>
              <w:rPr>
                <w:rFonts w:ascii="宋体" w:hAnsi="宋体" w:cs="宋体"/>
              </w:rPr>
            </w:pPr>
            <w:r>
              <w:rPr>
                <w:rFonts w:hint="eastAsia" w:ascii="宋体" w:hAnsi="宋体" w:cs="宋体"/>
              </w:rPr>
              <w:t>数量</w:t>
            </w:r>
          </w:p>
        </w:tc>
        <w:tc>
          <w:tcPr>
            <w:tcW w:w="1939" w:type="dxa"/>
            <w:vAlign w:val="center"/>
          </w:tcPr>
          <w:p>
            <w:pPr>
              <w:snapToGrid w:val="0"/>
              <w:spacing w:line="400" w:lineRule="exact"/>
              <w:jc w:val="center"/>
              <w:rPr>
                <w:rFonts w:ascii="宋体" w:hAnsi="宋体" w:cs="宋体"/>
              </w:rPr>
            </w:pPr>
            <w:r>
              <w:rPr>
                <w:rFonts w:hint="eastAsia" w:ascii="宋体" w:hAnsi="宋体" w:cs="宋体"/>
              </w:rPr>
              <w:t>预算金额</w:t>
            </w:r>
          </w:p>
          <w:p>
            <w:pPr>
              <w:snapToGrid w:val="0"/>
              <w:spacing w:line="400" w:lineRule="exact"/>
              <w:jc w:val="center"/>
              <w:rPr>
                <w:rFonts w:ascii="宋体" w:hAnsi="宋体" w:cs="宋体"/>
              </w:rPr>
            </w:pPr>
            <w:r>
              <w:rPr>
                <w:rFonts w:hint="eastAsia" w:ascii="宋体" w:hAnsi="宋体" w:cs="宋体"/>
              </w:rPr>
              <w:t>（人民币万元）</w:t>
            </w:r>
          </w:p>
        </w:tc>
        <w:tc>
          <w:tcPr>
            <w:tcW w:w="1722" w:type="dxa"/>
            <w:vAlign w:val="center"/>
          </w:tcPr>
          <w:p>
            <w:pPr>
              <w:snapToGrid w:val="0"/>
              <w:spacing w:line="400" w:lineRule="exact"/>
              <w:jc w:val="center"/>
              <w:rPr>
                <w:rFonts w:ascii="宋体" w:hAnsi="宋体" w:cs="宋体"/>
              </w:rPr>
            </w:pPr>
            <w:r>
              <w:rPr>
                <w:rFonts w:hint="eastAsia" w:ascii="宋体" w:hAnsi="宋体" w:cs="宋体"/>
              </w:rPr>
              <w:t>是否接受进口产品投标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46" w:type="dxa"/>
            <w:vAlign w:val="center"/>
          </w:tcPr>
          <w:p>
            <w:pPr>
              <w:jc w:val="center"/>
              <w:rPr>
                <w:rFonts w:ascii="宋体" w:hAnsi="宋体" w:cs="宋体"/>
                <w:kern w:val="2"/>
              </w:rPr>
            </w:pPr>
            <w:r>
              <w:rPr>
                <w:rFonts w:hint="eastAsia" w:ascii="宋体" w:hAnsi="宋体" w:cs="宋体"/>
                <w:kern w:val="2"/>
              </w:rPr>
              <w:t>1</w:t>
            </w:r>
          </w:p>
        </w:tc>
        <w:tc>
          <w:tcPr>
            <w:tcW w:w="3136" w:type="dxa"/>
            <w:vAlign w:val="center"/>
          </w:tcPr>
          <w:p>
            <w:pPr>
              <w:adjustRightInd/>
              <w:spacing w:line="360" w:lineRule="auto"/>
              <w:jc w:val="center"/>
              <w:textAlignment w:val="auto"/>
              <w:rPr>
                <w:rFonts w:hint="eastAsia" w:ascii="宋体" w:hAnsi="宋体" w:eastAsia="宋体" w:cs="宋体"/>
                <w:szCs w:val="21"/>
                <w:lang w:eastAsia="zh-CN"/>
              </w:rPr>
            </w:pPr>
            <w:r>
              <w:rPr>
                <w:rFonts w:hint="eastAsia" w:ascii="Times New Roman" w:hAnsi="Times New Roman" w:cs="Times New Roman"/>
                <w:kern w:val="2"/>
                <w:sz w:val="24"/>
              </w:rPr>
              <w:t>V</w:t>
            </w:r>
            <w:r>
              <w:rPr>
                <w:rFonts w:ascii="Times New Roman" w:hAnsi="Times New Roman" w:cs="Times New Roman"/>
                <w:kern w:val="2"/>
                <w:sz w:val="24"/>
              </w:rPr>
              <w:t>R</w:t>
            </w:r>
            <w:r>
              <w:rPr>
                <w:rFonts w:hint="eastAsia" w:ascii="Times New Roman" w:hAnsi="Times New Roman" w:cs="Times New Roman"/>
                <w:kern w:val="2"/>
                <w:sz w:val="24"/>
              </w:rPr>
              <w:t>沉浸式病理虚拟仿真教学系统</w:t>
            </w:r>
          </w:p>
        </w:tc>
        <w:tc>
          <w:tcPr>
            <w:tcW w:w="905" w:type="dxa"/>
            <w:vAlign w:val="center"/>
          </w:tcPr>
          <w:p>
            <w:pPr>
              <w:adjustRightInd/>
              <w:spacing w:line="360" w:lineRule="auto"/>
              <w:jc w:val="center"/>
              <w:textAlignment w:val="auto"/>
              <w:rPr>
                <w:rFonts w:ascii="宋体" w:hAnsi="宋体" w:cs="宋体"/>
                <w:szCs w:val="21"/>
              </w:rPr>
            </w:pPr>
            <w:r>
              <w:rPr>
                <w:rFonts w:hint="eastAsia" w:ascii="Times New Roman" w:hAnsi="Times New Roman" w:cs="Times New Roman"/>
                <w:color w:val="000000"/>
                <w:kern w:val="2"/>
              </w:rPr>
              <w:t>1批</w:t>
            </w:r>
          </w:p>
        </w:tc>
        <w:tc>
          <w:tcPr>
            <w:tcW w:w="1939" w:type="dxa"/>
            <w:vAlign w:val="center"/>
          </w:tcPr>
          <w:p>
            <w:pPr>
              <w:jc w:val="center"/>
              <w:rPr>
                <w:rFonts w:hint="eastAsia" w:ascii="宋体" w:hAnsi="宋体" w:eastAsia="宋体" w:cs="宋体"/>
                <w:szCs w:val="21"/>
                <w:lang w:eastAsia="zh-CN"/>
              </w:rPr>
            </w:pPr>
            <w:r>
              <w:rPr>
                <w:rFonts w:hint="eastAsia" w:ascii="宋体" w:hAnsi="宋体" w:cs="宋体"/>
                <w:szCs w:val="21"/>
                <w:lang w:eastAsia="zh-CN"/>
              </w:rPr>
              <w:t>483</w:t>
            </w:r>
          </w:p>
        </w:tc>
        <w:tc>
          <w:tcPr>
            <w:tcW w:w="1722" w:type="dxa"/>
            <w:vAlign w:val="center"/>
          </w:tcPr>
          <w:p>
            <w:pPr>
              <w:jc w:val="center"/>
              <w:rPr>
                <w:rFonts w:ascii="宋体" w:hAnsi="宋体" w:cs="宋体"/>
                <w:szCs w:val="21"/>
              </w:rPr>
            </w:pPr>
            <w:r>
              <w:rPr>
                <w:rFonts w:hint="eastAsia" w:ascii="宋体" w:hAnsi="宋体" w:cs="宋体"/>
                <w:szCs w:val="21"/>
              </w:rPr>
              <w:t>否</w:t>
            </w:r>
          </w:p>
        </w:tc>
      </w:tr>
    </w:tbl>
    <w:p>
      <w:pPr>
        <w:pStyle w:val="41"/>
        <w:adjustRightInd w:val="0"/>
        <w:snapToGrid w:val="0"/>
        <w:spacing w:before="0" w:after="0" w:line="400" w:lineRule="exact"/>
        <w:ind w:firstLine="480"/>
        <w:jc w:val="both"/>
        <w:rPr>
          <w:rFonts w:ascii="宋体" w:hAnsi="宋体" w:eastAsia="宋体" w:cs="宋体"/>
          <w:b/>
          <w:bCs/>
          <w:color w:val="auto"/>
          <w:sz w:val="24"/>
          <w:szCs w:val="24"/>
          <w:lang w:val="en-US"/>
        </w:rPr>
      </w:pPr>
      <w:r>
        <w:rPr>
          <w:rFonts w:hint="eastAsia" w:ascii="宋体" w:hAnsi="宋体" w:eastAsia="宋体" w:cs="宋体"/>
          <w:color w:val="auto"/>
          <w:kern w:val="0"/>
          <w:sz w:val="24"/>
          <w:szCs w:val="24"/>
          <w:lang w:val="en-US"/>
        </w:rPr>
        <w:t>本次招标、投标、评标均以包为单位，投标人须以包为单位进行投标，如有多包，可投一包或多包，但不得拆包，不完整的投标将被拒绝。</w:t>
      </w:r>
      <w:r>
        <w:rPr>
          <w:rFonts w:hint="eastAsia" w:ascii="宋体" w:hAnsi="宋体" w:eastAsia="宋体" w:cs="宋体"/>
          <w:b/>
          <w:bCs/>
          <w:color w:val="auto"/>
          <w:kern w:val="0"/>
          <w:sz w:val="24"/>
          <w:szCs w:val="24"/>
          <w:lang w:val="en-US"/>
        </w:rPr>
        <w:t>本项目为非专门面向中小企业采购。本项目所属行业</w:t>
      </w:r>
      <w:r>
        <w:rPr>
          <w:rFonts w:hint="eastAsia" w:ascii="宋体" w:hAnsi="宋体" w:eastAsia="宋体" w:cs="宋体"/>
          <w:b/>
          <w:bCs/>
          <w:color w:val="auto"/>
          <w:kern w:val="0"/>
          <w:sz w:val="24"/>
          <w:szCs w:val="24"/>
          <w:lang w:val="en-US" w:eastAsia="zh-CN"/>
        </w:rPr>
        <w:t>详见第三章采购需求</w:t>
      </w:r>
      <w:r>
        <w:rPr>
          <w:rFonts w:hint="eastAsia" w:ascii="宋体" w:hAnsi="宋体" w:eastAsia="宋体" w:cs="宋体"/>
          <w:b/>
          <w:bCs/>
          <w:color w:val="auto"/>
          <w:kern w:val="0"/>
          <w:sz w:val="24"/>
          <w:szCs w:val="24"/>
          <w:lang w:val="en-US"/>
        </w:rPr>
        <w:t>。</w:t>
      </w:r>
    </w:p>
    <w:p>
      <w:pPr>
        <w:pStyle w:val="41"/>
        <w:adjustRightInd w:val="0"/>
        <w:snapToGrid w:val="0"/>
        <w:spacing w:before="0" w:after="0" w:line="400" w:lineRule="exact"/>
        <w:ind w:firstLine="480"/>
        <w:rPr>
          <w:rFonts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2.采购用途：用于教学科研。</w:t>
      </w:r>
    </w:p>
    <w:p>
      <w:pPr>
        <w:pStyle w:val="41"/>
        <w:adjustRightInd w:val="0"/>
        <w:snapToGrid w:val="0"/>
        <w:spacing w:before="0" w:after="0" w:line="400" w:lineRule="exact"/>
        <w:ind w:firstLine="480"/>
        <w:rPr>
          <w:rFonts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以上货物的供应、运输、安装调试、培训及售后服务具体招标内容和要求，以本招标文件中商务、技术和服务的相应规定为准。</w:t>
      </w:r>
    </w:p>
    <w:p>
      <w:pPr>
        <w:pStyle w:val="41"/>
        <w:adjustRightInd w:val="0"/>
        <w:snapToGrid w:val="0"/>
        <w:spacing w:before="0" w:after="0" w:line="400" w:lineRule="exact"/>
        <w:ind w:firstLine="480"/>
        <w:rPr>
          <w:rFonts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3.需要落实的政府采购政策：</w:t>
      </w:r>
    </w:p>
    <w:p>
      <w:pPr>
        <w:snapToGrid w:val="0"/>
        <w:spacing w:line="400" w:lineRule="exact"/>
        <w:ind w:firstLine="480" w:firstLineChars="200"/>
        <w:rPr>
          <w:rFonts w:ascii="宋体" w:hAnsi="宋体" w:cs="宋体"/>
        </w:rPr>
      </w:pPr>
      <w:r>
        <w:rPr>
          <w:rFonts w:hint="eastAsia" w:ascii="宋体" w:hAnsi="宋体" w:cs="宋体"/>
        </w:rPr>
        <w:t>本项目落实节约能源、保护环境、促进中小企业发展、支持监狱企业发展、促进残疾人就业等政府采购政策。</w:t>
      </w:r>
    </w:p>
    <w:p>
      <w:pPr>
        <w:snapToGrid w:val="0"/>
        <w:spacing w:line="400" w:lineRule="exact"/>
        <w:ind w:firstLine="482" w:firstLineChars="200"/>
        <w:rPr>
          <w:rFonts w:ascii="宋体" w:hAnsi="宋体" w:cs="宋体"/>
          <w:b/>
          <w:bCs/>
        </w:rPr>
      </w:pPr>
      <w:r>
        <w:rPr>
          <w:rFonts w:hint="eastAsia" w:ascii="宋体" w:hAnsi="宋体" w:cs="宋体"/>
          <w:b/>
          <w:bCs/>
        </w:rPr>
        <w:t>五、投标人的资格要求</w:t>
      </w:r>
    </w:p>
    <w:p>
      <w:pPr>
        <w:pStyle w:val="41"/>
        <w:adjustRightInd w:val="0"/>
        <w:snapToGrid w:val="0"/>
        <w:spacing w:before="0" w:after="0" w:line="400" w:lineRule="exact"/>
        <w:ind w:firstLine="480"/>
        <w:jc w:val="both"/>
        <w:rPr>
          <w:rFonts w:ascii="宋体" w:hAnsi="宋体" w:eastAsia="宋体" w:cs="宋体"/>
          <w:color w:val="auto"/>
          <w:sz w:val="24"/>
          <w:szCs w:val="24"/>
        </w:rPr>
      </w:pPr>
      <w:r>
        <w:rPr>
          <w:rFonts w:hint="eastAsia" w:ascii="宋体" w:hAnsi="宋体" w:eastAsia="宋体" w:cs="宋体"/>
          <w:color w:val="auto"/>
          <w:sz w:val="24"/>
          <w:szCs w:val="24"/>
        </w:rPr>
        <w:t>1.在中华人民共和国境内注册登记，有生产或供应能力的本国供应商，包括法人、其他组织和个人。</w:t>
      </w:r>
    </w:p>
    <w:p>
      <w:pPr>
        <w:pStyle w:val="41"/>
        <w:adjustRightInd w:val="0"/>
        <w:snapToGrid w:val="0"/>
        <w:spacing w:before="0" w:after="0" w:line="400" w:lineRule="exact"/>
        <w:ind w:firstLine="480"/>
        <w:jc w:val="both"/>
        <w:rPr>
          <w:rFonts w:ascii="宋体" w:hAnsi="宋体" w:eastAsia="宋体" w:cs="宋体"/>
          <w:color w:val="auto"/>
          <w:sz w:val="24"/>
          <w:szCs w:val="24"/>
        </w:rPr>
      </w:pPr>
      <w:r>
        <w:rPr>
          <w:rFonts w:hint="eastAsia" w:ascii="宋体" w:hAnsi="宋体" w:eastAsia="宋体" w:cs="宋体"/>
          <w:color w:val="auto"/>
          <w:sz w:val="24"/>
          <w:szCs w:val="24"/>
        </w:rPr>
        <w:t>2.投标人应遵守《中华人民共和国政府采购法》《中华人民共和国政府采购法实施条例》等法律法规，并符合本招标文件规定的条件。</w:t>
      </w:r>
    </w:p>
    <w:p>
      <w:pPr>
        <w:pStyle w:val="41"/>
        <w:adjustRightInd w:val="0"/>
        <w:snapToGrid w:val="0"/>
        <w:spacing w:before="0" w:after="0" w:line="400" w:lineRule="exact"/>
        <w:ind w:firstLine="480"/>
        <w:rPr>
          <w:rFonts w:ascii="宋体" w:hAnsi="宋体" w:eastAsia="宋体" w:cs="宋体"/>
          <w:color w:val="auto"/>
          <w:sz w:val="24"/>
          <w:szCs w:val="24"/>
          <w:lang w:val="en-US"/>
        </w:rPr>
      </w:pPr>
      <w:r>
        <w:rPr>
          <w:rFonts w:hint="eastAsia" w:ascii="宋体" w:hAnsi="宋体" w:eastAsia="宋体" w:cs="宋体"/>
          <w:color w:val="auto"/>
          <w:sz w:val="24"/>
          <w:szCs w:val="24"/>
          <w:lang w:val="en-US"/>
        </w:rPr>
        <w:t>（1）具有</w:t>
      </w:r>
      <w:r>
        <w:rPr>
          <w:rFonts w:hint="eastAsia" w:ascii="宋体" w:hAnsi="宋体" w:eastAsia="宋体" w:cs="宋体"/>
          <w:color w:val="auto"/>
          <w:kern w:val="0"/>
          <w:sz w:val="24"/>
          <w:szCs w:val="24"/>
          <w:lang w:val="en-US"/>
        </w:rPr>
        <w:t>独立</w:t>
      </w:r>
      <w:r>
        <w:rPr>
          <w:rFonts w:hint="eastAsia" w:ascii="宋体" w:hAnsi="宋体" w:eastAsia="宋体" w:cs="宋体"/>
          <w:color w:val="auto"/>
          <w:sz w:val="24"/>
          <w:szCs w:val="24"/>
          <w:lang w:val="en-US"/>
        </w:rPr>
        <w:t>承担民事责任的能力；</w:t>
      </w:r>
    </w:p>
    <w:p>
      <w:pPr>
        <w:pStyle w:val="41"/>
        <w:adjustRightInd w:val="0"/>
        <w:snapToGrid w:val="0"/>
        <w:spacing w:before="0" w:after="0" w:line="400" w:lineRule="exact"/>
        <w:ind w:firstLine="480"/>
        <w:rPr>
          <w:rFonts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（2）具有良好的商业信誉和健全的财务会计制度；</w:t>
      </w:r>
    </w:p>
    <w:p>
      <w:pPr>
        <w:pStyle w:val="41"/>
        <w:adjustRightInd w:val="0"/>
        <w:snapToGrid w:val="0"/>
        <w:spacing w:before="0" w:after="0" w:line="400" w:lineRule="exact"/>
        <w:ind w:firstLine="480"/>
        <w:rPr>
          <w:rFonts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（3）具有履行合同所必需的设备和专业技术能力；</w:t>
      </w:r>
    </w:p>
    <w:p>
      <w:pPr>
        <w:pStyle w:val="41"/>
        <w:adjustRightInd w:val="0"/>
        <w:snapToGrid w:val="0"/>
        <w:spacing w:before="0" w:after="0" w:line="400" w:lineRule="exact"/>
        <w:ind w:firstLine="480"/>
        <w:rPr>
          <w:rFonts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（4）具有依法缴纳税收和社会保障资金的良好记录；</w:t>
      </w:r>
    </w:p>
    <w:p>
      <w:pPr>
        <w:pStyle w:val="41"/>
        <w:adjustRightInd w:val="0"/>
        <w:snapToGrid w:val="0"/>
        <w:spacing w:before="0" w:after="0" w:line="400" w:lineRule="exact"/>
        <w:ind w:firstLine="480"/>
        <w:rPr>
          <w:rFonts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（5）参加此项采购活动前三年内，在经营活动中没有重大违法记录；</w:t>
      </w:r>
    </w:p>
    <w:p>
      <w:pPr>
        <w:pStyle w:val="41"/>
        <w:adjustRightInd w:val="0"/>
        <w:snapToGrid w:val="0"/>
        <w:spacing w:before="0" w:after="0" w:line="400" w:lineRule="exact"/>
        <w:ind w:firstLine="480"/>
        <w:rPr>
          <w:rFonts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6）本项目投标截止期前被“信用中国”网站列入失信被执行人和重大税收违法案件当事人名单的、被“中国政府采购网”网站列入政府采购严重违法失信行为记录名单（处罚期限尚未届满的），不得参与本项目的政府采购活动。</w:t>
      </w:r>
    </w:p>
    <w:p>
      <w:pPr>
        <w:pStyle w:val="41"/>
        <w:adjustRightInd w:val="0"/>
        <w:snapToGrid w:val="0"/>
        <w:spacing w:before="0" w:after="0" w:line="400" w:lineRule="exact"/>
        <w:ind w:firstLine="480"/>
        <w:rPr>
          <w:rFonts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（7）法律、行政法规规定的其他条件。</w:t>
      </w:r>
    </w:p>
    <w:p>
      <w:pPr>
        <w:pStyle w:val="41"/>
        <w:adjustRightInd w:val="0"/>
        <w:snapToGrid w:val="0"/>
        <w:spacing w:before="0" w:after="0" w:line="400" w:lineRule="exact"/>
        <w:ind w:firstLine="480"/>
        <w:rPr>
          <w:rFonts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（8）本项目为非专门面向中小企业采购。</w:t>
      </w:r>
    </w:p>
    <w:p>
      <w:pPr>
        <w:pStyle w:val="41"/>
        <w:adjustRightInd w:val="0"/>
        <w:snapToGrid w:val="0"/>
        <w:spacing w:before="0" w:after="0" w:line="400" w:lineRule="exact"/>
        <w:ind w:firstLine="480"/>
        <w:rPr>
          <w:rFonts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（9）投标人按照招标公告的要求购买招标文件并登记备案。</w:t>
      </w:r>
    </w:p>
    <w:p>
      <w:pPr>
        <w:pStyle w:val="41"/>
        <w:adjustRightInd w:val="0"/>
        <w:snapToGrid w:val="0"/>
        <w:spacing w:before="0" w:after="0" w:line="400" w:lineRule="exact"/>
        <w:ind w:firstLine="480"/>
        <w:jc w:val="both"/>
        <w:rPr>
          <w:rFonts w:ascii="宋体" w:hAnsi="宋体" w:eastAsia="宋体" w:cs="宋体"/>
          <w:color w:val="auto"/>
          <w:sz w:val="24"/>
          <w:szCs w:val="24"/>
        </w:rPr>
      </w:pPr>
      <w:r>
        <w:rPr>
          <w:rFonts w:hint="eastAsia" w:ascii="宋体" w:hAnsi="宋体" w:eastAsia="宋体" w:cs="宋体"/>
          <w:color w:val="auto"/>
          <w:sz w:val="24"/>
          <w:szCs w:val="24"/>
        </w:rPr>
        <w:t>3.本项目</w:t>
      </w:r>
      <w:r>
        <w:rPr>
          <w:rFonts w:hint="eastAsia" w:ascii="宋体" w:hAnsi="宋体" w:eastAsia="宋体" w:cs="宋体"/>
          <w:color w:val="auto"/>
          <w:sz w:val="24"/>
          <w:szCs w:val="24"/>
          <w:u w:val="single"/>
        </w:rPr>
        <w:t>不接受</w:t>
      </w:r>
      <w:r>
        <w:rPr>
          <w:rFonts w:hint="eastAsia" w:ascii="宋体" w:hAnsi="宋体" w:eastAsia="宋体" w:cs="宋体"/>
          <w:color w:val="auto"/>
          <w:sz w:val="24"/>
          <w:szCs w:val="24"/>
        </w:rPr>
        <w:t>联合体投标。</w:t>
      </w:r>
    </w:p>
    <w:p>
      <w:pPr>
        <w:adjustRightInd w:val="0"/>
        <w:snapToGrid w:val="0"/>
        <w:spacing w:line="400" w:lineRule="exact"/>
        <w:ind w:firstLine="482" w:firstLineChars="200"/>
        <w:jc w:val="left"/>
        <w:textAlignment w:val="baseline"/>
        <w:rPr>
          <w:rFonts w:ascii="宋体" w:hAnsi="宋体" w:eastAsia="宋体" w:cs="宋体"/>
          <w:b/>
          <w:bCs/>
          <w:kern w:val="0"/>
          <w:sz w:val="24"/>
        </w:rPr>
      </w:pPr>
      <w:r>
        <w:rPr>
          <w:rFonts w:hint="eastAsia" w:ascii="宋体" w:hAnsi="宋体" w:eastAsia="宋体" w:cs="宋体"/>
          <w:b/>
          <w:bCs/>
          <w:kern w:val="0"/>
          <w:sz w:val="24"/>
        </w:rPr>
        <w:t>六、招标文件购买时间、地点和要求</w:t>
      </w:r>
    </w:p>
    <w:p>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1.购买时间：自</w:t>
      </w:r>
      <w:r>
        <w:rPr>
          <w:rFonts w:hint="eastAsia" w:ascii="宋体" w:hAnsi="宋体" w:eastAsia="宋体" w:cs="宋体"/>
          <w:kern w:val="0"/>
          <w:sz w:val="24"/>
          <w:u w:val="single"/>
        </w:rPr>
        <w:t xml:space="preserve"> 2022年11月</w:t>
      </w:r>
      <w:r>
        <w:rPr>
          <w:rFonts w:hint="eastAsia" w:ascii="宋体" w:hAnsi="宋体" w:eastAsia="宋体" w:cs="宋体"/>
          <w:kern w:val="0"/>
          <w:sz w:val="24"/>
          <w:u w:val="single"/>
          <w:lang w:val="en-US" w:eastAsia="zh-CN"/>
        </w:rPr>
        <w:t>28</w:t>
      </w:r>
      <w:r>
        <w:rPr>
          <w:rFonts w:hint="eastAsia" w:ascii="宋体" w:hAnsi="宋体" w:eastAsia="宋体" w:cs="宋体"/>
          <w:kern w:val="0"/>
          <w:sz w:val="24"/>
          <w:u w:val="single"/>
        </w:rPr>
        <w:t>日</w:t>
      </w:r>
      <w:r>
        <w:rPr>
          <w:rFonts w:hint="eastAsia" w:ascii="宋体" w:hAnsi="宋体" w:eastAsia="宋体" w:cs="宋体"/>
          <w:kern w:val="0"/>
          <w:sz w:val="24"/>
        </w:rPr>
        <w:t>起至</w:t>
      </w:r>
      <w:r>
        <w:rPr>
          <w:rFonts w:hint="eastAsia" w:ascii="宋体" w:hAnsi="宋体" w:eastAsia="宋体" w:cs="宋体"/>
          <w:kern w:val="0"/>
          <w:sz w:val="24"/>
          <w:u w:val="single"/>
        </w:rPr>
        <w:t xml:space="preserve"> 2022年1</w:t>
      </w:r>
      <w:r>
        <w:rPr>
          <w:rFonts w:hint="eastAsia" w:ascii="宋体" w:hAnsi="宋体" w:eastAsia="宋体" w:cs="宋体"/>
          <w:kern w:val="0"/>
          <w:sz w:val="24"/>
          <w:u w:val="single"/>
          <w:lang w:val="en-US" w:eastAsia="zh-CN"/>
        </w:rPr>
        <w:t>2</w:t>
      </w:r>
      <w:r>
        <w:rPr>
          <w:rFonts w:hint="eastAsia" w:ascii="宋体" w:hAnsi="宋体" w:eastAsia="宋体" w:cs="宋体"/>
          <w:kern w:val="0"/>
          <w:sz w:val="24"/>
          <w:u w:val="single"/>
        </w:rPr>
        <w:t>月</w:t>
      </w:r>
      <w:r>
        <w:rPr>
          <w:rFonts w:hint="eastAsia" w:ascii="宋体" w:hAnsi="宋体" w:eastAsia="宋体" w:cs="宋体"/>
          <w:kern w:val="0"/>
          <w:sz w:val="24"/>
          <w:u w:val="single"/>
          <w:lang w:val="en-US" w:eastAsia="zh-CN"/>
        </w:rPr>
        <w:t>5</w:t>
      </w:r>
      <w:r>
        <w:rPr>
          <w:rFonts w:hint="eastAsia" w:ascii="宋体" w:hAnsi="宋体" w:eastAsia="宋体" w:cs="宋体"/>
          <w:kern w:val="0"/>
          <w:sz w:val="24"/>
          <w:u w:val="single"/>
        </w:rPr>
        <w:t>日</w:t>
      </w:r>
      <w:r>
        <w:rPr>
          <w:rFonts w:hint="eastAsia" w:ascii="宋体" w:hAnsi="宋体" w:eastAsia="宋体" w:cs="宋体"/>
          <w:kern w:val="0"/>
          <w:sz w:val="24"/>
        </w:rPr>
        <w:t>（上午</w:t>
      </w:r>
      <w:r>
        <w:rPr>
          <w:rFonts w:hint="eastAsia" w:ascii="宋体" w:hAnsi="宋体" w:eastAsia="宋体" w:cs="宋体"/>
          <w:kern w:val="0"/>
          <w:sz w:val="24"/>
          <w:u w:val="single"/>
        </w:rPr>
        <w:t>9</w:t>
      </w:r>
      <w:r>
        <w:rPr>
          <w:rFonts w:hint="eastAsia" w:ascii="宋体" w:hAnsi="宋体" w:eastAsia="宋体" w:cs="宋体"/>
          <w:kern w:val="0"/>
          <w:sz w:val="24"/>
        </w:rPr>
        <w:t>时至</w:t>
      </w:r>
      <w:r>
        <w:rPr>
          <w:rFonts w:hint="eastAsia" w:ascii="宋体" w:hAnsi="宋体" w:eastAsia="宋体" w:cs="宋体"/>
          <w:kern w:val="0"/>
          <w:sz w:val="24"/>
          <w:u w:val="single"/>
        </w:rPr>
        <w:t>11</w:t>
      </w:r>
      <w:r>
        <w:rPr>
          <w:rFonts w:hint="eastAsia" w:ascii="宋体" w:hAnsi="宋体" w:eastAsia="宋体" w:cs="宋体"/>
          <w:kern w:val="0"/>
          <w:sz w:val="24"/>
        </w:rPr>
        <w:t>时，下午</w:t>
      </w:r>
      <w:r>
        <w:rPr>
          <w:rFonts w:hint="eastAsia" w:ascii="宋体" w:hAnsi="宋体" w:eastAsia="宋体" w:cs="宋体"/>
          <w:kern w:val="0"/>
          <w:sz w:val="24"/>
          <w:u w:val="single"/>
        </w:rPr>
        <w:t>14</w:t>
      </w:r>
      <w:r>
        <w:rPr>
          <w:rFonts w:hint="eastAsia" w:ascii="宋体" w:hAnsi="宋体" w:eastAsia="宋体" w:cs="宋体"/>
          <w:kern w:val="0"/>
          <w:sz w:val="24"/>
        </w:rPr>
        <w:t>时至</w:t>
      </w:r>
      <w:r>
        <w:rPr>
          <w:rFonts w:hint="eastAsia" w:ascii="宋体" w:hAnsi="宋体" w:eastAsia="宋体" w:cs="宋体"/>
          <w:kern w:val="0"/>
          <w:sz w:val="24"/>
          <w:u w:val="single"/>
        </w:rPr>
        <w:t>16</w:t>
      </w:r>
      <w:r>
        <w:rPr>
          <w:rFonts w:hint="eastAsia" w:ascii="宋体" w:hAnsi="宋体" w:eastAsia="宋体" w:cs="宋体"/>
          <w:kern w:val="0"/>
          <w:sz w:val="24"/>
        </w:rPr>
        <w:t>时）。</w:t>
      </w:r>
    </w:p>
    <w:p>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2.购买地点：</w:t>
      </w:r>
      <w:r>
        <w:rPr>
          <w:rFonts w:hint="eastAsia" w:ascii="宋体" w:hAnsi="宋体" w:eastAsia="宋体" w:cs="宋体"/>
          <w:kern w:val="0"/>
          <w:sz w:val="24"/>
          <w:u w:val="single"/>
        </w:rPr>
        <w:t>北京市海淀区文慧园北路10号，中教仪总公司北师大办公楼509室。</w:t>
      </w:r>
    </w:p>
    <w:p>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3.招标文件售价：人民币</w:t>
      </w:r>
      <w:r>
        <w:rPr>
          <w:rFonts w:hint="eastAsia" w:ascii="宋体" w:hAnsi="宋体" w:eastAsia="宋体" w:cs="宋体"/>
          <w:kern w:val="0"/>
          <w:sz w:val="24"/>
          <w:u w:val="single"/>
        </w:rPr>
        <w:t xml:space="preserve"> 500 元/包</w:t>
      </w:r>
      <w:r>
        <w:rPr>
          <w:rFonts w:hint="eastAsia" w:ascii="宋体" w:hAnsi="宋体" w:eastAsia="宋体" w:cs="宋体"/>
          <w:kern w:val="0"/>
          <w:sz w:val="24"/>
        </w:rPr>
        <w:t>，售后不退。若邮购，须加付人民币</w:t>
      </w:r>
      <w:r>
        <w:rPr>
          <w:rFonts w:hint="eastAsia" w:ascii="宋体" w:hAnsi="宋体" w:eastAsia="宋体" w:cs="宋体"/>
          <w:kern w:val="0"/>
          <w:sz w:val="24"/>
          <w:u w:val="single"/>
        </w:rPr>
        <w:t>50</w:t>
      </w:r>
      <w:r>
        <w:rPr>
          <w:rFonts w:hint="eastAsia" w:ascii="宋体" w:hAnsi="宋体" w:eastAsia="宋体" w:cs="宋体"/>
          <w:kern w:val="0"/>
          <w:sz w:val="24"/>
        </w:rPr>
        <w:t>元。</w:t>
      </w:r>
    </w:p>
    <w:p>
      <w:pPr>
        <w:adjustRightInd w:val="0"/>
        <w:snapToGrid w:val="0"/>
        <w:spacing w:line="400" w:lineRule="exact"/>
        <w:ind w:firstLine="482" w:firstLineChars="200"/>
        <w:jc w:val="left"/>
        <w:textAlignment w:val="baseline"/>
        <w:rPr>
          <w:rFonts w:ascii="宋体" w:hAnsi="宋体" w:eastAsia="宋体" w:cs="宋体"/>
          <w:b/>
          <w:bCs/>
          <w:kern w:val="0"/>
          <w:sz w:val="24"/>
        </w:rPr>
      </w:pPr>
      <w:r>
        <w:rPr>
          <w:rFonts w:hint="eastAsia" w:ascii="宋体" w:hAnsi="宋体" w:eastAsia="宋体" w:cs="宋体"/>
          <w:b/>
          <w:bCs/>
          <w:kern w:val="0"/>
          <w:sz w:val="24"/>
        </w:rPr>
        <w:t>七、投标截止时间及开标时间</w:t>
      </w:r>
    </w:p>
    <w:p>
      <w:pPr>
        <w:adjustRightInd w:val="0"/>
        <w:snapToGrid w:val="0"/>
        <w:spacing w:line="400" w:lineRule="exact"/>
        <w:ind w:firstLine="480" w:firstLineChars="200"/>
        <w:jc w:val="left"/>
        <w:textAlignment w:val="baseline"/>
        <w:rPr>
          <w:rFonts w:ascii="宋体" w:hAnsi="宋体" w:eastAsia="宋体" w:cs="宋体"/>
          <w:kern w:val="0"/>
          <w:sz w:val="24"/>
          <w:highlight w:val="none"/>
        </w:rPr>
      </w:pPr>
      <w:r>
        <w:rPr>
          <w:rFonts w:hint="eastAsia" w:ascii="宋体" w:hAnsi="宋体" w:eastAsia="宋体" w:cs="宋体"/>
          <w:kern w:val="0"/>
          <w:sz w:val="24"/>
          <w:highlight w:val="none"/>
        </w:rPr>
        <w:t>投标截止时间：</w:t>
      </w:r>
      <w:r>
        <w:rPr>
          <w:rFonts w:hint="eastAsia" w:ascii="宋体" w:hAnsi="宋体" w:eastAsia="宋体" w:cs="宋体"/>
          <w:kern w:val="0"/>
          <w:sz w:val="24"/>
          <w:highlight w:val="none"/>
          <w:u w:val="single"/>
        </w:rPr>
        <w:t>2022年12月</w:t>
      </w:r>
      <w:r>
        <w:rPr>
          <w:rFonts w:hint="eastAsia" w:ascii="宋体" w:hAnsi="宋体" w:eastAsia="宋体" w:cs="宋体"/>
          <w:kern w:val="0"/>
          <w:sz w:val="24"/>
          <w:highlight w:val="none"/>
          <w:u w:val="single"/>
          <w:lang w:val="en-US" w:eastAsia="zh-CN"/>
        </w:rPr>
        <w:t>19</w:t>
      </w:r>
      <w:r>
        <w:rPr>
          <w:rFonts w:hint="eastAsia" w:ascii="宋体" w:hAnsi="宋体" w:eastAsia="宋体" w:cs="宋体"/>
          <w:kern w:val="0"/>
          <w:sz w:val="24"/>
          <w:highlight w:val="none"/>
          <w:u w:val="single"/>
        </w:rPr>
        <w:t>日</w:t>
      </w:r>
      <w:r>
        <w:rPr>
          <w:rFonts w:hint="eastAsia" w:ascii="宋体" w:hAnsi="宋体" w:eastAsia="宋体" w:cs="宋体"/>
          <w:kern w:val="0"/>
          <w:sz w:val="24"/>
          <w:highlight w:val="none"/>
          <w:u w:val="single"/>
          <w:lang w:val="en-US" w:eastAsia="zh-CN"/>
        </w:rPr>
        <w:t>8</w:t>
      </w:r>
      <w:r>
        <w:rPr>
          <w:rFonts w:hint="eastAsia" w:ascii="宋体" w:hAnsi="宋体" w:eastAsia="宋体" w:cs="宋体"/>
          <w:kern w:val="0"/>
          <w:sz w:val="24"/>
          <w:highlight w:val="none"/>
          <w:u w:val="single"/>
        </w:rPr>
        <w:t>时</w:t>
      </w:r>
      <w:r>
        <w:rPr>
          <w:rFonts w:hint="eastAsia" w:ascii="宋体" w:hAnsi="宋体" w:cs="宋体"/>
          <w:kern w:val="0"/>
          <w:sz w:val="24"/>
          <w:highlight w:val="none"/>
          <w:u w:val="single"/>
          <w:lang w:val="en-US" w:eastAsia="zh-CN"/>
        </w:rPr>
        <w:t>2</w:t>
      </w:r>
      <w:r>
        <w:rPr>
          <w:rFonts w:hint="eastAsia" w:ascii="宋体" w:hAnsi="宋体" w:eastAsia="宋体" w:cs="宋体"/>
          <w:kern w:val="0"/>
          <w:sz w:val="24"/>
          <w:highlight w:val="none"/>
          <w:u w:val="single"/>
        </w:rPr>
        <w:t>0分</w:t>
      </w:r>
      <w:r>
        <w:rPr>
          <w:rFonts w:hint="eastAsia" w:ascii="宋体" w:hAnsi="宋体" w:eastAsia="宋体" w:cs="宋体"/>
          <w:kern w:val="0"/>
          <w:sz w:val="24"/>
          <w:highlight w:val="none"/>
        </w:rPr>
        <w:t>（北京时间）。</w:t>
      </w:r>
    </w:p>
    <w:p>
      <w:pPr>
        <w:adjustRightInd w:val="0"/>
        <w:snapToGrid w:val="0"/>
        <w:spacing w:line="400" w:lineRule="exact"/>
        <w:ind w:firstLine="480" w:firstLineChars="200"/>
        <w:jc w:val="left"/>
        <w:textAlignment w:val="baseline"/>
        <w:rPr>
          <w:rFonts w:ascii="宋体" w:hAnsi="宋体" w:eastAsia="宋体" w:cs="宋体"/>
          <w:kern w:val="0"/>
          <w:sz w:val="24"/>
          <w:highlight w:val="none"/>
        </w:rPr>
      </w:pPr>
      <w:r>
        <w:rPr>
          <w:rFonts w:hint="eastAsia" w:ascii="宋体" w:hAnsi="宋体" w:eastAsia="宋体" w:cs="宋体"/>
          <w:kern w:val="0"/>
          <w:sz w:val="24"/>
          <w:highlight w:val="none"/>
        </w:rPr>
        <w:t>投标截止时间后送达的投标文件将被拒收，在规定时间内所提交的文件不符合相关规定要求的也将被拒收。</w:t>
      </w:r>
    </w:p>
    <w:p>
      <w:pPr>
        <w:adjustRightInd w:val="0"/>
        <w:snapToGrid w:val="0"/>
        <w:spacing w:line="400" w:lineRule="exact"/>
        <w:ind w:firstLine="480" w:firstLineChars="200"/>
        <w:jc w:val="left"/>
        <w:textAlignment w:val="baseline"/>
        <w:rPr>
          <w:rFonts w:ascii="宋体" w:hAnsi="宋体" w:eastAsia="宋体" w:cs="宋体"/>
          <w:kern w:val="0"/>
          <w:sz w:val="24"/>
          <w:highlight w:val="none"/>
        </w:rPr>
      </w:pPr>
      <w:r>
        <w:rPr>
          <w:rFonts w:hint="eastAsia" w:ascii="宋体" w:hAnsi="宋体" w:eastAsia="宋体" w:cs="宋体"/>
          <w:kern w:val="0"/>
          <w:sz w:val="24"/>
          <w:highlight w:val="none"/>
        </w:rPr>
        <w:t>开标时间：</w:t>
      </w:r>
      <w:r>
        <w:rPr>
          <w:rFonts w:hint="eastAsia" w:ascii="宋体" w:hAnsi="宋体" w:eastAsia="宋体" w:cs="宋体"/>
          <w:kern w:val="0"/>
          <w:sz w:val="24"/>
          <w:highlight w:val="none"/>
          <w:u w:val="single"/>
        </w:rPr>
        <w:t>2022年12月</w:t>
      </w:r>
      <w:r>
        <w:rPr>
          <w:rFonts w:hint="eastAsia" w:ascii="宋体" w:hAnsi="宋体" w:eastAsia="宋体" w:cs="宋体"/>
          <w:kern w:val="0"/>
          <w:sz w:val="24"/>
          <w:highlight w:val="none"/>
          <w:u w:val="single"/>
          <w:lang w:val="en-US" w:eastAsia="zh-CN"/>
        </w:rPr>
        <w:t>19</w:t>
      </w:r>
      <w:r>
        <w:rPr>
          <w:rFonts w:hint="eastAsia" w:ascii="宋体" w:hAnsi="宋体" w:eastAsia="宋体" w:cs="宋体"/>
          <w:kern w:val="0"/>
          <w:sz w:val="24"/>
          <w:highlight w:val="none"/>
          <w:u w:val="single"/>
        </w:rPr>
        <w:t>日</w:t>
      </w:r>
      <w:r>
        <w:rPr>
          <w:rFonts w:hint="eastAsia" w:ascii="宋体" w:hAnsi="宋体" w:eastAsia="宋体" w:cs="宋体"/>
          <w:kern w:val="0"/>
          <w:sz w:val="24"/>
          <w:highlight w:val="none"/>
          <w:u w:val="single"/>
          <w:lang w:val="en-US" w:eastAsia="zh-CN"/>
        </w:rPr>
        <w:t>8</w:t>
      </w:r>
      <w:r>
        <w:rPr>
          <w:rFonts w:hint="eastAsia" w:ascii="宋体" w:hAnsi="宋体" w:eastAsia="宋体" w:cs="宋体"/>
          <w:kern w:val="0"/>
          <w:sz w:val="24"/>
          <w:highlight w:val="none"/>
          <w:u w:val="single"/>
        </w:rPr>
        <w:t>时</w:t>
      </w:r>
      <w:r>
        <w:rPr>
          <w:rFonts w:hint="eastAsia" w:ascii="宋体" w:hAnsi="宋体" w:cs="宋体"/>
          <w:kern w:val="0"/>
          <w:sz w:val="24"/>
          <w:highlight w:val="none"/>
          <w:u w:val="single"/>
          <w:lang w:val="en-US" w:eastAsia="zh-CN"/>
        </w:rPr>
        <w:t>2</w:t>
      </w:r>
      <w:r>
        <w:rPr>
          <w:rFonts w:hint="eastAsia" w:ascii="宋体" w:hAnsi="宋体" w:eastAsia="宋体" w:cs="宋体"/>
          <w:kern w:val="0"/>
          <w:sz w:val="24"/>
          <w:highlight w:val="none"/>
          <w:u w:val="single"/>
        </w:rPr>
        <w:t>0分</w:t>
      </w:r>
      <w:r>
        <w:rPr>
          <w:rFonts w:hint="eastAsia" w:ascii="宋体" w:hAnsi="宋体" w:eastAsia="宋体" w:cs="宋体"/>
          <w:kern w:val="0"/>
          <w:sz w:val="24"/>
          <w:highlight w:val="none"/>
        </w:rPr>
        <w:t>（北京时间）。</w:t>
      </w:r>
    </w:p>
    <w:p>
      <w:pPr>
        <w:adjustRightInd w:val="0"/>
        <w:snapToGrid w:val="0"/>
        <w:spacing w:line="400" w:lineRule="exact"/>
        <w:ind w:firstLine="482" w:firstLineChars="200"/>
        <w:jc w:val="left"/>
        <w:textAlignment w:val="baseline"/>
        <w:rPr>
          <w:rFonts w:ascii="宋体" w:hAnsi="宋体" w:eastAsia="宋体" w:cs="宋体"/>
          <w:b/>
          <w:bCs/>
          <w:kern w:val="0"/>
          <w:sz w:val="24"/>
        </w:rPr>
      </w:pPr>
      <w:r>
        <w:rPr>
          <w:rFonts w:hint="eastAsia" w:ascii="宋体" w:hAnsi="宋体" w:eastAsia="宋体" w:cs="宋体"/>
          <w:b/>
          <w:bCs/>
          <w:kern w:val="0"/>
          <w:sz w:val="24"/>
        </w:rPr>
        <w:t>八、投标地点及开标地点</w:t>
      </w:r>
    </w:p>
    <w:p>
      <w:pPr>
        <w:adjustRightInd w:val="0"/>
        <w:snapToGrid w:val="0"/>
        <w:spacing w:line="400" w:lineRule="exact"/>
        <w:ind w:firstLine="480" w:firstLineChars="200"/>
        <w:jc w:val="left"/>
        <w:textAlignment w:val="baseline"/>
        <w:rPr>
          <w:rFonts w:ascii="宋体" w:hAnsi="宋体" w:eastAsia="宋体" w:cs="宋体"/>
          <w:bCs/>
          <w:kern w:val="0"/>
          <w:sz w:val="24"/>
        </w:rPr>
      </w:pPr>
      <w:r>
        <w:rPr>
          <w:rFonts w:hint="eastAsia" w:ascii="宋体" w:hAnsi="宋体" w:eastAsia="宋体" w:cs="宋体"/>
          <w:bCs/>
          <w:kern w:val="0"/>
          <w:sz w:val="24"/>
        </w:rPr>
        <w:t>投标地点：</w:t>
      </w:r>
      <w:r>
        <w:rPr>
          <w:rFonts w:hint="eastAsia" w:ascii="宋体" w:hAnsi="宋体" w:eastAsia="宋体" w:cs="宋体"/>
          <w:kern w:val="0"/>
          <w:sz w:val="24"/>
          <w:u w:val="single"/>
        </w:rPr>
        <w:t>北京市海淀区文慧园北路10号，中教仪总公司北师大办公楼60</w:t>
      </w:r>
      <w:r>
        <w:rPr>
          <w:rFonts w:hint="eastAsia" w:ascii="宋体" w:hAnsi="宋体" w:cs="宋体"/>
          <w:kern w:val="0"/>
          <w:sz w:val="24"/>
          <w:u w:val="single"/>
          <w:lang w:val="en-US" w:eastAsia="zh-CN"/>
        </w:rPr>
        <w:t>4</w:t>
      </w:r>
      <w:r>
        <w:rPr>
          <w:rFonts w:hint="eastAsia" w:ascii="宋体" w:hAnsi="宋体" w:eastAsia="宋体" w:cs="宋体"/>
          <w:kern w:val="0"/>
          <w:sz w:val="24"/>
          <w:u w:val="single"/>
        </w:rPr>
        <w:t>会议室。</w:t>
      </w:r>
    </w:p>
    <w:p>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bCs/>
          <w:kern w:val="0"/>
          <w:sz w:val="24"/>
        </w:rPr>
        <w:t>开标地点：</w:t>
      </w:r>
      <w:r>
        <w:rPr>
          <w:rFonts w:hint="eastAsia" w:ascii="宋体" w:hAnsi="宋体" w:eastAsia="宋体" w:cs="宋体"/>
          <w:kern w:val="0"/>
          <w:sz w:val="24"/>
          <w:u w:val="single"/>
        </w:rPr>
        <w:t>北京市海淀区文慧园北路10号，中教仪总公司北师大办公楼60</w:t>
      </w:r>
      <w:r>
        <w:rPr>
          <w:rFonts w:hint="eastAsia" w:ascii="宋体" w:hAnsi="宋体" w:cs="宋体"/>
          <w:kern w:val="0"/>
          <w:sz w:val="24"/>
          <w:u w:val="single"/>
          <w:lang w:val="en-US" w:eastAsia="zh-CN"/>
        </w:rPr>
        <w:t>4</w:t>
      </w:r>
      <w:r>
        <w:rPr>
          <w:rFonts w:hint="eastAsia" w:ascii="宋体" w:hAnsi="宋体" w:eastAsia="宋体" w:cs="宋体"/>
          <w:kern w:val="0"/>
          <w:sz w:val="24"/>
          <w:u w:val="single"/>
        </w:rPr>
        <w:t>会议室。</w:t>
      </w:r>
    </w:p>
    <w:p>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届时请投标人的法定代表人或其授权的投标人代表出席开标仪式。</w:t>
      </w:r>
    </w:p>
    <w:p>
      <w:pPr>
        <w:snapToGrid w:val="0"/>
        <w:spacing w:line="400" w:lineRule="exact"/>
        <w:ind w:firstLine="482" w:firstLineChars="200"/>
        <w:rPr>
          <w:rFonts w:ascii="宋体" w:hAnsi="宋体" w:cs="宋体"/>
          <w:b/>
          <w:bCs/>
        </w:rPr>
      </w:pPr>
      <w:r>
        <w:rPr>
          <w:rFonts w:hint="eastAsia" w:ascii="宋体" w:hAnsi="宋体" w:cs="宋体"/>
          <w:b/>
          <w:bCs/>
        </w:rPr>
        <w:t>九、采购人、采购代理机构信息</w:t>
      </w:r>
    </w:p>
    <w:p>
      <w:pPr>
        <w:snapToGrid w:val="0"/>
        <w:spacing w:line="400" w:lineRule="exact"/>
        <w:ind w:firstLine="480" w:firstLineChars="200"/>
        <w:rPr>
          <w:rFonts w:ascii="宋体" w:hAnsi="宋体" w:cs="宋体"/>
        </w:rPr>
      </w:pPr>
      <w:r>
        <w:rPr>
          <w:rFonts w:hint="eastAsia" w:ascii="宋体" w:hAnsi="宋体" w:cs="宋体"/>
        </w:rPr>
        <w:t>采购人名称：清华大学</w:t>
      </w:r>
    </w:p>
    <w:p>
      <w:pPr>
        <w:snapToGrid w:val="0"/>
        <w:spacing w:line="400" w:lineRule="exact"/>
        <w:ind w:firstLine="480" w:firstLineChars="200"/>
        <w:rPr>
          <w:rFonts w:ascii="宋体" w:hAnsi="宋体" w:cs="宋体"/>
        </w:rPr>
      </w:pPr>
      <w:r>
        <w:rPr>
          <w:rFonts w:hint="eastAsia" w:ascii="宋体" w:hAnsi="宋体" w:cs="宋体"/>
        </w:rPr>
        <w:t>采购人地址：北京市海淀区清华大学</w:t>
      </w:r>
    </w:p>
    <w:p>
      <w:pPr>
        <w:snapToGrid w:val="0"/>
        <w:spacing w:line="400" w:lineRule="exact"/>
        <w:ind w:firstLine="480" w:firstLineChars="200"/>
        <w:rPr>
          <w:rFonts w:ascii="宋体" w:hAnsi="宋体" w:cs="宋体"/>
        </w:rPr>
      </w:pPr>
      <w:r>
        <w:rPr>
          <w:rFonts w:hint="eastAsia" w:ascii="宋体" w:hAnsi="宋体" w:cs="宋体"/>
        </w:rPr>
        <w:t>联系人：</w:t>
      </w:r>
      <w:r>
        <w:rPr>
          <w:rFonts w:hint="eastAsia" w:ascii="宋体" w:hAnsi="宋体" w:cs="宋体"/>
          <w:u w:val="single"/>
          <w:lang w:val="en-US" w:eastAsia="zh-CN"/>
        </w:rPr>
        <w:t>裘</w:t>
      </w:r>
      <w:r>
        <w:rPr>
          <w:rFonts w:hint="eastAsia" w:ascii="宋体" w:hAnsi="宋体" w:cs="宋体"/>
          <w:u w:val="single"/>
        </w:rPr>
        <w:t>老师</w:t>
      </w:r>
    </w:p>
    <w:p>
      <w:pPr>
        <w:snapToGrid w:val="0"/>
        <w:spacing w:line="400" w:lineRule="exact"/>
        <w:ind w:firstLine="480" w:firstLineChars="200"/>
        <w:rPr>
          <w:rFonts w:ascii="宋体" w:hAnsi="宋体" w:cs="宋体"/>
        </w:rPr>
      </w:pPr>
      <w:r>
        <w:rPr>
          <w:rFonts w:hint="eastAsia" w:ascii="宋体" w:hAnsi="宋体" w:cs="宋体"/>
        </w:rPr>
        <w:t>联系电话：</w:t>
      </w:r>
      <w:r>
        <w:rPr>
          <w:rFonts w:hint="eastAsia" w:ascii="宋体" w:hAnsi="宋体" w:cs="宋体"/>
          <w:u w:val="single"/>
        </w:rPr>
        <w:t>010-62795225</w:t>
      </w:r>
    </w:p>
    <w:p>
      <w:pPr>
        <w:snapToGrid w:val="0"/>
        <w:spacing w:line="400" w:lineRule="exact"/>
        <w:ind w:firstLine="480" w:firstLineChars="200"/>
        <w:rPr>
          <w:rFonts w:ascii="宋体" w:hAnsi="宋体" w:cs="宋体"/>
          <w:u w:val="single"/>
        </w:rPr>
      </w:pPr>
      <w:r>
        <w:rPr>
          <w:rFonts w:hint="eastAsia" w:ascii="宋体" w:hAnsi="宋体" w:cs="宋体"/>
        </w:rPr>
        <w:t>采购代理机构名称：</w:t>
      </w:r>
      <w:r>
        <w:rPr>
          <w:rFonts w:hint="eastAsia" w:ascii="宋体" w:hAnsi="宋体" w:cs="宋体"/>
          <w:u w:val="single"/>
        </w:rPr>
        <w:t>北京中教仪国际招标代理有限公司</w:t>
      </w:r>
    </w:p>
    <w:p>
      <w:pPr>
        <w:snapToGrid w:val="0"/>
        <w:spacing w:line="400" w:lineRule="exact"/>
        <w:ind w:firstLine="480" w:firstLineChars="200"/>
        <w:rPr>
          <w:rFonts w:ascii="宋体" w:hAnsi="宋体" w:cs="宋体"/>
        </w:rPr>
      </w:pPr>
      <w:r>
        <w:rPr>
          <w:rFonts w:hint="eastAsia" w:ascii="宋体" w:hAnsi="宋体" w:cs="宋体"/>
        </w:rPr>
        <w:t>采购代理机构地址：</w:t>
      </w:r>
      <w:r>
        <w:rPr>
          <w:rFonts w:hint="eastAsia" w:ascii="宋体" w:hAnsi="宋体" w:cs="宋体"/>
          <w:u w:val="single"/>
        </w:rPr>
        <w:t>北京市海淀区文慧园北路10号，中教仪总公司</w:t>
      </w:r>
    </w:p>
    <w:p>
      <w:pPr>
        <w:snapToGrid w:val="0"/>
        <w:spacing w:line="400" w:lineRule="exact"/>
        <w:ind w:firstLine="480" w:firstLineChars="200"/>
        <w:rPr>
          <w:rFonts w:ascii="宋体" w:hAnsi="宋体" w:cs="宋体"/>
          <w:u w:val="single"/>
        </w:rPr>
      </w:pPr>
      <w:r>
        <w:rPr>
          <w:rFonts w:hint="eastAsia" w:ascii="宋体" w:hAnsi="宋体" w:cs="宋体"/>
        </w:rPr>
        <w:t>邮箱：</w:t>
      </w:r>
      <w:r>
        <w:rPr>
          <w:rFonts w:hint="eastAsia" w:ascii="宋体" w:hAnsi="宋体" w:cs="宋体"/>
          <w:u w:val="single"/>
        </w:rPr>
        <w:t>xiejie59893114@126.com</w:t>
      </w:r>
    </w:p>
    <w:p>
      <w:pPr>
        <w:snapToGrid w:val="0"/>
        <w:spacing w:line="400" w:lineRule="exact"/>
        <w:ind w:firstLine="480" w:firstLineChars="200"/>
        <w:rPr>
          <w:rFonts w:ascii="宋体" w:hAnsi="宋体" w:cs="宋体"/>
          <w:u w:val="single"/>
        </w:rPr>
      </w:pPr>
      <w:r>
        <w:rPr>
          <w:rFonts w:hint="eastAsia" w:ascii="宋体" w:hAnsi="宋体" w:cs="宋体"/>
        </w:rPr>
        <w:t>项目经办人：</w:t>
      </w:r>
      <w:r>
        <w:rPr>
          <w:rFonts w:hint="eastAsia" w:ascii="宋体" w:hAnsi="宋体" w:cs="宋体"/>
          <w:u w:val="single"/>
        </w:rPr>
        <w:t>谢杰、孙亚欣、杜健</w:t>
      </w:r>
    </w:p>
    <w:p>
      <w:pPr>
        <w:snapToGrid w:val="0"/>
        <w:spacing w:line="400" w:lineRule="exact"/>
        <w:ind w:firstLine="480" w:firstLineChars="200"/>
        <w:rPr>
          <w:rFonts w:ascii="宋体" w:hAnsi="宋体" w:cs="宋体"/>
        </w:rPr>
      </w:pPr>
      <w:r>
        <w:rPr>
          <w:rFonts w:hint="eastAsia" w:ascii="宋体" w:hAnsi="宋体" w:cs="宋体"/>
        </w:rPr>
        <w:t>联系电话：</w:t>
      </w:r>
      <w:r>
        <w:rPr>
          <w:rFonts w:hint="eastAsia" w:ascii="宋体" w:hAnsi="宋体" w:cs="宋体"/>
          <w:u w:val="single"/>
        </w:rPr>
        <w:t>010-59893114、59893122、59893131</w:t>
      </w:r>
    </w:p>
    <w:p>
      <w:pPr>
        <w:snapToGrid w:val="0"/>
        <w:spacing w:line="400" w:lineRule="exact"/>
        <w:ind w:firstLine="480" w:firstLineChars="200"/>
        <w:rPr>
          <w:rFonts w:ascii="宋体" w:hAnsi="宋体" w:cs="宋体"/>
        </w:rPr>
      </w:pPr>
      <w:r>
        <w:rPr>
          <w:rFonts w:hint="eastAsia" w:ascii="宋体" w:hAnsi="宋体" w:cs="宋体"/>
        </w:rPr>
        <w:t>本项目其余相关信息均在“清华大学设备采购信息发布平台”“中国政府采购网”媒体上发布。</w:t>
      </w:r>
    </w:p>
    <w:p>
      <w:pPr>
        <w:snapToGrid w:val="0"/>
        <w:spacing w:line="400" w:lineRule="exact"/>
        <w:ind w:firstLine="482" w:firstLineChars="200"/>
        <w:rPr>
          <w:rFonts w:ascii="宋体" w:hAnsi="宋体" w:cs="宋体"/>
          <w:b/>
          <w:bCs/>
        </w:rPr>
      </w:pPr>
      <w:r>
        <w:rPr>
          <w:rFonts w:hint="eastAsia" w:ascii="宋体" w:hAnsi="宋体" w:cs="宋体"/>
          <w:b/>
          <w:bCs/>
        </w:rPr>
        <w:t>十、招标公告期限</w:t>
      </w:r>
    </w:p>
    <w:p>
      <w:pPr>
        <w:snapToGrid w:val="0"/>
        <w:spacing w:line="400" w:lineRule="exact"/>
        <w:ind w:firstLine="480" w:firstLineChars="200"/>
        <w:rPr>
          <w:rFonts w:ascii="宋体" w:hAnsi="宋体" w:cs="宋体"/>
        </w:rPr>
      </w:pPr>
      <w:r>
        <w:rPr>
          <w:rFonts w:hint="eastAsia" w:ascii="宋体" w:hAnsi="宋体" w:cs="宋体"/>
        </w:rPr>
        <w:t>本项目招标公告期限为5个工作日。</w:t>
      </w:r>
    </w:p>
    <w:p>
      <w:pPr>
        <w:pStyle w:val="3"/>
        <w:snapToGrid w:val="0"/>
        <w:spacing w:line="480" w:lineRule="exact"/>
        <w:rPr>
          <w:rFonts w:ascii="宋体" w:hAnsi="宋体" w:eastAsia="宋体" w:cs="宋体"/>
        </w:rPr>
      </w:pPr>
      <w:r>
        <w:rPr>
          <w:rFonts w:hint="eastAsia" w:ascii="宋体" w:hAnsi="宋体" w:eastAsia="宋体" w:cs="宋体"/>
          <w:b/>
          <w:bCs/>
        </w:rPr>
        <w:br w:type="page"/>
      </w:r>
      <w:bookmarkStart w:id="16" w:name="_Toc469484214"/>
      <w:bookmarkStart w:id="17" w:name="_Toc20397"/>
      <w:r>
        <w:rPr>
          <w:rFonts w:hint="eastAsia" w:ascii="宋体" w:hAnsi="宋体" w:eastAsia="宋体" w:cs="宋体"/>
        </w:rPr>
        <w:t>第二章 投标人须知</w:t>
      </w:r>
      <w:bookmarkEnd w:id="16"/>
      <w:bookmarkEnd w:id="17"/>
    </w:p>
    <w:p>
      <w:pPr>
        <w:pStyle w:val="4"/>
        <w:spacing w:after="120" w:afterLines="50"/>
        <w:rPr>
          <w:rFonts w:ascii="宋体" w:hAnsi="宋体" w:eastAsia="宋体" w:cs="宋体"/>
          <w:color w:val="auto"/>
        </w:rPr>
      </w:pPr>
      <w:r>
        <w:rPr>
          <w:rFonts w:hint="eastAsia" w:ascii="宋体" w:hAnsi="宋体" w:eastAsia="宋体" w:cs="宋体"/>
          <w:color w:val="auto"/>
        </w:rPr>
        <w:t>投标人须知前附表</w:t>
      </w:r>
    </w:p>
    <w:tbl>
      <w:tblPr>
        <w:tblStyle w:val="26"/>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1"/>
        <w:gridCol w:w="2045"/>
        <w:gridCol w:w="65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blHeader/>
          <w:jc w:val="center"/>
        </w:trPr>
        <w:tc>
          <w:tcPr>
            <w:tcW w:w="851" w:type="dxa"/>
            <w:vAlign w:val="center"/>
          </w:tcPr>
          <w:p>
            <w:pPr>
              <w:snapToGrid w:val="0"/>
              <w:spacing w:line="380" w:lineRule="exact"/>
              <w:ind w:left="120" w:leftChars="50"/>
              <w:rPr>
                <w:rFonts w:ascii="宋体" w:hAnsi="宋体" w:cs="宋体"/>
                <w:b/>
                <w:bCs/>
                <w:caps/>
                <w:sz w:val="21"/>
                <w:szCs w:val="21"/>
              </w:rPr>
            </w:pPr>
            <w:r>
              <w:rPr>
                <w:rFonts w:hint="eastAsia" w:ascii="宋体" w:hAnsi="宋体" w:cs="宋体"/>
                <w:b/>
                <w:bCs/>
                <w:caps/>
                <w:sz w:val="21"/>
                <w:szCs w:val="21"/>
              </w:rPr>
              <w:t>条款号</w:t>
            </w:r>
          </w:p>
        </w:tc>
        <w:tc>
          <w:tcPr>
            <w:tcW w:w="2045" w:type="dxa"/>
            <w:vAlign w:val="center"/>
          </w:tcPr>
          <w:p>
            <w:pPr>
              <w:snapToGrid w:val="0"/>
              <w:spacing w:line="380" w:lineRule="exact"/>
              <w:ind w:left="120" w:leftChars="50"/>
              <w:jc w:val="center"/>
              <w:rPr>
                <w:rFonts w:ascii="宋体" w:hAnsi="宋体" w:cs="宋体"/>
                <w:b/>
                <w:bCs/>
                <w:caps/>
                <w:sz w:val="21"/>
                <w:szCs w:val="21"/>
              </w:rPr>
            </w:pPr>
            <w:r>
              <w:rPr>
                <w:rFonts w:hint="eastAsia" w:ascii="宋体" w:hAnsi="宋体" w:cs="宋体"/>
                <w:b/>
                <w:bCs/>
                <w:caps/>
                <w:sz w:val="21"/>
                <w:szCs w:val="21"/>
              </w:rPr>
              <w:t>内容</w:t>
            </w:r>
          </w:p>
        </w:tc>
        <w:tc>
          <w:tcPr>
            <w:tcW w:w="6597" w:type="dxa"/>
            <w:vAlign w:val="center"/>
          </w:tcPr>
          <w:p>
            <w:pPr>
              <w:snapToGrid w:val="0"/>
              <w:spacing w:line="380" w:lineRule="exact"/>
              <w:ind w:left="120" w:leftChars="50"/>
              <w:jc w:val="center"/>
              <w:rPr>
                <w:rFonts w:ascii="宋体" w:hAnsi="宋体" w:cs="宋体"/>
                <w:b/>
                <w:bCs/>
                <w:caps/>
                <w:sz w:val="21"/>
                <w:szCs w:val="21"/>
              </w:rPr>
            </w:pPr>
            <w:r>
              <w:rPr>
                <w:rFonts w:hint="eastAsia" w:ascii="宋体" w:hAnsi="宋体" w:cs="宋体"/>
                <w:b/>
                <w:bCs/>
                <w:caps/>
                <w:sz w:val="21"/>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851" w:type="dxa"/>
            <w:vAlign w:val="center"/>
          </w:tcPr>
          <w:p>
            <w:pPr>
              <w:pStyle w:val="43"/>
              <w:adjustRightInd w:val="0"/>
              <w:snapToGrid w:val="0"/>
              <w:spacing w:before="0" w:after="0"/>
              <w:ind w:firstLine="0" w:firstLineChars="0"/>
              <w:jc w:val="center"/>
              <w:rPr>
                <w:rFonts w:ascii="宋体" w:hAnsi="宋体" w:eastAsia="宋体" w:cs="宋体"/>
                <w:b/>
                <w:bCs/>
                <w:color w:val="auto"/>
              </w:rPr>
            </w:pPr>
            <w:r>
              <w:rPr>
                <w:rFonts w:hint="eastAsia" w:ascii="宋体" w:hAnsi="宋体" w:eastAsia="宋体" w:cs="宋体"/>
                <w:b/>
                <w:bCs/>
                <w:color w:val="auto"/>
              </w:rPr>
              <w:t>2.1</w:t>
            </w:r>
          </w:p>
        </w:tc>
        <w:tc>
          <w:tcPr>
            <w:tcW w:w="2045" w:type="dxa"/>
            <w:vAlign w:val="center"/>
          </w:tcPr>
          <w:p>
            <w:pPr>
              <w:snapToGrid w:val="0"/>
              <w:spacing w:line="380" w:lineRule="exact"/>
              <w:ind w:left="120" w:leftChars="50"/>
              <w:rPr>
                <w:rFonts w:ascii="宋体" w:hAnsi="宋体" w:cs="宋体"/>
                <w:sz w:val="21"/>
                <w:szCs w:val="21"/>
              </w:rPr>
            </w:pPr>
            <w:r>
              <w:rPr>
                <w:rFonts w:hint="eastAsia" w:ascii="宋体" w:hAnsi="宋体" w:cs="宋体"/>
                <w:sz w:val="21"/>
                <w:szCs w:val="21"/>
              </w:rPr>
              <w:t>采购人</w:t>
            </w:r>
          </w:p>
        </w:tc>
        <w:tc>
          <w:tcPr>
            <w:tcW w:w="6597" w:type="dxa"/>
            <w:vAlign w:val="center"/>
          </w:tcPr>
          <w:p>
            <w:pPr>
              <w:autoSpaceDE w:val="0"/>
              <w:autoSpaceDN w:val="0"/>
              <w:snapToGrid w:val="0"/>
              <w:spacing w:line="380" w:lineRule="exact"/>
              <w:ind w:left="120" w:leftChars="50" w:right="142" w:rightChars="59"/>
              <w:rPr>
                <w:rFonts w:ascii="宋体" w:hAnsi="宋体" w:cs="宋体"/>
                <w:sz w:val="21"/>
                <w:szCs w:val="21"/>
              </w:rPr>
            </w:pPr>
            <w:r>
              <w:rPr>
                <w:rFonts w:hint="eastAsia" w:ascii="宋体" w:hAnsi="宋体" w:cs="宋体"/>
                <w:sz w:val="21"/>
                <w:szCs w:val="21"/>
              </w:rPr>
              <w:t>清华大学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2" w:hRule="atLeast"/>
          <w:jc w:val="center"/>
        </w:trPr>
        <w:tc>
          <w:tcPr>
            <w:tcW w:w="851" w:type="dxa"/>
            <w:vAlign w:val="center"/>
          </w:tcPr>
          <w:p>
            <w:pPr>
              <w:pStyle w:val="43"/>
              <w:adjustRightInd w:val="0"/>
              <w:snapToGrid w:val="0"/>
              <w:spacing w:before="0" w:after="0"/>
              <w:ind w:firstLine="0" w:firstLineChars="0"/>
              <w:jc w:val="center"/>
              <w:rPr>
                <w:rFonts w:ascii="宋体" w:hAnsi="宋体" w:eastAsia="宋体" w:cs="宋体"/>
                <w:b/>
                <w:bCs/>
                <w:color w:val="auto"/>
              </w:rPr>
            </w:pPr>
            <w:r>
              <w:rPr>
                <w:rFonts w:hint="eastAsia" w:ascii="宋体" w:hAnsi="宋体" w:eastAsia="宋体" w:cs="宋体"/>
                <w:b/>
                <w:bCs/>
                <w:color w:val="auto"/>
              </w:rPr>
              <w:t>2.2</w:t>
            </w:r>
          </w:p>
        </w:tc>
        <w:tc>
          <w:tcPr>
            <w:tcW w:w="2045" w:type="dxa"/>
            <w:vAlign w:val="center"/>
          </w:tcPr>
          <w:p>
            <w:pPr>
              <w:snapToGrid w:val="0"/>
              <w:spacing w:line="380" w:lineRule="exact"/>
              <w:ind w:left="120" w:leftChars="50"/>
              <w:rPr>
                <w:rFonts w:ascii="宋体" w:hAnsi="宋体" w:cs="宋体"/>
                <w:sz w:val="21"/>
                <w:szCs w:val="21"/>
              </w:rPr>
            </w:pPr>
            <w:r>
              <w:rPr>
                <w:rFonts w:hint="eastAsia" w:ascii="宋体" w:hAnsi="宋体" w:cs="宋体"/>
                <w:sz w:val="21"/>
                <w:szCs w:val="21"/>
              </w:rPr>
              <w:t>采购代理机构</w:t>
            </w:r>
          </w:p>
        </w:tc>
        <w:tc>
          <w:tcPr>
            <w:tcW w:w="6597" w:type="dxa"/>
            <w:vAlign w:val="center"/>
          </w:tcPr>
          <w:p>
            <w:pPr>
              <w:autoSpaceDE w:val="0"/>
              <w:autoSpaceDN w:val="0"/>
              <w:snapToGrid w:val="0"/>
              <w:spacing w:line="380" w:lineRule="exact"/>
              <w:ind w:left="120" w:leftChars="50" w:right="142" w:rightChars="59"/>
              <w:rPr>
                <w:rFonts w:ascii="宋体" w:hAnsi="宋体" w:cs="宋体"/>
                <w:sz w:val="21"/>
                <w:szCs w:val="21"/>
              </w:rPr>
            </w:pPr>
            <w:r>
              <w:rPr>
                <w:rFonts w:hint="eastAsia" w:ascii="宋体" w:hAnsi="宋体" w:cs="宋体"/>
                <w:sz w:val="21"/>
                <w:szCs w:val="21"/>
              </w:rPr>
              <w:t>北京中教仪国际招标代理有限公司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5" w:hRule="atLeast"/>
          <w:jc w:val="center"/>
        </w:trPr>
        <w:tc>
          <w:tcPr>
            <w:tcW w:w="851" w:type="dxa"/>
            <w:vAlign w:val="center"/>
          </w:tcPr>
          <w:p>
            <w:pPr>
              <w:pStyle w:val="43"/>
              <w:adjustRightInd w:val="0"/>
              <w:snapToGrid w:val="0"/>
              <w:spacing w:before="0" w:after="0"/>
              <w:ind w:firstLine="0" w:firstLineChars="0"/>
              <w:jc w:val="center"/>
              <w:rPr>
                <w:rFonts w:ascii="宋体" w:hAnsi="宋体" w:eastAsia="宋体" w:cs="宋体"/>
                <w:b/>
                <w:bCs/>
                <w:color w:val="auto"/>
              </w:rPr>
            </w:pPr>
            <w:r>
              <w:rPr>
                <w:rFonts w:hint="eastAsia" w:ascii="宋体" w:hAnsi="宋体" w:eastAsia="宋体" w:cs="宋体"/>
                <w:b/>
                <w:bCs/>
                <w:color w:val="auto"/>
              </w:rPr>
              <w:t>3.2</w:t>
            </w:r>
          </w:p>
        </w:tc>
        <w:tc>
          <w:tcPr>
            <w:tcW w:w="2045" w:type="dxa"/>
            <w:vAlign w:val="center"/>
          </w:tcPr>
          <w:p>
            <w:pPr>
              <w:snapToGrid w:val="0"/>
              <w:spacing w:line="380" w:lineRule="exact"/>
              <w:ind w:left="120" w:leftChars="50"/>
              <w:rPr>
                <w:rFonts w:ascii="宋体" w:hAnsi="宋体" w:cs="宋体"/>
                <w:sz w:val="21"/>
                <w:szCs w:val="21"/>
              </w:rPr>
            </w:pPr>
            <w:r>
              <w:rPr>
                <w:rFonts w:hint="eastAsia" w:ascii="宋体" w:hAnsi="宋体" w:cs="宋体"/>
                <w:sz w:val="21"/>
                <w:szCs w:val="21"/>
              </w:rPr>
              <w:t>采购预算</w:t>
            </w:r>
          </w:p>
        </w:tc>
        <w:tc>
          <w:tcPr>
            <w:tcW w:w="6597" w:type="dxa"/>
            <w:vAlign w:val="center"/>
          </w:tcPr>
          <w:p>
            <w:pPr>
              <w:autoSpaceDE w:val="0"/>
              <w:autoSpaceDN w:val="0"/>
              <w:snapToGrid w:val="0"/>
              <w:spacing w:line="380" w:lineRule="exact"/>
              <w:ind w:firstLine="210" w:firstLineChars="100"/>
              <w:rPr>
                <w:rFonts w:ascii="宋体" w:hAnsi="宋体" w:cs="宋体"/>
                <w:sz w:val="21"/>
                <w:szCs w:val="21"/>
              </w:rPr>
            </w:pPr>
            <w:r>
              <w:rPr>
                <w:rFonts w:hint="eastAsia" w:ascii="宋体" w:hAnsi="宋体" w:cs="宋体"/>
                <w:sz w:val="21"/>
                <w:szCs w:val="21"/>
                <w:lang w:eastAsia="zh-CN"/>
              </w:rPr>
              <w:t>483</w:t>
            </w:r>
            <w:r>
              <w:rPr>
                <w:rFonts w:hint="eastAsia" w:ascii="宋体" w:hAnsi="宋体" w:cs="宋体"/>
                <w:sz w:val="21"/>
                <w:szCs w:val="21"/>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5" w:hRule="atLeast"/>
          <w:jc w:val="center"/>
        </w:trPr>
        <w:tc>
          <w:tcPr>
            <w:tcW w:w="851" w:type="dxa"/>
            <w:vAlign w:val="center"/>
          </w:tcPr>
          <w:p>
            <w:pPr>
              <w:pStyle w:val="43"/>
              <w:adjustRightInd w:val="0"/>
              <w:snapToGrid w:val="0"/>
              <w:spacing w:before="0" w:after="0"/>
              <w:ind w:firstLine="0" w:firstLineChars="0"/>
              <w:jc w:val="center"/>
              <w:rPr>
                <w:rFonts w:ascii="宋体" w:hAnsi="宋体" w:eastAsia="宋体" w:cs="宋体"/>
                <w:b/>
                <w:bCs/>
                <w:color w:val="auto"/>
                <w:lang w:val="en-US"/>
              </w:rPr>
            </w:pPr>
            <w:r>
              <w:rPr>
                <w:rFonts w:hint="eastAsia" w:ascii="宋体" w:hAnsi="宋体" w:eastAsia="宋体" w:cs="宋体"/>
                <w:b/>
                <w:bCs/>
                <w:color w:val="auto"/>
                <w:lang w:val="en-US"/>
              </w:rPr>
              <w:t>4.1</w:t>
            </w:r>
          </w:p>
        </w:tc>
        <w:tc>
          <w:tcPr>
            <w:tcW w:w="2045" w:type="dxa"/>
            <w:vAlign w:val="center"/>
          </w:tcPr>
          <w:p>
            <w:pPr>
              <w:snapToGrid w:val="0"/>
              <w:spacing w:line="380" w:lineRule="exact"/>
              <w:ind w:left="120" w:leftChars="50"/>
              <w:rPr>
                <w:rFonts w:ascii="宋体" w:hAnsi="宋体" w:cs="宋体"/>
                <w:sz w:val="21"/>
                <w:szCs w:val="21"/>
              </w:rPr>
            </w:pPr>
            <w:r>
              <w:rPr>
                <w:rFonts w:hint="eastAsia" w:ascii="宋体" w:hAnsi="宋体" w:cs="宋体"/>
                <w:sz w:val="21"/>
                <w:szCs w:val="21"/>
              </w:rPr>
              <w:t>投标人资格要求和资格证明文件</w:t>
            </w:r>
          </w:p>
        </w:tc>
        <w:tc>
          <w:tcPr>
            <w:tcW w:w="6597" w:type="dxa"/>
            <w:vAlign w:val="center"/>
          </w:tcPr>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投标人应遵守《中华人民共和国政府采购法》《中华人民共和国政府采购法实施条例》等法律法规，并符合本招标文件规定的条件。</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（1）具有独立承担民事责任的能力，须提供相关证明材料，其中：</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供应商是企业（包括合伙企业）的，应提供其在工商部门注册的有效“企业法人营业执照”或“营业执照”的复印件；</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供应商是事业单位的，应提供其有效的“事业单位法人证书”复印件；</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供应商是非企业专业服务机构的，应提供其有效的“执业许可证”复印件；</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供应商是个体工商户的，应提供其有效的“个体工商户营业执照”复印件；</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供应商是自然人的，应提供其有效的自然人身份证明；</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（2）具有良好的商业信誉和健全的财务会计制度，须提供相关证明材料，其中：</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供应商是法人或其他组织的，应提供其基本开户银行出具的针对本项目资信证明</w:t>
            </w:r>
            <w:r>
              <w:rPr>
                <w:rFonts w:hint="eastAsia" w:ascii="宋体" w:hAnsi="宋体" w:cs="宋体"/>
                <w:b/>
                <w:bCs/>
                <w:sz w:val="21"/>
                <w:szCs w:val="21"/>
              </w:rPr>
              <w:t>原件（原件放在正本即可）</w:t>
            </w:r>
            <w:r>
              <w:rPr>
                <w:rFonts w:hint="eastAsia" w:ascii="宋体" w:hAnsi="宋体" w:cs="宋体"/>
                <w:sz w:val="21"/>
                <w:szCs w:val="21"/>
              </w:rPr>
              <w:t>，或经审计的2020年度或2021年度审计报告；</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供应商是自然人的，应提供中国人民银行出具的针对本项目资信证明原件。</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（3）具有履行合同所必需的设备和专业技术能力，须附相关证明材料或声明。</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（4）具有依法缴纳税收和社会保障资金的良好记录，须提供相关证明材料，其中：</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供应商是法人的，缴纳税收的证明材料，应提供开标前六个月内任意一个月的缴税凭据复印件；</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供应商是法人的，缴纳社会保障资金的证明材料，应提供开标前六个月内任意一个月的缴纳社会保险的凭据（专用收据或社会保险缴纳清单）复印件；</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供应商是其他组织和自然人的，需要提供开标前六个月内任意一个月的缴纳税收和社会保险的凭据。</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注：依法免税或不需要缴纳社会保障资金的供应商，须提供相应文件证明其依法免税或不需要缴纳社会保障资金。</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（5）参加此项采购活动前三年内，在经营活动中没有重大违法记录；其中：</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重大违法记录是指供应商因违法经营受到刑事处罚或者责令停产停业、吊销许可证或者执照、较大数额罚款等行政处罚；</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供应商须提供参与本采购活动前三年内在经营活动中没有重大违法记录的书面声明。</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供应商在参加政府采购活动前三年内因违法经营被禁止在一定期限内参加政府采购活动，但期限届满的，可以参加政府采购活动。</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6）本项目投标截止期前被“信用中国”网站列入失信被执行人和重大税收违法案件当事人名单的、被“中国政府采购网”网站列入政府采购严重违法失信行为记录名单（处罚期限尚未届满的），不得参与本项目的政府采购活动。</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（7）法律、行政法规规定的其他条件。</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（8）本项目为非专门面向中小企业采购</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（9）投标人按照招标公告的要求购买招标文件并登记备案。</w:t>
            </w:r>
          </w:p>
          <w:p>
            <w:pPr>
              <w:autoSpaceDE w:val="0"/>
              <w:autoSpaceDN w:val="0"/>
              <w:snapToGrid w:val="0"/>
              <w:spacing w:line="380" w:lineRule="exact"/>
              <w:ind w:left="120" w:leftChars="50"/>
              <w:rPr>
                <w:rFonts w:ascii="宋体" w:hAnsi="宋体" w:cs="宋体"/>
                <w:sz w:val="21"/>
                <w:szCs w:val="21"/>
              </w:rPr>
            </w:pPr>
            <w:r>
              <w:rPr>
                <w:rFonts w:hint="eastAsia" w:ascii="宋体" w:hAnsi="宋体" w:cs="宋体"/>
                <w:sz w:val="21"/>
                <w:szCs w:val="21"/>
              </w:rPr>
              <w:t>注：若投标人为监狱企业，应当提供由省级以上监狱管理局、戒毒管理局（含新疆生产建设兵团）出具的属于监狱企业的证明文件。同时，对于上述所要求资格证明文件无法提供的，可单独做出说明并加盖公章。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4" w:hRule="atLeast"/>
          <w:jc w:val="center"/>
        </w:trPr>
        <w:tc>
          <w:tcPr>
            <w:tcW w:w="851" w:type="dxa"/>
            <w:vAlign w:val="center"/>
          </w:tcPr>
          <w:p>
            <w:pPr>
              <w:pStyle w:val="43"/>
              <w:adjustRightInd w:val="0"/>
              <w:snapToGrid w:val="0"/>
              <w:spacing w:before="0" w:after="0"/>
              <w:ind w:firstLine="0" w:firstLineChars="0"/>
              <w:jc w:val="center"/>
              <w:rPr>
                <w:rFonts w:ascii="宋体" w:hAnsi="宋体" w:eastAsia="宋体" w:cs="宋体"/>
                <w:b/>
                <w:bCs/>
                <w:color w:val="auto"/>
              </w:rPr>
            </w:pPr>
            <w:r>
              <w:rPr>
                <w:rFonts w:hint="eastAsia" w:ascii="宋体" w:hAnsi="宋体" w:eastAsia="宋体" w:cs="宋体"/>
                <w:b/>
                <w:bCs/>
                <w:color w:val="auto"/>
              </w:rPr>
              <w:t>4.3</w:t>
            </w:r>
          </w:p>
        </w:tc>
        <w:tc>
          <w:tcPr>
            <w:tcW w:w="2045" w:type="dxa"/>
            <w:vAlign w:val="center"/>
          </w:tcPr>
          <w:p>
            <w:pPr>
              <w:snapToGrid w:val="0"/>
              <w:spacing w:line="380" w:lineRule="exact"/>
              <w:ind w:left="120" w:leftChars="50"/>
              <w:rPr>
                <w:rFonts w:ascii="宋体" w:hAnsi="宋体" w:cs="宋体"/>
                <w:sz w:val="21"/>
                <w:szCs w:val="21"/>
              </w:rPr>
            </w:pPr>
            <w:r>
              <w:rPr>
                <w:rFonts w:hint="eastAsia" w:ascii="宋体" w:hAnsi="宋体" w:cs="宋体"/>
                <w:sz w:val="21"/>
                <w:szCs w:val="21"/>
              </w:rPr>
              <w:t>是否允许联合体投标及资格条件</w:t>
            </w:r>
          </w:p>
        </w:tc>
        <w:tc>
          <w:tcPr>
            <w:tcW w:w="6597" w:type="dxa"/>
            <w:vAlign w:val="center"/>
          </w:tcPr>
          <w:p>
            <w:pPr>
              <w:snapToGrid w:val="0"/>
              <w:spacing w:line="380" w:lineRule="exact"/>
              <w:ind w:left="120" w:leftChars="50"/>
              <w:rPr>
                <w:rFonts w:ascii="宋体" w:hAnsi="宋体" w:cs="宋体"/>
                <w:sz w:val="21"/>
                <w:szCs w:val="21"/>
                <w:u w:val="single"/>
              </w:rPr>
            </w:pPr>
            <w:r>
              <w:rPr>
                <w:rFonts w:hint="eastAsia" w:ascii="宋体" w:hAnsi="宋体" w:cs="宋体"/>
                <w:sz w:val="21"/>
                <w:szCs w:val="21"/>
                <w:u w:val="singl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6" w:hRule="atLeast"/>
          <w:jc w:val="center"/>
        </w:trPr>
        <w:tc>
          <w:tcPr>
            <w:tcW w:w="851" w:type="dxa"/>
            <w:vAlign w:val="center"/>
          </w:tcPr>
          <w:p>
            <w:pPr>
              <w:pStyle w:val="43"/>
              <w:adjustRightInd w:val="0"/>
              <w:snapToGrid w:val="0"/>
              <w:spacing w:before="0" w:after="0"/>
              <w:ind w:firstLine="0" w:firstLineChars="0"/>
              <w:jc w:val="center"/>
              <w:rPr>
                <w:rFonts w:ascii="宋体" w:hAnsi="宋体" w:eastAsia="宋体" w:cs="宋体"/>
                <w:b/>
                <w:bCs/>
                <w:color w:val="auto"/>
              </w:rPr>
            </w:pPr>
            <w:r>
              <w:rPr>
                <w:rFonts w:hint="eastAsia" w:ascii="宋体" w:hAnsi="宋体" w:eastAsia="宋体" w:cs="宋体"/>
                <w:b/>
                <w:bCs/>
                <w:color w:val="auto"/>
              </w:rPr>
              <w:t>4.4</w:t>
            </w:r>
          </w:p>
        </w:tc>
        <w:tc>
          <w:tcPr>
            <w:tcW w:w="2045" w:type="dxa"/>
            <w:vAlign w:val="center"/>
          </w:tcPr>
          <w:p>
            <w:pPr>
              <w:snapToGrid w:val="0"/>
              <w:spacing w:line="380" w:lineRule="exact"/>
              <w:ind w:left="120" w:leftChars="50"/>
              <w:rPr>
                <w:rFonts w:ascii="宋体" w:hAnsi="宋体" w:cs="宋体"/>
                <w:sz w:val="21"/>
                <w:szCs w:val="21"/>
              </w:rPr>
            </w:pPr>
            <w:r>
              <w:rPr>
                <w:rFonts w:hint="eastAsia" w:ascii="宋体" w:hAnsi="宋体" w:cs="宋体"/>
                <w:sz w:val="21"/>
                <w:szCs w:val="21"/>
              </w:rPr>
              <w:t>是否允许投标人分包</w:t>
            </w:r>
          </w:p>
        </w:tc>
        <w:tc>
          <w:tcPr>
            <w:tcW w:w="6597" w:type="dxa"/>
            <w:vAlign w:val="center"/>
          </w:tcPr>
          <w:p>
            <w:pPr>
              <w:snapToGrid w:val="0"/>
              <w:spacing w:line="380" w:lineRule="exact"/>
              <w:ind w:left="120" w:leftChars="50"/>
              <w:rPr>
                <w:rFonts w:ascii="宋体" w:hAnsi="宋体" w:cs="宋体"/>
                <w:sz w:val="21"/>
                <w:szCs w:val="21"/>
                <w:u w:val="single"/>
              </w:rPr>
            </w:pPr>
            <w:r>
              <w:rPr>
                <w:rFonts w:hint="eastAsia" w:ascii="宋体" w:hAnsi="宋体" w:cs="宋体"/>
                <w:sz w:val="21"/>
                <w:szCs w:val="21"/>
                <w:u w:val="singl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0" w:hRule="atLeast"/>
          <w:jc w:val="center"/>
        </w:trPr>
        <w:tc>
          <w:tcPr>
            <w:tcW w:w="851" w:type="dxa"/>
            <w:vAlign w:val="center"/>
          </w:tcPr>
          <w:p>
            <w:pPr>
              <w:pStyle w:val="43"/>
              <w:adjustRightInd w:val="0"/>
              <w:snapToGrid w:val="0"/>
              <w:spacing w:before="0" w:after="0"/>
              <w:ind w:firstLine="0" w:firstLineChars="0"/>
              <w:jc w:val="center"/>
              <w:rPr>
                <w:rFonts w:ascii="宋体" w:hAnsi="宋体" w:eastAsia="宋体" w:cs="宋体"/>
                <w:b/>
                <w:bCs/>
                <w:color w:val="auto"/>
              </w:rPr>
            </w:pPr>
            <w:r>
              <w:rPr>
                <w:rFonts w:hint="eastAsia" w:ascii="宋体" w:hAnsi="宋体" w:eastAsia="宋体" w:cs="宋体"/>
                <w:b/>
                <w:bCs/>
                <w:color w:val="auto"/>
              </w:rPr>
              <w:t>4.5</w:t>
            </w:r>
          </w:p>
        </w:tc>
        <w:tc>
          <w:tcPr>
            <w:tcW w:w="2045" w:type="dxa"/>
            <w:vAlign w:val="center"/>
          </w:tcPr>
          <w:p>
            <w:pPr>
              <w:snapToGrid w:val="0"/>
              <w:spacing w:line="380" w:lineRule="exact"/>
              <w:ind w:left="120" w:leftChars="50"/>
              <w:rPr>
                <w:rFonts w:ascii="宋体" w:hAnsi="宋体" w:cs="宋体"/>
                <w:sz w:val="21"/>
                <w:szCs w:val="21"/>
              </w:rPr>
            </w:pPr>
            <w:r>
              <w:rPr>
                <w:rFonts w:hint="eastAsia" w:ascii="宋体" w:hAnsi="宋体" w:cs="宋体"/>
                <w:sz w:val="21"/>
                <w:szCs w:val="21"/>
              </w:rPr>
              <w:t>是否需要现场踏勘</w:t>
            </w:r>
          </w:p>
        </w:tc>
        <w:tc>
          <w:tcPr>
            <w:tcW w:w="6597" w:type="dxa"/>
            <w:vAlign w:val="center"/>
          </w:tcPr>
          <w:p>
            <w:pPr>
              <w:snapToGrid w:val="0"/>
              <w:spacing w:line="380" w:lineRule="exact"/>
              <w:ind w:left="120" w:leftChars="50"/>
              <w:rPr>
                <w:rFonts w:ascii="宋体" w:hAnsi="宋体" w:cs="宋体"/>
                <w:sz w:val="21"/>
                <w:szCs w:val="21"/>
                <w:u w:val="single"/>
              </w:rPr>
            </w:pPr>
            <w:r>
              <w:rPr>
                <w:rFonts w:hint="eastAsia" w:ascii="宋体" w:hAnsi="宋体" w:cs="宋体"/>
                <w:sz w:val="21"/>
                <w:szCs w:val="21"/>
                <w:u w:val="singl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0" w:hRule="atLeast"/>
          <w:jc w:val="center"/>
        </w:trPr>
        <w:tc>
          <w:tcPr>
            <w:tcW w:w="851" w:type="dxa"/>
            <w:vAlign w:val="center"/>
          </w:tcPr>
          <w:p>
            <w:pPr>
              <w:pStyle w:val="43"/>
              <w:adjustRightInd w:val="0"/>
              <w:snapToGrid w:val="0"/>
              <w:spacing w:before="0" w:after="0"/>
              <w:ind w:firstLine="0" w:firstLineChars="0"/>
              <w:jc w:val="center"/>
              <w:rPr>
                <w:rFonts w:ascii="宋体" w:hAnsi="宋体" w:eastAsia="宋体" w:cs="宋体"/>
                <w:b/>
                <w:bCs/>
                <w:color w:val="auto"/>
              </w:rPr>
            </w:pPr>
            <w:r>
              <w:rPr>
                <w:rFonts w:hint="eastAsia" w:ascii="宋体" w:hAnsi="宋体" w:eastAsia="宋体" w:cs="宋体"/>
                <w:b/>
                <w:bCs/>
                <w:color w:val="auto"/>
              </w:rPr>
              <w:t>5.1</w:t>
            </w:r>
          </w:p>
        </w:tc>
        <w:tc>
          <w:tcPr>
            <w:tcW w:w="2045" w:type="dxa"/>
            <w:vAlign w:val="center"/>
          </w:tcPr>
          <w:p>
            <w:pPr>
              <w:snapToGrid w:val="0"/>
              <w:spacing w:line="380" w:lineRule="exact"/>
              <w:ind w:left="120" w:leftChars="50"/>
              <w:rPr>
                <w:rFonts w:ascii="宋体" w:hAnsi="宋体" w:cs="宋体"/>
                <w:sz w:val="21"/>
                <w:szCs w:val="21"/>
              </w:rPr>
            </w:pPr>
            <w:r>
              <w:rPr>
                <w:rFonts w:hint="eastAsia" w:ascii="宋体" w:hAnsi="宋体" w:cs="宋体"/>
                <w:sz w:val="21"/>
                <w:szCs w:val="21"/>
              </w:rPr>
              <w:t>小微企业选取标准</w:t>
            </w:r>
          </w:p>
        </w:tc>
        <w:tc>
          <w:tcPr>
            <w:tcW w:w="6597" w:type="dxa"/>
            <w:vAlign w:val="center"/>
          </w:tcPr>
          <w:p>
            <w:pPr>
              <w:autoSpaceDE w:val="0"/>
              <w:autoSpaceDN w:val="0"/>
              <w:snapToGrid w:val="0"/>
              <w:spacing w:line="380" w:lineRule="exact"/>
              <w:ind w:left="120" w:leftChars="50" w:right="142" w:rightChars="59" w:firstLine="447" w:firstLineChars="213"/>
              <w:rPr>
                <w:rFonts w:ascii="宋体" w:hAnsi="宋体" w:cs="宋体"/>
                <w:sz w:val="21"/>
                <w:szCs w:val="21"/>
              </w:rPr>
            </w:pPr>
            <w:r>
              <w:rPr>
                <w:rFonts w:hint="eastAsia" w:ascii="宋体" w:hAnsi="宋体" w:cs="宋体"/>
                <w:sz w:val="21"/>
                <w:szCs w:val="21"/>
              </w:rPr>
              <w:t>小微企业选取标准根据工信部等部委发布的《关于印发中小企业划型标准规定的通知》（工信部联企业〔2011〕300号）和《三部门联合发布关于促进残疾人就业政府采购政策的通知》（财库〔2017〕141号）以及《关于政府采购支持监狱企业发展有关问题的通知》（财库〔2014〕68号）进行划分，符合相关条件的小微型企业，应根据招标文件附件5-10的格式要求提供《中小企业声明函》，或附件5-11的格式要求提供《残疾人福利性单位声明函》，或提供属于监狱企业的证明文件没有按要求提供上述材料的不被认定为小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0" w:hRule="atLeast"/>
          <w:jc w:val="center"/>
        </w:trPr>
        <w:tc>
          <w:tcPr>
            <w:tcW w:w="851" w:type="dxa"/>
            <w:vAlign w:val="center"/>
          </w:tcPr>
          <w:p>
            <w:pPr>
              <w:pStyle w:val="43"/>
              <w:adjustRightInd w:val="0"/>
              <w:snapToGrid w:val="0"/>
              <w:spacing w:before="0" w:after="0"/>
              <w:ind w:firstLine="0" w:firstLineChars="0"/>
              <w:jc w:val="center"/>
              <w:rPr>
                <w:rFonts w:ascii="宋体" w:hAnsi="宋体" w:eastAsia="宋体" w:cs="宋体"/>
                <w:b/>
                <w:bCs/>
                <w:color w:val="auto"/>
              </w:rPr>
            </w:pPr>
            <w:r>
              <w:rPr>
                <w:rFonts w:hint="eastAsia" w:ascii="宋体" w:hAnsi="宋体" w:eastAsia="宋体" w:cs="宋体"/>
                <w:b/>
                <w:bCs/>
                <w:color w:val="auto"/>
              </w:rPr>
              <w:t>5.2</w:t>
            </w:r>
          </w:p>
        </w:tc>
        <w:tc>
          <w:tcPr>
            <w:tcW w:w="2045" w:type="dxa"/>
            <w:vAlign w:val="center"/>
          </w:tcPr>
          <w:p>
            <w:pPr>
              <w:snapToGrid w:val="0"/>
              <w:spacing w:line="380" w:lineRule="exact"/>
              <w:ind w:left="120" w:leftChars="50"/>
              <w:rPr>
                <w:rFonts w:ascii="宋体" w:hAnsi="宋体" w:cs="宋体"/>
                <w:sz w:val="21"/>
                <w:szCs w:val="21"/>
              </w:rPr>
            </w:pPr>
            <w:r>
              <w:rPr>
                <w:rFonts w:hint="eastAsia" w:ascii="宋体" w:hAnsi="宋体" w:cs="宋体"/>
                <w:sz w:val="21"/>
                <w:szCs w:val="21"/>
              </w:rPr>
              <w:t>节能环保要求</w:t>
            </w:r>
          </w:p>
        </w:tc>
        <w:tc>
          <w:tcPr>
            <w:tcW w:w="6597" w:type="dxa"/>
            <w:vAlign w:val="center"/>
          </w:tcPr>
          <w:p>
            <w:pPr>
              <w:autoSpaceDE w:val="0"/>
              <w:autoSpaceDN w:val="0"/>
              <w:snapToGrid w:val="0"/>
              <w:spacing w:line="380" w:lineRule="exact"/>
              <w:ind w:left="120" w:leftChars="50" w:right="142" w:rightChars="59" w:firstLine="447" w:firstLineChars="213"/>
              <w:rPr>
                <w:rFonts w:ascii="宋体" w:hAnsi="宋体" w:cs="宋体"/>
                <w:sz w:val="21"/>
                <w:szCs w:val="21"/>
              </w:rPr>
            </w:pPr>
            <w:r>
              <w:rPr>
                <w:rFonts w:hint="eastAsia" w:ascii="宋体" w:hAnsi="宋体" w:cs="宋体"/>
                <w:sz w:val="21"/>
                <w:szCs w:val="21"/>
              </w:rPr>
              <w:t>施行优先采购的产品按照优先采购执行。如是节能产品，应列入</w:t>
            </w:r>
            <w:r>
              <w:rPr>
                <w:rFonts w:hint="eastAsia" w:ascii="宋体" w:hAnsi="宋体" w:cs="宋体"/>
                <w:kern w:val="1"/>
                <w:sz w:val="21"/>
              </w:rPr>
              <w:t>《关于印发环境标志产品政府采购品目清单的通知》（财库〔2019〕18号）、《关于印发节能产品政府采购品目清单的通知》（财库〔2019〕19号）</w:t>
            </w:r>
            <w:r>
              <w:rPr>
                <w:rFonts w:hint="eastAsia" w:ascii="宋体" w:hAnsi="宋体" w:cs="宋体"/>
                <w:sz w:val="21"/>
                <w:szCs w:val="21"/>
              </w:rPr>
              <w:t>中公布的清单，</w:t>
            </w:r>
            <w:r>
              <w:rPr>
                <w:rFonts w:hint="eastAsia" w:ascii="宋体" w:hAnsi="宋体" w:cs="宋体"/>
                <w:b/>
                <w:bCs/>
                <w:sz w:val="21"/>
                <w:szCs w:val="21"/>
              </w:rPr>
              <w:t>投标文件需提供该产品的环保或节能相关证明材料，并加盖供应商公章。施行强制采购的产品按照强制采购执行，若所投产品为强制采购产品必须提供相关证明材料，否则将导致其投标被拒绝。</w:t>
            </w:r>
            <w:r>
              <w:rPr>
                <w:rFonts w:hint="eastAsia" w:ascii="宋体" w:hAnsi="宋体" w:cs="宋体"/>
                <w:sz w:val="21"/>
                <w:szCs w:val="21"/>
              </w:rPr>
              <w:t>注：政府强制采购节能产品以节能产品政府采购品目清单中标识"★"的产品为准。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0" w:hRule="atLeast"/>
          <w:jc w:val="center"/>
        </w:trPr>
        <w:tc>
          <w:tcPr>
            <w:tcW w:w="851" w:type="dxa"/>
            <w:vAlign w:val="center"/>
          </w:tcPr>
          <w:p>
            <w:pPr>
              <w:pStyle w:val="43"/>
              <w:adjustRightInd w:val="0"/>
              <w:snapToGrid w:val="0"/>
              <w:spacing w:before="0" w:after="0"/>
              <w:ind w:firstLine="0" w:firstLineChars="0"/>
              <w:jc w:val="center"/>
              <w:rPr>
                <w:rFonts w:ascii="宋体" w:hAnsi="宋体" w:eastAsia="宋体" w:cs="宋体"/>
                <w:b/>
                <w:bCs/>
                <w:color w:val="auto"/>
              </w:rPr>
            </w:pPr>
            <w:r>
              <w:rPr>
                <w:rFonts w:hint="eastAsia" w:ascii="宋体" w:hAnsi="宋体" w:eastAsia="宋体" w:cs="宋体"/>
                <w:b/>
                <w:bCs/>
                <w:color w:val="auto"/>
              </w:rPr>
              <w:t>14.4</w:t>
            </w:r>
          </w:p>
        </w:tc>
        <w:tc>
          <w:tcPr>
            <w:tcW w:w="2045" w:type="dxa"/>
            <w:vAlign w:val="center"/>
          </w:tcPr>
          <w:p>
            <w:pPr>
              <w:snapToGrid w:val="0"/>
              <w:spacing w:line="380" w:lineRule="exact"/>
              <w:ind w:left="120" w:leftChars="50"/>
              <w:rPr>
                <w:rFonts w:ascii="宋体" w:hAnsi="宋体" w:cs="宋体"/>
                <w:sz w:val="21"/>
                <w:szCs w:val="21"/>
              </w:rPr>
            </w:pPr>
            <w:r>
              <w:rPr>
                <w:rFonts w:hint="eastAsia" w:ascii="宋体" w:hAnsi="宋体" w:cs="宋体"/>
                <w:sz w:val="21"/>
                <w:szCs w:val="21"/>
              </w:rPr>
              <w:t>是否接受可选择或调整的投标和报价</w:t>
            </w:r>
          </w:p>
        </w:tc>
        <w:tc>
          <w:tcPr>
            <w:tcW w:w="6597" w:type="dxa"/>
            <w:vAlign w:val="center"/>
          </w:tcPr>
          <w:p>
            <w:pPr>
              <w:snapToGrid w:val="0"/>
              <w:spacing w:line="380" w:lineRule="exact"/>
              <w:ind w:left="120" w:leftChars="50"/>
              <w:rPr>
                <w:rFonts w:ascii="宋体" w:hAnsi="宋体" w:cs="宋体"/>
                <w:sz w:val="21"/>
                <w:szCs w:val="21"/>
                <w:u w:val="single"/>
              </w:rPr>
            </w:pPr>
            <w:r>
              <w:rPr>
                <w:rFonts w:hint="eastAsia" w:ascii="宋体" w:hAnsi="宋体" w:cs="宋体"/>
                <w:sz w:val="21"/>
                <w:szCs w:val="21"/>
                <w:u w:val="singl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0" w:hRule="atLeast"/>
          <w:jc w:val="center"/>
        </w:trPr>
        <w:tc>
          <w:tcPr>
            <w:tcW w:w="851" w:type="dxa"/>
            <w:vAlign w:val="center"/>
          </w:tcPr>
          <w:p>
            <w:pPr>
              <w:pStyle w:val="43"/>
              <w:adjustRightInd w:val="0"/>
              <w:snapToGrid w:val="0"/>
              <w:spacing w:before="0" w:after="0"/>
              <w:ind w:firstLine="0" w:firstLineChars="0"/>
              <w:jc w:val="center"/>
              <w:rPr>
                <w:rFonts w:ascii="宋体" w:hAnsi="宋体" w:eastAsia="宋体" w:cs="宋体"/>
                <w:b/>
                <w:bCs/>
                <w:color w:val="auto"/>
              </w:rPr>
            </w:pPr>
            <w:r>
              <w:rPr>
                <w:rFonts w:hint="eastAsia" w:ascii="宋体" w:hAnsi="宋体" w:eastAsia="宋体" w:cs="宋体"/>
                <w:b/>
                <w:bCs/>
                <w:color w:val="auto"/>
              </w:rPr>
              <w:t>15.1</w:t>
            </w:r>
          </w:p>
        </w:tc>
        <w:tc>
          <w:tcPr>
            <w:tcW w:w="2045" w:type="dxa"/>
            <w:vAlign w:val="center"/>
          </w:tcPr>
          <w:p>
            <w:pPr>
              <w:snapToGrid w:val="0"/>
              <w:spacing w:line="380" w:lineRule="exact"/>
              <w:ind w:left="120" w:leftChars="50"/>
              <w:rPr>
                <w:rFonts w:ascii="宋体" w:hAnsi="宋体" w:cs="宋体"/>
                <w:sz w:val="21"/>
                <w:szCs w:val="21"/>
              </w:rPr>
            </w:pPr>
            <w:r>
              <w:rPr>
                <w:rFonts w:hint="eastAsia" w:ascii="宋体" w:hAnsi="宋体" w:cs="宋体"/>
                <w:sz w:val="21"/>
                <w:szCs w:val="21"/>
              </w:rPr>
              <w:t>投标保证金</w:t>
            </w:r>
          </w:p>
        </w:tc>
        <w:tc>
          <w:tcPr>
            <w:tcW w:w="6597" w:type="dxa"/>
            <w:vAlign w:val="center"/>
          </w:tcPr>
          <w:p>
            <w:pPr>
              <w:snapToGrid w:val="0"/>
              <w:spacing w:line="380" w:lineRule="exact"/>
              <w:rPr>
                <w:rFonts w:ascii="宋体" w:hAnsi="宋体" w:cs="宋体"/>
                <w:sz w:val="21"/>
                <w:szCs w:val="21"/>
              </w:rPr>
            </w:pPr>
            <w:r>
              <w:rPr>
                <w:rFonts w:hint="eastAsia" w:ascii="宋体" w:hAnsi="宋体" w:cs="宋体"/>
                <w:sz w:val="21"/>
                <w:szCs w:val="21"/>
              </w:rPr>
              <w:t>（1）投标人递交投标文件时应同时递交投标保证金。</w:t>
            </w:r>
          </w:p>
          <w:p>
            <w:pPr>
              <w:snapToGrid w:val="0"/>
              <w:spacing w:line="380" w:lineRule="exact"/>
              <w:rPr>
                <w:rFonts w:ascii="宋体" w:hAnsi="宋体" w:cs="宋体"/>
                <w:sz w:val="21"/>
                <w:szCs w:val="21"/>
              </w:rPr>
            </w:pPr>
            <w:r>
              <w:rPr>
                <w:rFonts w:hint="eastAsia" w:ascii="宋体" w:hAnsi="宋体" w:cs="宋体"/>
                <w:sz w:val="21"/>
                <w:szCs w:val="21"/>
              </w:rPr>
              <w:t>（2）投标保证金金额：</w:t>
            </w:r>
          </w:p>
          <w:p>
            <w:pPr>
              <w:snapToGrid w:val="0"/>
              <w:spacing w:line="380" w:lineRule="exact"/>
              <w:rPr>
                <w:rFonts w:ascii="宋体" w:hAnsi="宋体" w:cs="宋体"/>
                <w:sz w:val="21"/>
                <w:szCs w:val="21"/>
              </w:rPr>
            </w:pPr>
            <w:r>
              <w:rPr>
                <w:rFonts w:hint="eastAsia" w:ascii="宋体" w:hAnsi="宋体" w:cs="宋体"/>
                <w:sz w:val="21"/>
                <w:szCs w:val="21"/>
              </w:rPr>
              <w:t>第1包：人民币：柒万伍仟元整（￥75,000.00）</w:t>
            </w:r>
          </w:p>
          <w:p>
            <w:pPr>
              <w:snapToGrid w:val="0"/>
              <w:spacing w:line="380" w:lineRule="exact"/>
              <w:rPr>
                <w:rFonts w:ascii="宋体" w:hAnsi="宋体" w:cs="宋体"/>
                <w:sz w:val="21"/>
                <w:szCs w:val="21"/>
              </w:rPr>
            </w:pPr>
            <w:r>
              <w:rPr>
                <w:rFonts w:hint="eastAsia" w:ascii="宋体" w:hAnsi="宋体" w:cs="宋体"/>
                <w:sz w:val="21"/>
                <w:szCs w:val="21"/>
              </w:rPr>
              <w:t>（3）投标保证金有效期：与投标文件有效期一致。</w:t>
            </w:r>
          </w:p>
          <w:p>
            <w:pPr>
              <w:pStyle w:val="12"/>
              <w:adjustRightInd w:val="0"/>
              <w:snapToGrid w:val="0"/>
              <w:spacing w:line="380" w:lineRule="exact"/>
              <w:rPr>
                <w:rFonts w:ascii="宋体" w:hAnsi="宋体" w:cs="宋体"/>
                <w:sz w:val="21"/>
                <w:szCs w:val="21"/>
              </w:rPr>
            </w:pPr>
            <w:r>
              <w:rPr>
                <w:rFonts w:hint="eastAsia" w:ascii="宋体" w:hAnsi="宋体" w:cs="宋体"/>
                <w:kern w:val="2"/>
                <w:sz w:val="21"/>
                <w:szCs w:val="21"/>
              </w:rPr>
              <w:t>（4）</w:t>
            </w:r>
            <w:r>
              <w:rPr>
                <w:rFonts w:hint="eastAsia" w:ascii="宋体" w:hAnsi="宋体" w:cs="宋体"/>
                <w:sz w:val="21"/>
                <w:szCs w:val="21"/>
              </w:rPr>
              <w:t>投标保证金采用下列形式之一：</w:t>
            </w:r>
          </w:p>
          <w:p>
            <w:pPr>
              <w:autoSpaceDE w:val="0"/>
              <w:autoSpaceDN w:val="0"/>
              <w:snapToGrid w:val="0"/>
              <w:spacing w:line="380" w:lineRule="exact"/>
              <w:ind w:left="120" w:leftChars="50" w:right="142" w:rightChars="59" w:firstLine="447" w:firstLineChars="213"/>
              <w:rPr>
                <w:rFonts w:ascii="宋体" w:hAnsi="宋体" w:cs="宋体"/>
                <w:sz w:val="21"/>
                <w:szCs w:val="21"/>
              </w:rPr>
            </w:pPr>
            <w:r>
              <w:rPr>
                <w:rFonts w:hint="eastAsia" w:ascii="宋体" w:hAnsi="宋体" w:cs="宋体"/>
                <w:sz w:val="21"/>
                <w:szCs w:val="21"/>
              </w:rPr>
              <w:t>1）银行汇款、支票、汇票、本票等非现金形式提交（建议使用银行汇款），并附投标保证金说明函（格式详见</w:t>
            </w:r>
            <w:r>
              <w:rPr>
                <w:rFonts w:hint="eastAsia" w:ascii="宋体" w:hAnsi="宋体" w:cs="宋体"/>
                <w:b/>
                <w:sz w:val="21"/>
                <w:szCs w:val="21"/>
              </w:rPr>
              <w:t>第六章附件9</w:t>
            </w:r>
            <w:r>
              <w:rPr>
                <w:rFonts w:hint="eastAsia" w:ascii="宋体" w:hAnsi="宋体" w:cs="宋体"/>
                <w:sz w:val="21"/>
                <w:szCs w:val="21"/>
              </w:rPr>
              <w:t>）；</w:t>
            </w:r>
          </w:p>
          <w:p>
            <w:pPr>
              <w:autoSpaceDE w:val="0"/>
              <w:autoSpaceDN w:val="0"/>
              <w:snapToGrid w:val="0"/>
              <w:spacing w:line="380" w:lineRule="exact"/>
              <w:ind w:left="120" w:leftChars="50" w:right="142" w:rightChars="59" w:firstLine="447" w:firstLineChars="213"/>
              <w:rPr>
                <w:rFonts w:ascii="宋体" w:hAnsi="宋体" w:cs="宋体"/>
                <w:sz w:val="21"/>
                <w:szCs w:val="21"/>
              </w:rPr>
            </w:pPr>
            <w:r>
              <w:rPr>
                <w:rFonts w:hint="eastAsia" w:ascii="宋体" w:hAnsi="宋体" w:cs="宋体"/>
                <w:sz w:val="21"/>
                <w:szCs w:val="21"/>
              </w:rPr>
              <w:t>2）由专业担保机构出具的“投标担保函”（格式详见</w:t>
            </w:r>
            <w:r>
              <w:rPr>
                <w:rFonts w:hint="eastAsia" w:ascii="宋体" w:hAnsi="宋体" w:cs="宋体"/>
                <w:b/>
                <w:sz w:val="21"/>
                <w:szCs w:val="21"/>
              </w:rPr>
              <w:t>第六章附件10</w:t>
            </w:r>
            <w:r>
              <w:rPr>
                <w:rFonts w:hint="eastAsia" w:ascii="宋体" w:hAnsi="宋体" w:cs="宋体"/>
                <w:sz w:val="21"/>
                <w:szCs w:val="21"/>
              </w:rPr>
              <w:t>）。</w:t>
            </w:r>
          </w:p>
          <w:p>
            <w:pPr>
              <w:tabs>
                <w:tab w:val="left" w:pos="540"/>
              </w:tabs>
              <w:snapToGrid w:val="0"/>
              <w:spacing w:line="400" w:lineRule="exact"/>
              <w:jc w:val="both"/>
              <w:textAlignment w:val="auto"/>
              <w:rPr>
                <w:rFonts w:ascii="宋体" w:hAnsi="宋体" w:cs="宋体"/>
                <w:sz w:val="21"/>
                <w:szCs w:val="21"/>
              </w:rPr>
            </w:pPr>
            <w:r>
              <w:rPr>
                <w:rFonts w:hint="eastAsia" w:ascii="宋体" w:hAnsi="宋体" w:cs="宋体"/>
                <w:sz w:val="21"/>
                <w:szCs w:val="21"/>
              </w:rPr>
              <w:t>（5）开户银行及帐号</w:t>
            </w:r>
          </w:p>
          <w:p>
            <w:pPr>
              <w:snapToGrid w:val="0"/>
              <w:spacing w:line="400" w:lineRule="exact"/>
              <w:ind w:firstLine="567" w:firstLineChars="270"/>
              <w:jc w:val="both"/>
              <w:rPr>
                <w:rFonts w:ascii="宋体" w:hAnsi="宋体" w:cs="宋体"/>
                <w:sz w:val="21"/>
                <w:szCs w:val="21"/>
              </w:rPr>
            </w:pPr>
            <w:r>
              <w:rPr>
                <w:rFonts w:hint="eastAsia" w:ascii="宋体" w:hAnsi="宋体" w:cs="宋体"/>
                <w:sz w:val="21"/>
                <w:szCs w:val="21"/>
              </w:rPr>
              <w:t>收款单位：</w:t>
            </w:r>
            <w:r>
              <w:rPr>
                <w:rFonts w:hint="eastAsia" w:ascii="宋体" w:hAnsi="宋体" w:cs="宋体"/>
                <w:sz w:val="21"/>
                <w:szCs w:val="21"/>
                <w:u w:val="single"/>
              </w:rPr>
              <w:t>北京中教仪国际招标代理有限公司</w:t>
            </w:r>
          </w:p>
          <w:p>
            <w:pPr>
              <w:snapToGrid w:val="0"/>
              <w:spacing w:line="400" w:lineRule="exact"/>
              <w:ind w:firstLine="567" w:firstLineChars="270"/>
              <w:jc w:val="both"/>
              <w:rPr>
                <w:rFonts w:ascii="宋体" w:hAnsi="宋体" w:cs="宋体"/>
                <w:sz w:val="21"/>
                <w:szCs w:val="21"/>
              </w:rPr>
            </w:pPr>
            <w:r>
              <w:rPr>
                <w:rFonts w:hint="eastAsia" w:ascii="宋体" w:hAnsi="宋体" w:cs="宋体"/>
                <w:sz w:val="21"/>
                <w:szCs w:val="21"/>
              </w:rPr>
              <w:t>开户银行：</w:t>
            </w:r>
            <w:r>
              <w:rPr>
                <w:rFonts w:hint="eastAsia" w:ascii="宋体" w:hAnsi="宋体" w:cs="宋体"/>
                <w:sz w:val="21"/>
                <w:szCs w:val="21"/>
                <w:u w:val="single"/>
              </w:rPr>
              <w:t>广发银行北京建国路支行</w:t>
            </w:r>
          </w:p>
          <w:p>
            <w:pPr>
              <w:widowControl/>
              <w:ind w:firstLine="630" w:firstLineChars="300"/>
              <w:rPr>
                <w:rFonts w:ascii="宋体" w:hAnsi="宋体" w:cs="宋体"/>
                <w:sz w:val="21"/>
                <w:szCs w:val="21"/>
              </w:rPr>
            </w:pPr>
            <w:r>
              <w:rPr>
                <w:rFonts w:hint="eastAsia" w:ascii="宋体" w:hAnsi="宋体" w:cs="宋体"/>
                <w:sz w:val="21"/>
                <w:szCs w:val="21"/>
              </w:rPr>
              <w:t>银行账号：</w:t>
            </w:r>
            <w:r>
              <w:rPr>
                <w:rFonts w:hint="eastAsia" w:ascii="宋体" w:hAnsi="宋体" w:cs="宋体"/>
                <w:sz w:val="21"/>
                <w:szCs w:val="21"/>
                <w:u w:val="single"/>
                <w:lang w:eastAsia="zh-CN"/>
              </w:rPr>
              <w:t>6232593799006316965</w:t>
            </w:r>
            <w:r>
              <w:rPr>
                <w:rFonts w:hint="eastAsia" w:ascii="宋体" w:hAnsi="宋体" w:cs="宋体"/>
                <w:sz w:val="21"/>
                <w:szCs w:val="21"/>
              </w:rPr>
              <w:t xml:space="preserve"> </w:t>
            </w:r>
          </w:p>
          <w:p>
            <w:pPr>
              <w:autoSpaceDE w:val="0"/>
              <w:autoSpaceDN w:val="0"/>
              <w:snapToGrid w:val="0"/>
              <w:spacing w:line="380" w:lineRule="exact"/>
              <w:ind w:left="120" w:leftChars="50" w:right="142" w:rightChars="59" w:firstLine="447" w:firstLineChars="213"/>
              <w:rPr>
                <w:rFonts w:ascii="宋体" w:hAnsi="宋体" w:cs="宋体"/>
                <w:sz w:val="21"/>
                <w:szCs w:val="21"/>
                <w:u w:val="single"/>
              </w:rPr>
            </w:pPr>
            <w:r>
              <w:rPr>
                <w:rFonts w:hint="eastAsia" w:ascii="宋体" w:hAnsi="宋体" w:cs="宋体"/>
                <w:sz w:val="21"/>
                <w:szCs w:val="21"/>
              </w:rPr>
              <w:t>请投标人在汇款时，须在汇款单上注明采购项目编号，否则，因款项用途不明导致投标无效等后果由投标人自行承担。投标保证金交纳人必须与投标人名称保持一致。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0" w:hRule="atLeast"/>
          <w:jc w:val="center"/>
        </w:trPr>
        <w:tc>
          <w:tcPr>
            <w:tcW w:w="851" w:type="dxa"/>
            <w:vAlign w:val="center"/>
          </w:tcPr>
          <w:p>
            <w:pPr>
              <w:pStyle w:val="43"/>
              <w:adjustRightInd w:val="0"/>
              <w:snapToGrid w:val="0"/>
              <w:spacing w:before="0" w:after="0"/>
              <w:ind w:firstLine="0" w:firstLineChars="0"/>
              <w:jc w:val="center"/>
              <w:rPr>
                <w:rFonts w:ascii="宋体" w:hAnsi="宋体" w:eastAsia="宋体" w:cs="宋体"/>
                <w:b/>
                <w:bCs/>
                <w:color w:val="auto"/>
              </w:rPr>
            </w:pPr>
            <w:r>
              <w:rPr>
                <w:rFonts w:hint="eastAsia" w:ascii="宋体" w:hAnsi="宋体" w:eastAsia="宋体" w:cs="宋体"/>
                <w:b/>
                <w:bCs/>
                <w:color w:val="auto"/>
              </w:rPr>
              <w:t>16.1</w:t>
            </w:r>
          </w:p>
        </w:tc>
        <w:tc>
          <w:tcPr>
            <w:tcW w:w="2045" w:type="dxa"/>
            <w:vAlign w:val="center"/>
          </w:tcPr>
          <w:p>
            <w:pPr>
              <w:snapToGrid w:val="0"/>
              <w:spacing w:line="380" w:lineRule="exact"/>
              <w:ind w:left="120" w:leftChars="50"/>
              <w:rPr>
                <w:rFonts w:ascii="宋体" w:hAnsi="宋体" w:cs="宋体"/>
                <w:sz w:val="21"/>
                <w:szCs w:val="21"/>
              </w:rPr>
            </w:pPr>
            <w:r>
              <w:rPr>
                <w:rFonts w:hint="eastAsia" w:ascii="宋体" w:hAnsi="宋体" w:cs="宋体"/>
                <w:sz w:val="21"/>
                <w:szCs w:val="21"/>
              </w:rPr>
              <w:t>投标文件有效期</w:t>
            </w:r>
          </w:p>
        </w:tc>
        <w:tc>
          <w:tcPr>
            <w:tcW w:w="6597" w:type="dxa"/>
            <w:vAlign w:val="center"/>
          </w:tcPr>
          <w:p>
            <w:pPr>
              <w:snapToGrid w:val="0"/>
              <w:spacing w:line="380" w:lineRule="exact"/>
              <w:ind w:left="120" w:leftChars="50"/>
              <w:rPr>
                <w:rFonts w:ascii="宋体" w:hAnsi="宋体" w:cs="宋体"/>
                <w:sz w:val="21"/>
                <w:szCs w:val="21"/>
              </w:rPr>
            </w:pPr>
            <w:r>
              <w:rPr>
                <w:rFonts w:hint="eastAsia" w:ascii="宋体" w:hAnsi="宋体" w:cs="宋体"/>
                <w:sz w:val="21"/>
                <w:szCs w:val="21"/>
                <w:u w:val="single"/>
              </w:rPr>
              <w:t>90</w:t>
            </w:r>
            <w:r>
              <w:rPr>
                <w:rFonts w:hint="eastAsia" w:ascii="宋体" w:hAnsi="宋体" w:cs="宋体"/>
                <w:sz w:val="21"/>
                <w:szCs w:val="21"/>
              </w:rPr>
              <w:t>日历天（从开标日起计算）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51" w:type="dxa"/>
            <w:vAlign w:val="center"/>
          </w:tcPr>
          <w:p>
            <w:pPr>
              <w:pStyle w:val="43"/>
              <w:adjustRightInd w:val="0"/>
              <w:snapToGrid w:val="0"/>
              <w:spacing w:before="0" w:after="0"/>
              <w:ind w:firstLine="0" w:firstLineChars="0"/>
              <w:jc w:val="center"/>
              <w:rPr>
                <w:rFonts w:ascii="宋体" w:hAnsi="宋体" w:eastAsia="宋体" w:cs="宋体"/>
                <w:b/>
                <w:bCs/>
                <w:color w:val="auto"/>
              </w:rPr>
            </w:pPr>
            <w:r>
              <w:rPr>
                <w:rFonts w:hint="eastAsia" w:ascii="宋体" w:hAnsi="宋体" w:eastAsia="宋体" w:cs="宋体"/>
                <w:b/>
                <w:bCs/>
                <w:color w:val="auto"/>
              </w:rPr>
              <w:t>17.2</w:t>
            </w:r>
          </w:p>
        </w:tc>
        <w:tc>
          <w:tcPr>
            <w:tcW w:w="2045" w:type="dxa"/>
            <w:vAlign w:val="center"/>
          </w:tcPr>
          <w:p>
            <w:pPr>
              <w:snapToGrid w:val="0"/>
              <w:spacing w:line="380" w:lineRule="exact"/>
              <w:ind w:left="120" w:leftChars="50"/>
              <w:rPr>
                <w:rFonts w:ascii="宋体" w:hAnsi="宋体" w:cs="宋体"/>
                <w:sz w:val="21"/>
                <w:szCs w:val="21"/>
              </w:rPr>
            </w:pPr>
            <w:r>
              <w:rPr>
                <w:rFonts w:hint="eastAsia" w:ascii="宋体" w:hAnsi="宋体" w:cs="宋体"/>
                <w:sz w:val="21"/>
                <w:szCs w:val="21"/>
              </w:rPr>
              <w:t>投标文件数量</w:t>
            </w:r>
          </w:p>
        </w:tc>
        <w:tc>
          <w:tcPr>
            <w:tcW w:w="6597" w:type="dxa"/>
            <w:vAlign w:val="center"/>
          </w:tcPr>
          <w:p>
            <w:pPr>
              <w:pStyle w:val="41"/>
              <w:adjustRightInd w:val="0"/>
              <w:snapToGrid w:val="0"/>
              <w:spacing w:before="0" w:after="0" w:line="380" w:lineRule="exact"/>
              <w:ind w:firstLine="0" w:firstLineChars="0"/>
              <w:rPr>
                <w:rFonts w:ascii="宋体" w:hAnsi="宋体" w:eastAsia="宋体" w:cs="宋体"/>
                <w:color w:val="auto"/>
              </w:rPr>
            </w:pPr>
            <w:r>
              <w:rPr>
                <w:rFonts w:hint="eastAsia" w:ascii="宋体" w:hAnsi="宋体" w:eastAsia="宋体" w:cs="宋体"/>
                <w:color w:val="auto"/>
              </w:rPr>
              <w:t>（1）投标文件正本</w:t>
            </w:r>
            <w:r>
              <w:rPr>
                <w:rFonts w:hint="eastAsia" w:ascii="宋体" w:hAnsi="宋体" w:eastAsia="宋体" w:cs="宋体"/>
                <w:color w:val="auto"/>
                <w:u w:val="single"/>
              </w:rPr>
              <w:t xml:space="preserve">  1  </w:t>
            </w:r>
            <w:r>
              <w:rPr>
                <w:rFonts w:hint="eastAsia" w:ascii="宋体" w:hAnsi="宋体" w:eastAsia="宋体" w:cs="宋体"/>
                <w:color w:val="auto"/>
              </w:rPr>
              <w:t>份（</w:t>
            </w:r>
            <w:r>
              <w:rPr>
                <w:rFonts w:hint="eastAsia" w:ascii="宋体" w:hAnsi="宋体" w:eastAsia="宋体" w:cs="宋体"/>
                <w:color w:val="auto"/>
                <w:lang w:val="en-US"/>
              </w:rPr>
              <w:t>包含资格审查材料、技术、商务等所有材料</w:t>
            </w:r>
            <w:r>
              <w:rPr>
                <w:rFonts w:hint="eastAsia" w:ascii="宋体" w:hAnsi="宋体" w:eastAsia="宋体" w:cs="宋体"/>
                <w:color w:val="auto"/>
              </w:rPr>
              <w:t>）；</w:t>
            </w:r>
          </w:p>
          <w:p>
            <w:pPr>
              <w:pStyle w:val="41"/>
              <w:adjustRightInd w:val="0"/>
              <w:snapToGrid w:val="0"/>
              <w:spacing w:before="0" w:after="0" w:line="380" w:lineRule="exact"/>
              <w:ind w:firstLine="0" w:firstLineChars="0"/>
              <w:rPr>
                <w:rFonts w:ascii="宋体" w:hAnsi="宋体" w:eastAsia="宋体" w:cs="宋体"/>
                <w:color w:val="auto"/>
              </w:rPr>
            </w:pPr>
            <w:r>
              <w:rPr>
                <w:rFonts w:hint="eastAsia" w:ascii="宋体" w:hAnsi="宋体" w:eastAsia="宋体" w:cs="宋体"/>
                <w:color w:val="auto"/>
              </w:rPr>
              <w:t>（2）投标文件副本</w:t>
            </w:r>
            <w:r>
              <w:rPr>
                <w:rFonts w:hint="eastAsia" w:ascii="宋体" w:hAnsi="宋体" w:eastAsia="宋体" w:cs="宋体"/>
                <w:color w:val="auto"/>
                <w:u w:val="single"/>
              </w:rPr>
              <w:t xml:space="preserve">  </w:t>
            </w:r>
            <w:r>
              <w:rPr>
                <w:rFonts w:hint="eastAsia" w:ascii="宋体" w:hAnsi="宋体" w:eastAsia="宋体" w:cs="宋体"/>
                <w:color w:val="auto"/>
                <w:u w:val="single"/>
                <w:lang w:val="en-US"/>
              </w:rPr>
              <w:t>5</w:t>
            </w:r>
            <w:r>
              <w:rPr>
                <w:rFonts w:hint="eastAsia" w:ascii="宋体" w:hAnsi="宋体" w:eastAsia="宋体" w:cs="宋体"/>
                <w:color w:val="auto"/>
                <w:u w:val="single"/>
              </w:rPr>
              <w:t xml:space="preserve">  </w:t>
            </w:r>
            <w:r>
              <w:rPr>
                <w:rFonts w:hint="eastAsia" w:ascii="宋体" w:hAnsi="宋体" w:eastAsia="宋体" w:cs="宋体"/>
                <w:color w:val="auto"/>
              </w:rPr>
              <w:t>份（</w:t>
            </w:r>
            <w:r>
              <w:rPr>
                <w:rFonts w:hint="eastAsia" w:ascii="宋体" w:hAnsi="宋体" w:eastAsia="宋体" w:cs="宋体"/>
                <w:color w:val="auto"/>
                <w:lang w:val="en-US"/>
              </w:rPr>
              <w:t>包含资格审查材料、技术、商务等所有材料</w:t>
            </w:r>
            <w:r>
              <w:rPr>
                <w:rFonts w:hint="eastAsia" w:ascii="宋体" w:hAnsi="宋体" w:eastAsia="宋体" w:cs="宋体"/>
                <w:color w:val="auto"/>
              </w:rPr>
              <w:t>）；</w:t>
            </w:r>
          </w:p>
          <w:p>
            <w:pPr>
              <w:pStyle w:val="41"/>
              <w:adjustRightInd w:val="0"/>
              <w:snapToGrid w:val="0"/>
              <w:spacing w:before="0" w:after="0" w:line="380" w:lineRule="exact"/>
              <w:ind w:firstLine="0" w:firstLineChars="0"/>
              <w:rPr>
                <w:rFonts w:ascii="宋体" w:hAnsi="宋体" w:eastAsia="宋体" w:cs="宋体"/>
                <w:color w:val="auto"/>
              </w:rPr>
            </w:pPr>
            <w:r>
              <w:rPr>
                <w:rFonts w:hint="eastAsia" w:ascii="宋体" w:hAnsi="宋体" w:eastAsia="宋体" w:cs="宋体"/>
                <w:color w:val="auto"/>
              </w:rPr>
              <w:t>（3）开标一览表正本</w:t>
            </w:r>
            <w:r>
              <w:rPr>
                <w:rFonts w:hint="eastAsia" w:ascii="宋体" w:hAnsi="宋体" w:eastAsia="宋体" w:cs="宋体"/>
                <w:color w:val="auto"/>
                <w:u w:val="single"/>
              </w:rPr>
              <w:t xml:space="preserve">  1  </w:t>
            </w:r>
            <w:r>
              <w:rPr>
                <w:rFonts w:hint="eastAsia" w:ascii="宋体" w:hAnsi="宋体" w:eastAsia="宋体" w:cs="宋体"/>
                <w:color w:val="auto"/>
              </w:rPr>
              <w:t>份（单独密封提交）；</w:t>
            </w:r>
          </w:p>
          <w:p>
            <w:pPr>
              <w:pStyle w:val="41"/>
              <w:adjustRightInd w:val="0"/>
              <w:snapToGrid w:val="0"/>
              <w:spacing w:before="0" w:after="0" w:line="380" w:lineRule="exact"/>
              <w:ind w:firstLine="0" w:firstLineChars="0"/>
              <w:rPr>
                <w:rFonts w:ascii="宋体" w:hAnsi="宋体" w:eastAsia="宋体" w:cs="宋体"/>
                <w:color w:val="auto"/>
              </w:rPr>
            </w:pPr>
            <w:r>
              <w:rPr>
                <w:rFonts w:hint="eastAsia" w:ascii="宋体" w:hAnsi="宋体" w:eastAsia="宋体" w:cs="宋体"/>
                <w:color w:val="auto"/>
              </w:rPr>
              <w:t>（</w:t>
            </w:r>
            <w:r>
              <w:rPr>
                <w:rFonts w:hint="eastAsia" w:ascii="宋体" w:hAnsi="宋体" w:eastAsia="宋体" w:cs="宋体"/>
                <w:color w:val="auto"/>
                <w:lang w:val="en-US"/>
              </w:rPr>
              <w:t>4</w:t>
            </w:r>
            <w:r>
              <w:rPr>
                <w:rFonts w:hint="eastAsia" w:ascii="宋体" w:hAnsi="宋体" w:eastAsia="宋体" w:cs="宋体"/>
                <w:color w:val="auto"/>
              </w:rPr>
              <w:t>）</w:t>
            </w:r>
            <w:r>
              <w:rPr>
                <w:rFonts w:hint="eastAsia" w:ascii="宋体" w:hAnsi="宋体" w:eastAsia="宋体" w:cs="宋体"/>
                <w:color w:val="auto"/>
                <w:lang w:val="en-US"/>
              </w:rPr>
              <w:t>投标保证金</w:t>
            </w:r>
            <w:r>
              <w:rPr>
                <w:rFonts w:hint="eastAsia" w:ascii="宋体" w:hAnsi="宋体" w:eastAsia="宋体" w:cs="宋体"/>
                <w:color w:val="auto"/>
                <w:u w:val="single"/>
              </w:rPr>
              <w:t xml:space="preserve">  1  </w:t>
            </w:r>
            <w:r>
              <w:rPr>
                <w:rFonts w:hint="eastAsia" w:ascii="宋体" w:hAnsi="宋体" w:eastAsia="宋体" w:cs="宋体"/>
                <w:color w:val="auto"/>
              </w:rPr>
              <w:t>份（单独密封提交）；</w:t>
            </w:r>
          </w:p>
          <w:p>
            <w:pPr>
              <w:pStyle w:val="41"/>
              <w:adjustRightInd w:val="0"/>
              <w:snapToGrid w:val="0"/>
              <w:spacing w:before="0" w:after="0" w:line="380" w:lineRule="exact"/>
              <w:ind w:firstLine="0" w:firstLineChars="0"/>
              <w:rPr>
                <w:rFonts w:ascii="宋体" w:hAnsi="宋体" w:eastAsia="宋体" w:cs="宋体"/>
                <w:color w:val="auto"/>
              </w:rPr>
            </w:pPr>
            <w:r>
              <w:rPr>
                <w:rFonts w:hint="eastAsia" w:ascii="宋体" w:hAnsi="宋体" w:eastAsia="宋体" w:cs="宋体"/>
                <w:color w:val="auto"/>
              </w:rPr>
              <w:t>（</w:t>
            </w:r>
            <w:r>
              <w:rPr>
                <w:rFonts w:hint="eastAsia" w:ascii="宋体" w:hAnsi="宋体" w:eastAsia="宋体" w:cs="宋体"/>
                <w:color w:val="auto"/>
                <w:lang w:val="en-US"/>
              </w:rPr>
              <w:t>5</w:t>
            </w:r>
            <w:r>
              <w:rPr>
                <w:rFonts w:hint="eastAsia" w:ascii="宋体" w:hAnsi="宋体" w:eastAsia="宋体" w:cs="宋体"/>
                <w:color w:val="auto"/>
              </w:rPr>
              <w:t>）电子文档</w:t>
            </w:r>
            <w:r>
              <w:rPr>
                <w:rFonts w:hint="eastAsia" w:ascii="宋体" w:hAnsi="宋体" w:eastAsia="宋体" w:cs="宋体"/>
                <w:color w:val="auto"/>
                <w:u w:val="single"/>
              </w:rPr>
              <w:t>1</w:t>
            </w:r>
            <w:r>
              <w:rPr>
                <w:rFonts w:hint="eastAsia" w:ascii="宋体" w:hAnsi="宋体" w:eastAsia="宋体" w:cs="宋体"/>
                <w:color w:val="auto"/>
              </w:rPr>
              <w:t>份。</w:t>
            </w:r>
          </w:p>
          <w:p>
            <w:pPr>
              <w:pStyle w:val="41"/>
              <w:adjustRightInd w:val="0"/>
              <w:snapToGrid w:val="0"/>
              <w:spacing w:before="0" w:after="0" w:line="380" w:lineRule="exact"/>
              <w:ind w:firstLine="0" w:firstLineChars="0"/>
              <w:rPr>
                <w:rFonts w:ascii="宋体" w:hAnsi="宋体" w:eastAsia="宋体" w:cs="宋体"/>
                <w:color w:val="auto"/>
              </w:rPr>
            </w:pPr>
            <w:r>
              <w:rPr>
                <w:rFonts w:hint="eastAsia" w:ascii="宋体" w:hAnsi="宋体" w:eastAsia="宋体" w:cs="宋体"/>
                <w:color w:val="auto"/>
              </w:rPr>
              <w:t>电子文档要求如下：投标文件正本（须签字盖章后）需统一扫描成一份PDF格式电子版文件</w:t>
            </w:r>
            <w:r>
              <w:rPr>
                <w:rFonts w:hint="eastAsia" w:ascii="宋体" w:hAnsi="宋体" w:eastAsia="宋体" w:cs="宋体"/>
                <w:color w:val="auto"/>
                <w:lang w:val="en-US"/>
              </w:rPr>
              <w:t>和word格式文件【PDF和word两种格式都必须提供】</w:t>
            </w:r>
            <w:r>
              <w:rPr>
                <w:rFonts w:hint="eastAsia" w:ascii="宋体" w:hAnsi="宋体" w:eastAsia="宋体" w:cs="宋体"/>
                <w:color w:val="auto"/>
              </w:rPr>
              <w:t>，并以“项目编号-项目名称-投标人全称”命名，文件名不得简写。扫描精度不得低于300*300dpi。不得设置对电子文档打开、打印、复制的限制性措施。电子文档</w:t>
            </w:r>
            <w:r>
              <w:rPr>
                <w:rFonts w:hint="eastAsia" w:ascii="宋体" w:hAnsi="宋体" w:eastAsia="宋体" w:cs="宋体"/>
                <w:color w:val="auto"/>
                <w:lang w:val="en-US"/>
              </w:rPr>
              <w:t>介质</w:t>
            </w:r>
            <w:r>
              <w:rPr>
                <w:rFonts w:hint="eastAsia" w:ascii="宋体" w:hAnsi="宋体" w:eastAsia="宋体" w:cs="宋体"/>
                <w:color w:val="auto"/>
              </w:rPr>
              <w:t>概不退还。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51" w:type="dxa"/>
            <w:vAlign w:val="center"/>
          </w:tcPr>
          <w:p>
            <w:pPr>
              <w:pStyle w:val="43"/>
              <w:adjustRightInd w:val="0"/>
              <w:snapToGrid w:val="0"/>
              <w:spacing w:before="0" w:after="0"/>
              <w:ind w:firstLine="0" w:firstLineChars="0"/>
              <w:jc w:val="center"/>
              <w:rPr>
                <w:rFonts w:ascii="宋体" w:hAnsi="宋体" w:eastAsia="宋体" w:cs="宋体"/>
                <w:b/>
                <w:bCs/>
                <w:color w:val="auto"/>
              </w:rPr>
            </w:pPr>
            <w:r>
              <w:rPr>
                <w:rFonts w:hint="eastAsia" w:ascii="宋体" w:hAnsi="宋体" w:eastAsia="宋体" w:cs="宋体"/>
                <w:b/>
                <w:bCs/>
                <w:color w:val="auto"/>
              </w:rPr>
              <w:t>26.3</w:t>
            </w:r>
          </w:p>
        </w:tc>
        <w:tc>
          <w:tcPr>
            <w:tcW w:w="2045" w:type="dxa"/>
            <w:vAlign w:val="center"/>
          </w:tcPr>
          <w:p>
            <w:pPr>
              <w:snapToGrid w:val="0"/>
              <w:spacing w:line="380" w:lineRule="exact"/>
              <w:ind w:left="120" w:leftChars="50"/>
              <w:rPr>
                <w:rFonts w:ascii="宋体" w:hAnsi="宋体" w:cs="宋体"/>
                <w:sz w:val="21"/>
                <w:szCs w:val="21"/>
              </w:rPr>
            </w:pPr>
            <w:r>
              <w:rPr>
                <w:rFonts w:hint="eastAsia" w:ascii="宋体" w:hAnsi="宋体" w:cs="宋体"/>
                <w:sz w:val="21"/>
                <w:szCs w:val="21"/>
              </w:rPr>
              <w:t>小微企业价格扣除比例</w:t>
            </w:r>
          </w:p>
        </w:tc>
        <w:tc>
          <w:tcPr>
            <w:tcW w:w="6597" w:type="dxa"/>
            <w:vAlign w:val="center"/>
          </w:tcPr>
          <w:p>
            <w:pPr>
              <w:autoSpaceDE w:val="0"/>
              <w:autoSpaceDN w:val="0"/>
              <w:snapToGrid w:val="0"/>
              <w:spacing w:line="380" w:lineRule="exact"/>
              <w:ind w:left="120" w:leftChars="50" w:right="142" w:rightChars="59" w:firstLine="447" w:firstLineChars="213"/>
              <w:rPr>
                <w:rFonts w:ascii="宋体" w:hAnsi="宋体" w:cs="宋体"/>
                <w:sz w:val="21"/>
                <w:szCs w:val="21"/>
              </w:rPr>
            </w:pPr>
            <w:r>
              <w:rPr>
                <w:rFonts w:hint="eastAsia" w:ascii="宋体" w:hAnsi="宋体" w:cs="宋体"/>
                <w:sz w:val="21"/>
                <w:szCs w:val="21"/>
              </w:rPr>
              <w:t>具体扣除价格百分比为10%。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51" w:type="dxa"/>
            <w:vAlign w:val="center"/>
          </w:tcPr>
          <w:p>
            <w:pPr>
              <w:pStyle w:val="43"/>
              <w:adjustRightInd w:val="0"/>
              <w:snapToGrid w:val="0"/>
              <w:spacing w:before="0" w:after="0"/>
              <w:ind w:firstLine="0" w:firstLineChars="0"/>
              <w:jc w:val="center"/>
              <w:rPr>
                <w:rFonts w:ascii="宋体" w:hAnsi="宋体" w:eastAsia="宋体" w:cs="宋体"/>
                <w:b/>
                <w:bCs/>
                <w:color w:val="auto"/>
              </w:rPr>
            </w:pPr>
            <w:r>
              <w:rPr>
                <w:rFonts w:hint="eastAsia" w:ascii="宋体" w:hAnsi="宋体" w:eastAsia="宋体" w:cs="宋体"/>
                <w:b/>
                <w:bCs/>
                <w:color w:val="auto"/>
              </w:rPr>
              <w:t>32.1</w:t>
            </w:r>
          </w:p>
        </w:tc>
        <w:tc>
          <w:tcPr>
            <w:tcW w:w="2045" w:type="dxa"/>
            <w:vAlign w:val="center"/>
          </w:tcPr>
          <w:p>
            <w:pPr>
              <w:snapToGrid w:val="0"/>
              <w:spacing w:line="380" w:lineRule="exact"/>
              <w:ind w:left="120" w:leftChars="50"/>
              <w:rPr>
                <w:rFonts w:ascii="宋体" w:hAnsi="宋体" w:cs="宋体"/>
                <w:sz w:val="21"/>
                <w:szCs w:val="21"/>
              </w:rPr>
            </w:pPr>
            <w:r>
              <w:rPr>
                <w:rFonts w:hint="eastAsia" w:ascii="宋体" w:hAnsi="宋体" w:cs="宋体"/>
                <w:sz w:val="21"/>
                <w:szCs w:val="21"/>
              </w:rPr>
              <w:t>履约保证金</w:t>
            </w:r>
          </w:p>
        </w:tc>
        <w:tc>
          <w:tcPr>
            <w:tcW w:w="6597" w:type="dxa"/>
            <w:vAlign w:val="center"/>
          </w:tcPr>
          <w:p>
            <w:pPr>
              <w:autoSpaceDE w:val="0"/>
              <w:autoSpaceDN w:val="0"/>
              <w:snapToGrid w:val="0"/>
              <w:spacing w:line="380" w:lineRule="exact"/>
              <w:ind w:left="120" w:leftChars="50" w:right="142" w:rightChars="59" w:firstLine="447" w:firstLineChars="213"/>
              <w:rPr>
                <w:rFonts w:ascii="宋体" w:hAnsi="宋体" w:cs="宋体"/>
                <w:sz w:val="21"/>
                <w:szCs w:val="21"/>
              </w:rPr>
            </w:pPr>
            <w:r>
              <w:rPr>
                <w:rFonts w:hint="eastAsia" w:ascii="宋体" w:hAnsi="宋体" w:cs="宋体"/>
                <w:sz w:val="21"/>
                <w:szCs w:val="21"/>
              </w:rPr>
              <w:t>详见第五章合同文本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1" w:hRule="atLeast"/>
          <w:jc w:val="center"/>
        </w:trPr>
        <w:tc>
          <w:tcPr>
            <w:tcW w:w="851" w:type="dxa"/>
            <w:vAlign w:val="center"/>
          </w:tcPr>
          <w:p>
            <w:pPr>
              <w:pStyle w:val="43"/>
              <w:adjustRightInd w:val="0"/>
              <w:snapToGrid w:val="0"/>
              <w:spacing w:before="0" w:after="0"/>
              <w:ind w:firstLine="0" w:firstLineChars="0"/>
              <w:jc w:val="center"/>
              <w:rPr>
                <w:rFonts w:ascii="宋体" w:hAnsi="宋体" w:eastAsia="宋体" w:cs="宋体"/>
                <w:b/>
                <w:bCs/>
                <w:color w:val="auto"/>
              </w:rPr>
            </w:pPr>
            <w:r>
              <w:rPr>
                <w:rFonts w:hint="eastAsia" w:ascii="宋体" w:hAnsi="宋体" w:eastAsia="宋体" w:cs="宋体"/>
                <w:b/>
                <w:bCs/>
                <w:color w:val="auto"/>
              </w:rPr>
              <w:t>33.1</w:t>
            </w:r>
          </w:p>
        </w:tc>
        <w:tc>
          <w:tcPr>
            <w:tcW w:w="2045" w:type="dxa"/>
            <w:vAlign w:val="center"/>
          </w:tcPr>
          <w:p>
            <w:pPr>
              <w:snapToGrid w:val="0"/>
              <w:spacing w:line="380" w:lineRule="exact"/>
              <w:ind w:left="120" w:leftChars="50"/>
              <w:rPr>
                <w:rFonts w:ascii="宋体" w:hAnsi="宋体" w:cs="宋体"/>
                <w:sz w:val="21"/>
                <w:szCs w:val="21"/>
              </w:rPr>
            </w:pPr>
            <w:r>
              <w:rPr>
                <w:rFonts w:hint="eastAsia" w:ascii="宋体" w:hAnsi="宋体" w:cs="宋体"/>
                <w:sz w:val="21"/>
                <w:szCs w:val="21"/>
              </w:rPr>
              <w:t>预付款保证金</w:t>
            </w:r>
          </w:p>
        </w:tc>
        <w:tc>
          <w:tcPr>
            <w:tcW w:w="6597" w:type="dxa"/>
            <w:vAlign w:val="center"/>
          </w:tcPr>
          <w:p>
            <w:pPr>
              <w:autoSpaceDE w:val="0"/>
              <w:autoSpaceDN w:val="0"/>
              <w:snapToGrid w:val="0"/>
              <w:spacing w:line="380" w:lineRule="exact"/>
              <w:ind w:left="120" w:leftChars="50" w:right="142" w:rightChars="59" w:firstLine="447" w:firstLineChars="213"/>
              <w:rPr>
                <w:rFonts w:ascii="宋体" w:hAnsi="宋体" w:cs="宋体"/>
                <w:sz w:val="21"/>
                <w:szCs w:val="21"/>
              </w:rPr>
            </w:pPr>
            <w:r>
              <w:rPr>
                <w:rFonts w:hint="eastAsia" w:ascii="宋体" w:hAnsi="宋体" w:cs="宋体"/>
                <w:sz w:val="21"/>
                <w:szCs w:val="21"/>
              </w:rPr>
              <w:t>中标供应商在签订合同后</w:t>
            </w:r>
            <w:r>
              <w:rPr>
                <w:rFonts w:hint="eastAsia" w:ascii="宋体" w:hAnsi="宋体" w:cs="宋体"/>
                <w:sz w:val="21"/>
                <w:szCs w:val="21"/>
                <w:u w:val="single"/>
              </w:rPr>
              <w:t xml:space="preserve"> / </w:t>
            </w:r>
            <w:r>
              <w:rPr>
                <w:rFonts w:hint="eastAsia" w:ascii="宋体" w:hAnsi="宋体" w:cs="宋体"/>
                <w:sz w:val="21"/>
                <w:szCs w:val="21"/>
              </w:rPr>
              <w:t>个工作日内，向甲方提供相当于合同总价</w:t>
            </w:r>
            <w:r>
              <w:rPr>
                <w:rFonts w:hint="eastAsia" w:ascii="宋体" w:hAnsi="宋体" w:cs="宋体"/>
                <w:sz w:val="21"/>
                <w:szCs w:val="21"/>
                <w:u w:val="single"/>
              </w:rPr>
              <w:t xml:space="preserve"> / </w:t>
            </w:r>
            <w:r>
              <w:rPr>
                <w:rFonts w:hint="eastAsia" w:ascii="宋体" w:hAnsi="宋体" w:cs="宋体"/>
                <w:sz w:val="21"/>
                <w:szCs w:val="21"/>
              </w:rPr>
              <w:t>%的预付款保函。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90" w:hRule="atLeast"/>
          <w:jc w:val="center"/>
        </w:trPr>
        <w:tc>
          <w:tcPr>
            <w:tcW w:w="851" w:type="dxa"/>
            <w:vAlign w:val="center"/>
          </w:tcPr>
          <w:p>
            <w:pPr>
              <w:pStyle w:val="43"/>
              <w:adjustRightInd w:val="0"/>
              <w:snapToGrid w:val="0"/>
              <w:spacing w:before="0" w:after="0"/>
              <w:ind w:firstLine="0" w:firstLineChars="0"/>
              <w:jc w:val="center"/>
              <w:rPr>
                <w:rFonts w:ascii="宋体" w:hAnsi="宋体" w:eastAsia="宋体" w:cs="宋体"/>
                <w:b/>
                <w:bCs/>
                <w:color w:val="auto"/>
              </w:rPr>
            </w:pPr>
            <w:r>
              <w:rPr>
                <w:rFonts w:hint="eastAsia" w:ascii="宋体" w:hAnsi="宋体" w:eastAsia="宋体" w:cs="宋体"/>
                <w:b/>
                <w:bCs/>
                <w:color w:val="auto"/>
              </w:rPr>
              <w:t>34.1</w:t>
            </w:r>
          </w:p>
        </w:tc>
        <w:tc>
          <w:tcPr>
            <w:tcW w:w="2045" w:type="dxa"/>
            <w:vAlign w:val="center"/>
          </w:tcPr>
          <w:p>
            <w:pPr>
              <w:snapToGrid w:val="0"/>
              <w:spacing w:line="380" w:lineRule="exact"/>
              <w:ind w:left="120" w:leftChars="50"/>
              <w:rPr>
                <w:rFonts w:ascii="宋体" w:hAnsi="宋体" w:cs="宋体"/>
                <w:sz w:val="21"/>
                <w:szCs w:val="21"/>
              </w:rPr>
            </w:pPr>
            <w:r>
              <w:rPr>
                <w:rFonts w:hint="eastAsia" w:ascii="宋体" w:hAnsi="宋体" w:cs="宋体"/>
                <w:sz w:val="21"/>
                <w:szCs w:val="21"/>
              </w:rPr>
              <w:t>中标服务费</w:t>
            </w:r>
          </w:p>
        </w:tc>
        <w:tc>
          <w:tcPr>
            <w:tcW w:w="6597" w:type="dxa"/>
            <w:vAlign w:val="center"/>
          </w:tcPr>
          <w:p>
            <w:pPr>
              <w:numPr>
                <w:ilvl w:val="0"/>
                <w:numId w:val="4"/>
              </w:numPr>
              <w:autoSpaceDE w:val="0"/>
              <w:autoSpaceDN w:val="0"/>
              <w:snapToGrid w:val="0"/>
              <w:spacing w:line="380" w:lineRule="exact"/>
              <w:ind w:left="120" w:leftChars="50" w:right="142" w:rightChars="59" w:firstLine="447" w:firstLineChars="213"/>
              <w:rPr>
                <w:rFonts w:ascii="宋体" w:hAnsi="宋体" w:cs="宋体"/>
                <w:sz w:val="21"/>
                <w:szCs w:val="21"/>
              </w:rPr>
            </w:pPr>
            <w:r>
              <w:rPr>
                <w:rFonts w:hint="eastAsia" w:ascii="宋体" w:hAnsi="宋体" w:cs="宋体"/>
                <w:sz w:val="21"/>
                <w:szCs w:val="21"/>
              </w:rPr>
              <w:t>中标服务费以本项目中标金额作为收费的计算基数，参照《招标代理服务收费管理暂行办法》（计价格〔2002〕1980号）及发改办价格〔2003〕857号计算方法，按中标金额差额定率累进法计算，按照下表的费率下浮20%进行计算。</w:t>
            </w:r>
          </w:p>
          <w:p>
            <w:pPr>
              <w:autoSpaceDE w:val="0"/>
              <w:autoSpaceDN w:val="0"/>
              <w:snapToGrid w:val="0"/>
              <w:spacing w:line="380" w:lineRule="exact"/>
              <w:ind w:left="120" w:leftChars="50" w:right="142" w:rightChars="59" w:firstLine="447" w:firstLineChars="213"/>
              <w:rPr>
                <w:rFonts w:ascii="宋体" w:hAnsi="宋体" w:cs="宋体"/>
                <w:sz w:val="21"/>
                <w:szCs w:val="21"/>
              </w:rPr>
            </w:pPr>
            <w:r>
              <w:rPr>
                <w:rFonts w:hint="eastAsia" w:ascii="宋体" w:hAnsi="宋体" w:cs="宋体"/>
                <w:sz w:val="21"/>
                <w:szCs w:val="21"/>
              </w:rPr>
              <w:t>（2）招标服务费的交纳方式：在领取中标通知书时，向采购代理机构直接交纳招标服务费。可用转账支票、汇票、电汇、现金等付款方式一次向采购代理机构缴清招标服务费。</w:t>
            </w:r>
          </w:p>
          <w:p>
            <w:pPr>
              <w:snapToGrid w:val="0"/>
              <w:spacing w:after="120" w:afterLines="50" w:line="380" w:lineRule="exact"/>
              <w:jc w:val="center"/>
              <w:rPr>
                <w:rFonts w:ascii="宋体" w:hAnsi="宋体" w:cs="宋体"/>
                <w:b/>
                <w:bCs/>
              </w:rPr>
            </w:pPr>
            <w:r>
              <w:rPr>
                <w:rFonts w:hint="eastAsia" w:ascii="宋体" w:hAnsi="宋体" w:cs="宋体"/>
                <w:b/>
                <w:bCs/>
              </w:rPr>
              <w:t>服务费专用账号！！</w:t>
            </w:r>
          </w:p>
          <w:p>
            <w:pPr>
              <w:snapToGrid w:val="0"/>
              <w:spacing w:line="400" w:lineRule="exact"/>
              <w:ind w:firstLine="567" w:firstLineChars="270"/>
              <w:jc w:val="both"/>
              <w:rPr>
                <w:rFonts w:ascii="宋体" w:hAnsi="宋体" w:cs="宋体"/>
                <w:sz w:val="21"/>
                <w:szCs w:val="21"/>
              </w:rPr>
            </w:pPr>
            <w:r>
              <w:rPr>
                <w:rFonts w:hint="eastAsia" w:ascii="宋体" w:hAnsi="宋体" w:cs="宋体"/>
                <w:sz w:val="21"/>
                <w:szCs w:val="21"/>
              </w:rPr>
              <w:t>收款单位：</w:t>
            </w:r>
            <w:r>
              <w:rPr>
                <w:rFonts w:hint="eastAsia" w:ascii="宋体" w:hAnsi="宋体" w:cs="宋体"/>
                <w:sz w:val="21"/>
                <w:szCs w:val="21"/>
                <w:u w:val="single"/>
              </w:rPr>
              <w:t>北京中教仪国际招标代理有限公司</w:t>
            </w:r>
          </w:p>
          <w:p>
            <w:pPr>
              <w:tabs>
                <w:tab w:val="left" w:pos="0"/>
                <w:tab w:val="left" w:pos="180"/>
                <w:tab w:val="left" w:pos="540"/>
              </w:tabs>
              <w:snapToGrid w:val="0"/>
              <w:spacing w:line="380" w:lineRule="exact"/>
              <w:ind w:firstLine="630" w:firstLineChars="300"/>
              <w:rPr>
                <w:rFonts w:ascii="宋体" w:hAnsi="宋体" w:cs="宋体"/>
                <w:sz w:val="21"/>
                <w:szCs w:val="21"/>
              </w:rPr>
            </w:pPr>
            <w:r>
              <w:rPr>
                <w:rFonts w:hint="eastAsia" w:ascii="宋体" w:hAnsi="宋体" w:cs="宋体"/>
                <w:sz w:val="21"/>
                <w:szCs w:val="21"/>
              </w:rPr>
              <w:t>开户行：</w:t>
            </w:r>
            <w:r>
              <w:rPr>
                <w:rFonts w:hint="eastAsia" w:ascii="宋体" w:hAnsi="宋体" w:cs="宋体"/>
                <w:sz w:val="21"/>
                <w:szCs w:val="21"/>
                <w:u w:val="single"/>
              </w:rPr>
              <w:t>广发银行建国路支行</w:t>
            </w:r>
          </w:p>
          <w:p>
            <w:pPr>
              <w:tabs>
                <w:tab w:val="left" w:pos="900"/>
              </w:tabs>
              <w:snapToGrid w:val="0"/>
              <w:spacing w:after="120" w:afterLines="50" w:line="380" w:lineRule="exact"/>
              <w:ind w:firstLine="630" w:firstLineChars="300"/>
              <w:jc w:val="both"/>
              <w:rPr>
                <w:rFonts w:ascii="宋体" w:hAnsi="宋体" w:cs="宋体"/>
                <w:sz w:val="21"/>
                <w:szCs w:val="21"/>
              </w:rPr>
            </w:pPr>
            <w:r>
              <w:rPr>
                <w:rFonts w:hint="eastAsia" w:ascii="宋体" w:hAnsi="宋体" w:cs="宋体"/>
                <w:sz w:val="21"/>
                <w:szCs w:val="21"/>
              </w:rPr>
              <w:t>帐  号：</w:t>
            </w:r>
            <w:r>
              <w:rPr>
                <w:rFonts w:hint="eastAsia" w:ascii="宋体" w:hAnsi="宋体" w:cs="宋体"/>
                <w:sz w:val="21"/>
                <w:szCs w:val="21"/>
                <w:u w:val="single"/>
              </w:rPr>
              <w:t>6232593799000004005</w:t>
            </w:r>
          </w:p>
          <w:p>
            <w:pPr>
              <w:snapToGrid w:val="0"/>
              <w:spacing w:after="120" w:afterLines="50" w:line="380" w:lineRule="exact"/>
              <w:jc w:val="center"/>
              <w:rPr>
                <w:rFonts w:ascii="宋体" w:hAnsi="宋体" w:cs="宋体"/>
                <w:sz w:val="21"/>
                <w:szCs w:val="21"/>
              </w:rPr>
            </w:pPr>
            <w:r>
              <w:rPr>
                <w:rFonts w:hint="eastAsia" w:ascii="宋体" w:hAnsi="宋体" w:cs="宋体"/>
                <w:sz w:val="21"/>
                <w:szCs w:val="21"/>
              </w:rPr>
              <w:t>收费标准</w:t>
            </w:r>
          </w:p>
          <w:tbl>
            <w:tblPr>
              <w:tblStyle w:val="26"/>
              <w:tblW w:w="4421"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2445"/>
              <w:gridCol w:w="982"/>
              <w:gridCol w:w="99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2445" w:type="dxa"/>
                  <w:vAlign w:val="center"/>
                </w:tcPr>
                <w:p>
                  <w:pPr>
                    <w:ind w:firstLine="1200" w:firstLineChars="500"/>
                    <w:rPr>
                      <w:rFonts w:ascii="宋体" w:hAnsi="宋体" w:cs="宋体"/>
                    </w:rPr>
                  </w:pPr>
                  <w:r>
                    <w:rPr>
                      <w:rFonts w:hint="eastAsia" w:ascii="宋体" w:hAnsi="宋体" w:cs="宋体"/>
                    </w:rPr>
                    <mc:AlternateContent>
                      <mc:Choice Requires="wps">
                        <w:drawing>
                          <wp:anchor distT="0" distB="0" distL="114300" distR="114300" simplePos="0" relativeHeight="251666432" behindDoc="0" locked="0" layoutInCell="1" allowOverlap="1">
                            <wp:simplePos x="0" y="0"/>
                            <wp:positionH relativeFrom="column">
                              <wp:posOffset>-20955</wp:posOffset>
                            </wp:positionH>
                            <wp:positionV relativeFrom="paragraph">
                              <wp:posOffset>422910</wp:posOffset>
                            </wp:positionV>
                            <wp:extent cx="1581150" cy="769620"/>
                            <wp:effectExtent l="1905" t="4445" r="17145" b="6985"/>
                            <wp:wrapNone/>
                            <wp:docPr id="2" name="直接箭头连接符 2"/>
                            <wp:cNvGraphicFramePr/>
                            <a:graphic xmlns:a="http://schemas.openxmlformats.org/drawingml/2006/main">
                              <a:graphicData uri="http://schemas.microsoft.com/office/word/2010/wordprocessingShape">
                                <wps:wsp>
                                  <wps:cNvCnPr/>
                                  <wps:spPr>
                                    <a:xfrm>
                                      <a:off x="0" y="0"/>
                                      <a:ext cx="1581150" cy="7696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1.65pt;margin-top:33.3pt;height:60.6pt;width:124.5pt;z-index:251666432;mso-width-relative:page;mso-height-relative:page;" filled="f" stroked="t" coordsize="21600,21600" o:gfxdata="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Z56Pd2AAAAAkBAAAPAAAAAAAAAAEAIAAAACIAAABkcnMv&#10;ZG93bnJldi54bWxQSwECFAAUAAAACACHTuJAv7MvmwMCAADxAwAADgAAAAAAAAABACAAAAAnAQAA&#10;ZHJzL2Uyb0RvYy54bWxQSwUGAAAAAAYABgBZAQAAnAUAAAAA&#10;">
                            <v:fill on="f" focussize="0,0"/>
                            <v:stroke color="#000000" joinstyle="round"/>
                            <v:imagedata o:title=""/>
                            <o:lock v:ext="edit" aspectratio="f"/>
                          </v:shape>
                        </w:pict>
                      </mc:Fallback>
                    </mc:AlternateContent>
                  </w:r>
                  <w:r>
                    <w:rPr>
                      <w:rFonts w:hint="eastAsia" w:ascii="宋体" w:hAnsi="宋体" w:cs="宋体"/>
                    </w:rPr>
                    <mc:AlternateContent>
                      <mc:Choice Requires="wps">
                        <w:drawing>
                          <wp:anchor distT="0" distB="0" distL="114300" distR="114300" simplePos="0" relativeHeight="251665408" behindDoc="0" locked="0" layoutInCell="1" allowOverlap="1">
                            <wp:simplePos x="0" y="0"/>
                            <wp:positionH relativeFrom="column">
                              <wp:posOffset>462915</wp:posOffset>
                            </wp:positionH>
                            <wp:positionV relativeFrom="paragraph">
                              <wp:posOffset>3175</wp:posOffset>
                            </wp:positionV>
                            <wp:extent cx="1106805" cy="1217930"/>
                            <wp:effectExtent l="3810" t="3175" r="13335" b="17145"/>
                            <wp:wrapNone/>
                            <wp:docPr id="3" name="直接箭头连接符 3"/>
                            <wp:cNvGraphicFramePr/>
                            <a:graphic xmlns:a="http://schemas.openxmlformats.org/drawingml/2006/main">
                              <a:graphicData uri="http://schemas.microsoft.com/office/word/2010/wordprocessingShape">
                                <wps:wsp>
                                  <wps:cNvCnPr/>
                                  <wps:spPr>
                                    <a:xfrm>
                                      <a:off x="0" y="0"/>
                                      <a:ext cx="1106805" cy="12179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36.45pt;margin-top:0.25pt;height:95.9pt;width:87.15pt;z-index:251665408;mso-width-relative:page;mso-height-relative:page;" filled="f" stroked="t" coordsize="21600,21600" o:gfxdata="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jm+oBNUAAAAHAQAADwAAAAAAAAABACAAAAAiAAAAZHJzL2Rv&#10;d25yZXYueG1sUEsBAhQAFAAAAAgAh07iQJJ3FwMEAgAA8gMAAA4AAAAAAAAAAQAgAAAAJAEAAGRy&#10;cy9lMm9Eb2MueG1sUEsFBgAAAAAGAAYAWQEAAJoFAAAAAA==&#10;">
                            <v:fill on="f" focussize="0,0"/>
                            <v:stroke color="#000000" joinstyle="round"/>
                            <v:imagedata o:title=""/>
                            <o:lock v:ext="edit" aspectratio="f"/>
                          </v:shape>
                        </w:pict>
                      </mc:Fallback>
                    </mc:AlternateContent>
                  </w:r>
                  <w:r>
                    <w:rPr>
                      <w:rFonts w:hint="eastAsia" w:ascii="宋体" w:hAnsi="宋体" w:cs="宋体"/>
                    </w:rPr>
                    <w:t>服务类型</w:t>
                  </w:r>
                </w:p>
                <w:p>
                  <w:pPr>
                    <w:ind w:firstLine="590" w:firstLineChars="246"/>
                    <w:rPr>
                      <w:rFonts w:ascii="宋体" w:hAnsi="宋体" w:cs="宋体"/>
                    </w:rPr>
                  </w:pPr>
                  <w:r>
                    <w:rPr>
                      <w:rFonts w:hint="eastAsia" w:ascii="宋体" w:hAnsi="宋体" w:cs="宋体"/>
                    </w:rPr>
                    <w:t xml:space="preserve">                费率    </w:t>
                  </w:r>
                </w:p>
                <w:p>
                  <w:pPr>
                    <w:ind w:firstLine="590" w:firstLineChars="246"/>
                    <w:rPr>
                      <w:rFonts w:ascii="宋体" w:hAnsi="宋体" w:cs="宋体"/>
                    </w:rPr>
                  </w:pPr>
                  <w:r>
                    <w:rPr>
                      <w:rFonts w:hint="eastAsia" w:ascii="宋体" w:hAnsi="宋体" w:cs="宋体"/>
                    </w:rPr>
                    <w:t xml:space="preserve">                                  中标金额</w:t>
                  </w:r>
                </w:p>
                <w:p>
                  <w:pPr>
                    <w:rPr>
                      <w:rFonts w:ascii="宋体" w:hAnsi="宋体" w:cs="宋体"/>
                    </w:rPr>
                  </w:pPr>
                  <w:r>
                    <w:rPr>
                      <w:rFonts w:hint="eastAsia" w:ascii="宋体" w:hAnsi="宋体" w:cs="宋体"/>
                    </w:rPr>
                    <w:t>（万元）</w:t>
                  </w:r>
                </w:p>
              </w:tc>
              <w:tc>
                <w:tcPr>
                  <w:tcW w:w="982" w:type="dxa"/>
                  <w:vAlign w:val="center"/>
                </w:tcPr>
                <w:p>
                  <w:pPr>
                    <w:jc w:val="center"/>
                    <w:rPr>
                      <w:rFonts w:ascii="宋体" w:hAnsi="宋体" w:cs="宋体"/>
                    </w:rPr>
                  </w:pPr>
                  <w:r>
                    <w:rPr>
                      <w:rFonts w:hint="eastAsia" w:ascii="宋体" w:hAnsi="宋体" w:cs="宋体"/>
                    </w:rPr>
                    <w:t>货物招标</w:t>
                  </w:r>
                </w:p>
              </w:tc>
              <w:tc>
                <w:tcPr>
                  <w:tcW w:w="994" w:type="dxa"/>
                  <w:vAlign w:val="center"/>
                </w:tcPr>
                <w:p>
                  <w:pPr>
                    <w:jc w:val="center"/>
                    <w:rPr>
                      <w:rFonts w:ascii="宋体" w:hAnsi="宋体" w:cs="宋体"/>
                    </w:rPr>
                  </w:pPr>
                  <w:r>
                    <w:rPr>
                      <w:rFonts w:hint="eastAsia" w:ascii="宋体" w:hAnsi="宋体" w:cs="宋体"/>
                    </w:rPr>
                    <w:t>服务招标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2445" w:type="dxa"/>
                  <w:vAlign w:val="center"/>
                </w:tcPr>
                <w:p>
                  <w:pPr>
                    <w:ind w:firstLine="590" w:firstLineChars="246"/>
                    <w:rPr>
                      <w:rFonts w:ascii="宋体" w:hAnsi="宋体" w:cs="宋体"/>
                    </w:rPr>
                  </w:pPr>
                  <w:r>
                    <w:rPr>
                      <w:rFonts w:hint="eastAsia" w:ascii="宋体" w:hAnsi="宋体" w:cs="宋体"/>
                    </w:rPr>
                    <w:t>100以下</w:t>
                  </w:r>
                </w:p>
              </w:tc>
              <w:tc>
                <w:tcPr>
                  <w:tcW w:w="982" w:type="dxa"/>
                  <w:vAlign w:val="center"/>
                </w:tcPr>
                <w:p>
                  <w:pPr>
                    <w:jc w:val="center"/>
                    <w:rPr>
                      <w:rFonts w:ascii="宋体" w:hAnsi="宋体" w:cs="宋体"/>
                    </w:rPr>
                  </w:pPr>
                  <w:r>
                    <w:rPr>
                      <w:rFonts w:hint="eastAsia" w:ascii="宋体" w:hAnsi="宋体" w:cs="宋体"/>
                    </w:rPr>
                    <w:t>1.5%</w:t>
                  </w:r>
                </w:p>
              </w:tc>
              <w:tc>
                <w:tcPr>
                  <w:tcW w:w="994" w:type="dxa"/>
                  <w:vAlign w:val="center"/>
                </w:tcPr>
                <w:p>
                  <w:pPr>
                    <w:jc w:val="center"/>
                    <w:rPr>
                      <w:rFonts w:ascii="宋体" w:hAnsi="宋体" w:cs="宋体"/>
                    </w:rPr>
                  </w:pPr>
                  <w:r>
                    <w:rPr>
                      <w:rFonts w:hint="eastAsia" w:ascii="宋体" w:hAnsi="宋体" w:cs="宋体"/>
                    </w:rPr>
                    <w:t>1.5%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2445" w:type="dxa"/>
                  <w:vAlign w:val="center"/>
                </w:tcPr>
                <w:p>
                  <w:pPr>
                    <w:ind w:firstLine="590" w:firstLineChars="246"/>
                    <w:rPr>
                      <w:rFonts w:ascii="宋体" w:hAnsi="宋体" w:cs="宋体"/>
                    </w:rPr>
                  </w:pPr>
                  <w:r>
                    <w:rPr>
                      <w:rFonts w:hint="eastAsia" w:ascii="宋体" w:hAnsi="宋体" w:cs="宋体"/>
                    </w:rPr>
                    <w:t>100-500</w:t>
                  </w:r>
                </w:p>
              </w:tc>
              <w:tc>
                <w:tcPr>
                  <w:tcW w:w="982" w:type="dxa"/>
                  <w:vAlign w:val="center"/>
                </w:tcPr>
                <w:p>
                  <w:pPr>
                    <w:jc w:val="center"/>
                    <w:rPr>
                      <w:rFonts w:ascii="宋体" w:hAnsi="宋体" w:cs="宋体"/>
                    </w:rPr>
                  </w:pPr>
                  <w:r>
                    <w:rPr>
                      <w:rFonts w:hint="eastAsia" w:ascii="宋体" w:hAnsi="宋体" w:cs="宋体"/>
                    </w:rPr>
                    <w:t>1.1%</w:t>
                  </w:r>
                </w:p>
              </w:tc>
              <w:tc>
                <w:tcPr>
                  <w:tcW w:w="994" w:type="dxa"/>
                  <w:vAlign w:val="center"/>
                </w:tcPr>
                <w:p>
                  <w:pPr>
                    <w:jc w:val="center"/>
                    <w:rPr>
                      <w:rFonts w:ascii="宋体" w:hAnsi="宋体" w:cs="宋体"/>
                    </w:rPr>
                  </w:pPr>
                  <w:r>
                    <w:rPr>
                      <w:rFonts w:hint="eastAsia" w:ascii="宋体" w:hAnsi="宋体" w:cs="宋体"/>
                    </w:rPr>
                    <w:t>0.8%</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2445" w:type="dxa"/>
                  <w:vAlign w:val="center"/>
                </w:tcPr>
                <w:p>
                  <w:pPr>
                    <w:ind w:firstLine="590" w:firstLineChars="246"/>
                    <w:rPr>
                      <w:rFonts w:ascii="宋体" w:hAnsi="宋体" w:cs="宋体"/>
                    </w:rPr>
                  </w:pPr>
                  <w:r>
                    <w:rPr>
                      <w:rFonts w:hint="eastAsia" w:ascii="宋体" w:hAnsi="宋体" w:cs="宋体"/>
                    </w:rPr>
                    <w:t>500-1000</w:t>
                  </w:r>
                </w:p>
              </w:tc>
              <w:tc>
                <w:tcPr>
                  <w:tcW w:w="982" w:type="dxa"/>
                  <w:vAlign w:val="center"/>
                </w:tcPr>
                <w:p>
                  <w:pPr>
                    <w:jc w:val="center"/>
                    <w:rPr>
                      <w:rFonts w:ascii="宋体" w:hAnsi="宋体" w:cs="宋体"/>
                    </w:rPr>
                  </w:pPr>
                  <w:r>
                    <w:rPr>
                      <w:rFonts w:hint="eastAsia" w:ascii="宋体" w:hAnsi="宋体" w:cs="宋体"/>
                    </w:rPr>
                    <w:t>0.8%</w:t>
                  </w:r>
                </w:p>
              </w:tc>
              <w:tc>
                <w:tcPr>
                  <w:tcW w:w="994" w:type="dxa"/>
                  <w:vAlign w:val="center"/>
                </w:tcPr>
                <w:p>
                  <w:pPr>
                    <w:jc w:val="center"/>
                    <w:rPr>
                      <w:rFonts w:ascii="宋体" w:hAnsi="宋体" w:cs="宋体"/>
                    </w:rPr>
                  </w:pPr>
                  <w:r>
                    <w:rPr>
                      <w:rFonts w:hint="eastAsia" w:ascii="宋体" w:hAnsi="宋体" w:cs="宋体"/>
                    </w:rPr>
                    <w:t>0.45%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jc w:val="center"/>
              </w:trPr>
              <w:tc>
                <w:tcPr>
                  <w:tcW w:w="2445" w:type="dxa"/>
                  <w:vAlign w:val="center"/>
                </w:tcPr>
                <w:p>
                  <w:pPr>
                    <w:ind w:firstLine="590" w:firstLineChars="246"/>
                    <w:rPr>
                      <w:rFonts w:ascii="宋体" w:hAnsi="宋体" w:cs="宋体"/>
                    </w:rPr>
                  </w:pPr>
                  <w:r>
                    <w:rPr>
                      <w:rFonts w:hint="eastAsia" w:ascii="宋体" w:hAnsi="宋体" w:cs="宋体"/>
                    </w:rPr>
                    <w:t>1000-5000</w:t>
                  </w:r>
                </w:p>
              </w:tc>
              <w:tc>
                <w:tcPr>
                  <w:tcW w:w="982" w:type="dxa"/>
                  <w:vAlign w:val="center"/>
                </w:tcPr>
                <w:p>
                  <w:pPr>
                    <w:jc w:val="center"/>
                    <w:rPr>
                      <w:rFonts w:ascii="宋体" w:hAnsi="宋体" w:cs="宋体"/>
                    </w:rPr>
                  </w:pPr>
                  <w:r>
                    <w:rPr>
                      <w:rFonts w:hint="eastAsia" w:ascii="宋体" w:hAnsi="宋体" w:cs="宋体"/>
                    </w:rPr>
                    <w:t>0.5%</w:t>
                  </w:r>
                </w:p>
              </w:tc>
              <w:tc>
                <w:tcPr>
                  <w:tcW w:w="994" w:type="dxa"/>
                  <w:vAlign w:val="center"/>
                </w:tcPr>
                <w:p>
                  <w:pPr>
                    <w:jc w:val="center"/>
                    <w:rPr>
                      <w:rFonts w:ascii="宋体" w:hAnsi="宋体" w:cs="宋体"/>
                    </w:rPr>
                  </w:pPr>
                  <w:r>
                    <w:rPr>
                      <w:rFonts w:hint="eastAsia" w:ascii="宋体" w:hAnsi="宋体" w:cs="宋体"/>
                    </w:rPr>
                    <w:t>0.25%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jc w:val="center"/>
              </w:trPr>
              <w:tc>
                <w:tcPr>
                  <w:tcW w:w="2445" w:type="dxa"/>
                  <w:vAlign w:val="center"/>
                </w:tcPr>
                <w:p>
                  <w:pPr>
                    <w:ind w:firstLine="590" w:firstLineChars="246"/>
                    <w:rPr>
                      <w:rFonts w:ascii="宋体" w:hAnsi="宋体" w:cs="宋体"/>
                    </w:rPr>
                  </w:pPr>
                  <w:r>
                    <w:rPr>
                      <w:rFonts w:hint="eastAsia" w:ascii="宋体" w:hAnsi="宋体" w:cs="宋体"/>
                    </w:rPr>
                    <w:t>5000-10000</w:t>
                  </w:r>
                </w:p>
              </w:tc>
              <w:tc>
                <w:tcPr>
                  <w:tcW w:w="982" w:type="dxa"/>
                  <w:vAlign w:val="center"/>
                </w:tcPr>
                <w:p>
                  <w:pPr>
                    <w:jc w:val="center"/>
                    <w:rPr>
                      <w:rFonts w:ascii="宋体" w:hAnsi="宋体" w:cs="宋体"/>
                    </w:rPr>
                  </w:pPr>
                  <w:r>
                    <w:rPr>
                      <w:rFonts w:hint="eastAsia" w:ascii="宋体" w:hAnsi="宋体" w:cs="宋体"/>
                    </w:rPr>
                    <w:t>0.25%</w:t>
                  </w:r>
                </w:p>
              </w:tc>
              <w:tc>
                <w:tcPr>
                  <w:tcW w:w="994" w:type="dxa"/>
                  <w:vAlign w:val="center"/>
                </w:tcPr>
                <w:p>
                  <w:pPr>
                    <w:jc w:val="center"/>
                    <w:rPr>
                      <w:rFonts w:ascii="宋体" w:hAnsi="宋体" w:cs="宋体"/>
                    </w:rPr>
                  </w:pPr>
                  <w:r>
                    <w:rPr>
                      <w:rFonts w:hint="eastAsia" w:ascii="宋体" w:hAnsi="宋体" w:cs="宋体"/>
                    </w:rPr>
                    <w:t>0.1%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jc w:val="center"/>
              </w:trPr>
              <w:tc>
                <w:tcPr>
                  <w:tcW w:w="2445" w:type="dxa"/>
                  <w:vAlign w:val="center"/>
                </w:tcPr>
                <w:p>
                  <w:pPr>
                    <w:ind w:firstLine="590" w:firstLineChars="246"/>
                    <w:rPr>
                      <w:rFonts w:ascii="宋体" w:hAnsi="宋体" w:cs="宋体"/>
                    </w:rPr>
                  </w:pPr>
                  <w:r>
                    <w:rPr>
                      <w:rFonts w:hint="eastAsia" w:ascii="宋体" w:hAnsi="宋体" w:cs="宋体"/>
                    </w:rPr>
                    <w:t>10000-100000</w:t>
                  </w:r>
                </w:p>
              </w:tc>
              <w:tc>
                <w:tcPr>
                  <w:tcW w:w="982" w:type="dxa"/>
                  <w:vAlign w:val="center"/>
                </w:tcPr>
                <w:p>
                  <w:pPr>
                    <w:jc w:val="center"/>
                    <w:rPr>
                      <w:rFonts w:ascii="宋体" w:hAnsi="宋体" w:cs="宋体"/>
                    </w:rPr>
                  </w:pPr>
                  <w:r>
                    <w:rPr>
                      <w:rFonts w:hint="eastAsia" w:ascii="宋体" w:hAnsi="宋体" w:cs="宋体"/>
                    </w:rPr>
                    <w:t>0.05%</w:t>
                  </w:r>
                </w:p>
              </w:tc>
              <w:tc>
                <w:tcPr>
                  <w:tcW w:w="994" w:type="dxa"/>
                  <w:vAlign w:val="center"/>
                </w:tcPr>
                <w:p>
                  <w:pPr>
                    <w:jc w:val="center"/>
                    <w:rPr>
                      <w:rFonts w:ascii="宋体" w:hAnsi="宋体" w:cs="宋体"/>
                    </w:rPr>
                  </w:pPr>
                  <w:r>
                    <w:rPr>
                      <w:rFonts w:hint="eastAsia" w:ascii="宋体" w:hAnsi="宋体" w:cs="宋体"/>
                    </w:rPr>
                    <w:t>0.05%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2445" w:type="dxa"/>
                  <w:vAlign w:val="center"/>
                </w:tcPr>
                <w:p>
                  <w:pPr>
                    <w:ind w:firstLine="590" w:firstLineChars="246"/>
                    <w:rPr>
                      <w:rFonts w:ascii="宋体" w:hAnsi="宋体" w:cs="宋体"/>
                    </w:rPr>
                  </w:pPr>
                  <w:r>
                    <w:rPr>
                      <w:rFonts w:hint="eastAsia" w:ascii="宋体" w:hAnsi="宋体" w:cs="宋体"/>
                    </w:rPr>
                    <w:t>100000以上</w:t>
                  </w:r>
                </w:p>
              </w:tc>
              <w:tc>
                <w:tcPr>
                  <w:tcW w:w="982" w:type="dxa"/>
                  <w:vAlign w:val="center"/>
                </w:tcPr>
                <w:p>
                  <w:pPr>
                    <w:jc w:val="center"/>
                    <w:rPr>
                      <w:rFonts w:ascii="宋体" w:hAnsi="宋体" w:cs="宋体"/>
                    </w:rPr>
                  </w:pPr>
                  <w:r>
                    <w:rPr>
                      <w:rFonts w:hint="eastAsia" w:ascii="宋体" w:hAnsi="宋体" w:cs="宋体"/>
                    </w:rPr>
                    <w:t>0.01%</w:t>
                  </w:r>
                </w:p>
              </w:tc>
              <w:tc>
                <w:tcPr>
                  <w:tcW w:w="994" w:type="dxa"/>
                  <w:vAlign w:val="center"/>
                </w:tcPr>
                <w:p>
                  <w:pPr>
                    <w:jc w:val="center"/>
                    <w:rPr>
                      <w:rFonts w:ascii="宋体" w:hAnsi="宋体" w:cs="宋体"/>
                    </w:rPr>
                  </w:pPr>
                  <w:r>
                    <w:rPr>
                      <w:rFonts w:hint="eastAsia" w:ascii="宋体" w:hAnsi="宋体" w:cs="宋体"/>
                    </w:rPr>
                    <w:t>0.01%</w:t>
                  </w:r>
                </w:p>
              </w:tc>
            </w:tr>
          </w:tbl>
          <w:p>
            <w:pPr>
              <w:snapToGrid w:val="0"/>
              <w:spacing w:line="380" w:lineRule="exact"/>
              <w:rPr>
                <w:rFonts w:ascii="宋体" w:hAnsi="宋体" w:cs="宋体"/>
                <w:sz w:val="21"/>
                <w:szCs w:val="21"/>
              </w:rPr>
            </w:pPr>
            <w:r>
              <w:rPr>
                <w:rFonts w:hint="eastAsia" w:ascii="宋体" w:hAnsi="宋体" w:cs="宋体"/>
                <w:sz w:val="21"/>
                <w:szCs w:val="21"/>
              </w:rPr>
              <w:br w:type="page"/>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7" w:hRule="atLeast"/>
          <w:jc w:val="center"/>
        </w:trPr>
        <w:tc>
          <w:tcPr>
            <w:tcW w:w="851" w:type="dxa"/>
            <w:vAlign w:val="center"/>
          </w:tcPr>
          <w:p>
            <w:pPr>
              <w:pStyle w:val="43"/>
              <w:adjustRightInd w:val="0"/>
              <w:snapToGrid w:val="0"/>
              <w:spacing w:before="0" w:after="0"/>
              <w:ind w:firstLine="0" w:firstLineChars="0"/>
              <w:jc w:val="center"/>
              <w:rPr>
                <w:rFonts w:ascii="宋体" w:hAnsi="宋体" w:eastAsia="宋体" w:cs="宋体"/>
                <w:b/>
                <w:bCs/>
                <w:color w:val="auto"/>
              </w:rPr>
            </w:pPr>
          </w:p>
        </w:tc>
        <w:tc>
          <w:tcPr>
            <w:tcW w:w="2045" w:type="dxa"/>
            <w:vAlign w:val="center"/>
          </w:tcPr>
          <w:p>
            <w:pPr>
              <w:snapToGrid w:val="0"/>
              <w:spacing w:line="380" w:lineRule="exact"/>
              <w:ind w:left="120" w:leftChars="50"/>
              <w:rPr>
                <w:rFonts w:ascii="宋体" w:hAnsi="宋体" w:cs="宋体"/>
                <w:sz w:val="21"/>
                <w:szCs w:val="21"/>
              </w:rPr>
            </w:pPr>
            <w:r>
              <w:rPr>
                <w:rFonts w:hint="eastAsia" w:ascii="宋体" w:hAnsi="宋体" w:cs="宋体"/>
                <w:sz w:val="21"/>
                <w:szCs w:val="21"/>
              </w:rPr>
              <w:t>其他</w:t>
            </w:r>
          </w:p>
        </w:tc>
        <w:tc>
          <w:tcPr>
            <w:tcW w:w="6597" w:type="dxa"/>
            <w:vAlign w:val="center"/>
          </w:tcPr>
          <w:p>
            <w:pPr>
              <w:autoSpaceDE w:val="0"/>
              <w:autoSpaceDN w:val="0"/>
              <w:snapToGrid w:val="0"/>
              <w:spacing w:line="380" w:lineRule="exact"/>
              <w:ind w:left="120" w:leftChars="50" w:right="142" w:rightChars="59" w:firstLine="447" w:firstLineChars="213"/>
              <w:rPr>
                <w:rFonts w:ascii="宋体" w:hAnsi="宋体" w:cs="宋体"/>
                <w:sz w:val="21"/>
                <w:szCs w:val="21"/>
              </w:rPr>
            </w:pPr>
            <w:r>
              <w:rPr>
                <w:rFonts w:hint="eastAsia" w:ascii="宋体" w:hAnsi="宋体" w:cs="宋体"/>
                <w:sz w:val="21"/>
                <w:szCs w:val="21"/>
              </w:rPr>
              <w:t>本文件中的“签字”指签字人亲笔签字或加盖签字人的人名章或手签章。</w:t>
            </w:r>
          </w:p>
          <w:p>
            <w:pPr>
              <w:autoSpaceDE w:val="0"/>
              <w:autoSpaceDN w:val="0"/>
              <w:snapToGrid w:val="0"/>
              <w:spacing w:line="380" w:lineRule="exact"/>
              <w:ind w:left="120" w:leftChars="50" w:right="142" w:rightChars="59" w:firstLine="447" w:firstLineChars="213"/>
              <w:rPr>
                <w:rFonts w:ascii="宋体" w:hAnsi="宋体" w:cs="宋体"/>
                <w:sz w:val="21"/>
                <w:szCs w:val="21"/>
              </w:rPr>
            </w:pPr>
            <w:r>
              <w:rPr>
                <w:rFonts w:hint="eastAsia" w:ascii="宋体" w:hAnsi="宋体" w:cs="宋体"/>
                <w:sz w:val="21"/>
                <w:szCs w:val="21"/>
              </w:rPr>
              <w:t>本文件中的“法定代表人”指响应人的法定代表人，或经法定代表人授权在指定范围内可以行使法定代表人相关权利的负责人（需提供相关证明文件）。</w:t>
            </w:r>
          </w:p>
        </w:tc>
      </w:tr>
    </w:tbl>
    <w:p>
      <w:pPr>
        <w:snapToGrid w:val="0"/>
        <w:spacing w:line="400" w:lineRule="exact"/>
        <w:jc w:val="both"/>
        <w:rPr>
          <w:rFonts w:ascii="宋体" w:hAnsi="宋体" w:cs="宋体"/>
        </w:rPr>
      </w:pPr>
      <w:r>
        <w:rPr>
          <w:rFonts w:hint="eastAsia" w:ascii="宋体" w:hAnsi="宋体" w:cs="宋体"/>
        </w:rPr>
        <w:t>注：本项目招标文件中投标人须知或招标文件其余部分与本表不一致的，以本表要求为准。</w:t>
      </w:r>
    </w:p>
    <w:p>
      <w:pPr>
        <w:pStyle w:val="4"/>
        <w:spacing w:after="120" w:afterLines="50"/>
        <w:rPr>
          <w:rFonts w:ascii="宋体" w:hAnsi="宋体" w:eastAsia="宋体" w:cs="宋体"/>
          <w:color w:val="auto"/>
          <w:sz w:val="36"/>
          <w:szCs w:val="36"/>
        </w:rPr>
      </w:pPr>
      <w:r>
        <w:rPr>
          <w:rFonts w:hint="eastAsia" w:ascii="宋体" w:hAnsi="宋体" w:eastAsia="宋体" w:cs="宋体"/>
          <w:color w:val="auto"/>
        </w:rPr>
        <w:br w:type="page"/>
      </w:r>
      <w:r>
        <w:rPr>
          <w:rFonts w:hint="eastAsia" w:ascii="宋体" w:hAnsi="宋体" w:eastAsia="宋体" w:cs="宋体"/>
          <w:color w:val="auto"/>
          <w:sz w:val="36"/>
          <w:szCs w:val="36"/>
        </w:rPr>
        <w:t>投标人须知</w:t>
      </w:r>
    </w:p>
    <w:p>
      <w:pPr>
        <w:widowControl/>
        <w:snapToGrid w:val="0"/>
        <w:spacing w:line="400" w:lineRule="exact"/>
        <w:ind w:firstLine="424" w:firstLineChars="151"/>
        <w:textAlignment w:val="auto"/>
        <w:rPr>
          <w:rFonts w:ascii="宋体" w:hAnsi="宋体" w:cs="宋体"/>
          <w:b/>
          <w:bCs/>
          <w:kern w:val="20"/>
          <w:sz w:val="28"/>
          <w:szCs w:val="28"/>
          <w:lang w:val="zh-CN"/>
        </w:rPr>
      </w:pPr>
      <w:r>
        <w:rPr>
          <w:rFonts w:hint="eastAsia" w:ascii="宋体" w:hAnsi="宋体" w:cs="宋体"/>
          <w:b/>
          <w:bCs/>
          <w:sz w:val="28"/>
          <w:szCs w:val="28"/>
        </w:rPr>
        <w:t>一、总则</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1.基本要求</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1.1 本招标文件适用于本文件第三章中所述技术需求的招标投标。采购人、采购代理机构根据政府采购政策、采购预算、采购需求编制招标文件。</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1.2 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2.定义</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2.1 “采购人”指将本项目委托给采购代理机构的单位，名称详见</w:t>
      </w:r>
      <w:r>
        <w:rPr>
          <w:rFonts w:hint="eastAsia" w:ascii="宋体" w:hAnsi="宋体" w:eastAsia="宋体" w:cs="宋体"/>
          <w:b/>
          <w:bCs/>
          <w:color w:val="auto"/>
          <w:sz w:val="24"/>
          <w:szCs w:val="24"/>
        </w:rPr>
        <w:t>投标人须知前附表</w:t>
      </w:r>
      <w:r>
        <w:rPr>
          <w:rFonts w:hint="eastAsia" w:ascii="宋体" w:hAnsi="宋体" w:eastAsia="宋体" w:cs="宋体"/>
          <w:color w:val="auto"/>
          <w:sz w:val="24"/>
          <w:szCs w:val="24"/>
        </w:rPr>
        <w:t>。</w:t>
      </w:r>
    </w:p>
    <w:p>
      <w:pPr>
        <w:pStyle w:val="41"/>
        <w:adjustRightInd w:val="0"/>
        <w:snapToGrid w:val="0"/>
        <w:spacing w:before="0" w:after="0" w:line="400" w:lineRule="exact"/>
        <w:ind w:firstLine="424" w:firstLineChars="177"/>
        <w:jc w:val="both"/>
        <w:rPr>
          <w:rFonts w:ascii="宋体" w:hAnsi="宋体" w:eastAsia="宋体" w:cs="宋体"/>
          <w:b/>
          <w:bCs/>
          <w:color w:val="auto"/>
          <w:sz w:val="24"/>
          <w:szCs w:val="24"/>
        </w:rPr>
      </w:pPr>
      <w:r>
        <w:rPr>
          <w:rFonts w:hint="eastAsia" w:ascii="宋体" w:hAnsi="宋体" w:eastAsia="宋体" w:cs="宋体"/>
          <w:color w:val="auto"/>
          <w:sz w:val="24"/>
          <w:szCs w:val="24"/>
        </w:rPr>
        <w:t>2.2 “采购代理机构”指执行本项目采购工作的采购代理机构，名称详见</w:t>
      </w:r>
      <w:r>
        <w:rPr>
          <w:rFonts w:hint="eastAsia" w:ascii="宋体" w:hAnsi="宋体" w:eastAsia="宋体" w:cs="宋体"/>
          <w:b/>
          <w:bCs/>
          <w:color w:val="auto"/>
          <w:sz w:val="24"/>
          <w:szCs w:val="24"/>
        </w:rPr>
        <w:t>投标人须知前附表。</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2.3 “潜在投标人”指符合本招标文件各项规定且购买招标文件的供应商。</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2.4 “投标人”指符合本招标文件规定并参加投标的供应商。</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 xml:space="preserve">2.5 </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招标货物</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指本招标文件中第三章所述所有货物及实现货物功能价值所必须的配套技术和服务。</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2.6 “服务”指本招标文件中</w:t>
      </w:r>
      <w:r>
        <w:rPr>
          <w:rFonts w:hint="eastAsia" w:ascii="宋体" w:hAnsi="宋体" w:eastAsia="宋体" w:cs="宋体"/>
          <w:b/>
          <w:bCs/>
          <w:color w:val="auto"/>
          <w:sz w:val="24"/>
          <w:szCs w:val="24"/>
        </w:rPr>
        <w:t>第三章</w:t>
      </w:r>
      <w:r>
        <w:rPr>
          <w:rFonts w:hint="eastAsia" w:ascii="宋体" w:hAnsi="宋体" w:eastAsia="宋体" w:cs="宋体"/>
          <w:color w:val="auto"/>
          <w:sz w:val="24"/>
          <w:szCs w:val="24"/>
        </w:rPr>
        <w:t>所述投标人应该履行的承诺和义务。</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3.资金来源和采购预算</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3.1 资金来源</w:t>
      </w:r>
      <w:r>
        <w:rPr>
          <w:rFonts w:hint="eastAsia" w:ascii="宋体" w:hAnsi="宋体" w:eastAsia="宋体" w:cs="宋体"/>
          <w:bCs/>
          <w:color w:val="auto"/>
          <w:sz w:val="24"/>
          <w:szCs w:val="24"/>
        </w:rPr>
        <w:t>：财政资金。</w:t>
      </w:r>
    </w:p>
    <w:p>
      <w:pPr>
        <w:pStyle w:val="41"/>
        <w:adjustRightInd w:val="0"/>
        <w:snapToGrid w:val="0"/>
        <w:spacing w:before="0" w:after="0" w:line="400" w:lineRule="exact"/>
        <w:ind w:firstLine="424" w:firstLineChars="177"/>
        <w:jc w:val="both"/>
        <w:rPr>
          <w:rFonts w:ascii="宋体" w:hAnsi="宋体" w:eastAsia="宋体" w:cs="宋体"/>
          <w:bCs/>
          <w:color w:val="auto"/>
          <w:sz w:val="24"/>
          <w:szCs w:val="24"/>
        </w:rPr>
      </w:pPr>
      <w:r>
        <w:rPr>
          <w:rFonts w:hint="eastAsia" w:ascii="宋体" w:hAnsi="宋体" w:eastAsia="宋体" w:cs="宋体"/>
          <w:color w:val="auto"/>
          <w:sz w:val="24"/>
          <w:szCs w:val="24"/>
        </w:rPr>
        <w:t xml:space="preserve">3.2 </w:t>
      </w:r>
      <w:r>
        <w:rPr>
          <w:rFonts w:hint="eastAsia" w:ascii="宋体" w:hAnsi="宋体" w:eastAsia="宋体" w:cs="宋体"/>
          <w:bCs/>
          <w:color w:val="auto"/>
          <w:sz w:val="24"/>
          <w:szCs w:val="24"/>
        </w:rPr>
        <w:t>采购</w:t>
      </w:r>
      <w:r>
        <w:rPr>
          <w:rFonts w:hint="eastAsia" w:ascii="宋体" w:hAnsi="宋体" w:eastAsia="宋体" w:cs="宋体"/>
          <w:color w:val="auto"/>
          <w:sz w:val="24"/>
          <w:szCs w:val="24"/>
        </w:rPr>
        <w:t>预算</w:t>
      </w:r>
      <w:r>
        <w:rPr>
          <w:rFonts w:hint="eastAsia" w:ascii="宋体" w:hAnsi="宋体" w:eastAsia="宋体" w:cs="宋体"/>
          <w:bCs/>
          <w:color w:val="auto"/>
          <w:sz w:val="24"/>
          <w:szCs w:val="24"/>
        </w:rPr>
        <w:t>：金额</w:t>
      </w:r>
      <w:r>
        <w:rPr>
          <w:rFonts w:hint="eastAsia" w:ascii="宋体" w:hAnsi="宋体" w:eastAsia="宋体" w:cs="宋体"/>
          <w:color w:val="auto"/>
          <w:sz w:val="24"/>
          <w:szCs w:val="24"/>
        </w:rPr>
        <w:t>详见</w:t>
      </w:r>
      <w:r>
        <w:rPr>
          <w:rFonts w:hint="eastAsia" w:ascii="宋体" w:hAnsi="宋体" w:eastAsia="宋体" w:cs="宋体"/>
          <w:b/>
          <w:bCs/>
          <w:color w:val="auto"/>
          <w:sz w:val="24"/>
          <w:szCs w:val="24"/>
        </w:rPr>
        <w:t>投标人须知前附表。</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4.投标人的资格要求</w:t>
      </w:r>
    </w:p>
    <w:p>
      <w:pPr>
        <w:pStyle w:val="41"/>
        <w:adjustRightInd w:val="0"/>
        <w:snapToGrid w:val="0"/>
        <w:spacing w:before="0" w:after="0" w:line="400" w:lineRule="exact"/>
        <w:ind w:firstLine="424" w:firstLineChars="177"/>
        <w:jc w:val="both"/>
        <w:rPr>
          <w:rFonts w:ascii="宋体" w:hAnsi="宋体" w:eastAsia="宋体" w:cs="宋体"/>
          <w:color w:val="auto"/>
        </w:rPr>
      </w:pPr>
      <w:r>
        <w:rPr>
          <w:rFonts w:hint="eastAsia" w:ascii="宋体" w:hAnsi="宋体" w:eastAsia="宋体" w:cs="宋体"/>
          <w:color w:val="auto"/>
          <w:sz w:val="24"/>
          <w:szCs w:val="24"/>
        </w:rPr>
        <w:t>4.1 在中华人民共和国境内注册登记，有生产或供应能力的本国供应商，包括法人、其他组织和个人。具体投标人的资格要求和需要提供的资格证明文件详见</w:t>
      </w:r>
      <w:r>
        <w:rPr>
          <w:rFonts w:hint="eastAsia" w:ascii="宋体" w:hAnsi="宋体" w:eastAsia="宋体" w:cs="宋体"/>
          <w:b/>
          <w:bCs/>
          <w:color w:val="auto"/>
          <w:sz w:val="24"/>
          <w:szCs w:val="24"/>
        </w:rPr>
        <w:t>投标人须知前附表</w:t>
      </w:r>
      <w:r>
        <w:rPr>
          <w:rFonts w:hint="eastAsia" w:ascii="宋体" w:hAnsi="宋体" w:eastAsia="宋体" w:cs="宋体"/>
          <w:color w:val="auto"/>
          <w:sz w:val="24"/>
          <w:szCs w:val="24"/>
        </w:rPr>
        <w:t>。</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4.2 投标人不得存在下列情形之一：</w:t>
      </w:r>
    </w:p>
    <w:p>
      <w:pPr>
        <w:pStyle w:val="41"/>
        <w:adjustRightInd w:val="0"/>
        <w:snapToGrid w:val="0"/>
        <w:spacing w:before="0" w:after="0" w:line="400" w:lineRule="exact"/>
        <w:ind w:firstLine="424" w:firstLineChars="177"/>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（1）单位负责人为同一人或者存在控股、管理关系的不同供应商，不得参加同一包投标或者在未分包的同一招标项目中投标；</w:t>
      </w:r>
    </w:p>
    <w:p>
      <w:pPr>
        <w:pStyle w:val="41"/>
        <w:adjustRightInd w:val="0"/>
        <w:snapToGrid w:val="0"/>
        <w:spacing w:before="0" w:after="0" w:line="400" w:lineRule="exact"/>
        <w:ind w:firstLine="424" w:firstLineChars="177"/>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（2）为采购项目提供整体设计、规范编制或者项目管理、监理、检测等服务的；</w:t>
      </w:r>
    </w:p>
    <w:p>
      <w:pPr>
        <w:pStyle w:val="41"/>
        <w:adjustRightInd w:val="0"/>
        <w:snapToGrid w:val="0"/>
        <w:spacing w:before="0" w:after="0" w:line="400" w:lineRule="exact"/>
        <w:ind w:firstLine="424" w:firstLineChars="177"/>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3）已为整体采购项目或者其中分项目前期工作提供设计、编制规范、进行管理等的供应商及其附属机构，不得再参加该整体采购项目及其所有分项目的采购活动；凡为分项目提供上述服务的供应商及其附属机构，不得再参加分项目的采购活动；</w:t>
      </w:r>
    </w:p>
    <w:p>
      <w:pPr>
        <w:pStyle w:val="41"/>
        <w:adjustRightInd w:val="0"/>
        <w:snapToGrid w:val="0"/>
        <w:spacing w:before="0" w:after="0" w:line="400" w:lineRule="exact"/>
        <w:ind w:firstLine="424" w:firstLineChars="177"/>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（4）为本招标项目的招标代理单位；</w:t>
      </w:r>
    </w:p>
    <w:p>
      <w:pPr>
        <w:pStyle w:val="41"/>
        <w:adjustRightInd w:val="0"/>
        <w:snapToGrid w:val="0"/>
        <w:spacing w:before="0" w:after="0" w:line="400" w:lineRule="exact"/>
        <w:ind w:firstLine="424" w:firstLineChars="177"/>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（5）为本招标项目的代建单位；</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4.3 本次招标是否允许两个（含）以上投标人组成一个联合体以一个投标人身份共同投标，详见</w:t>
      </w:r>
      <w:r>
        <w:rPr>
          <w:rFonts w:hint="eastAsia" w:ascii="宋体" w:hAnsi="宋体" w:eastAsia="宋体" w:cs="宋体"/>
          <w:b/>
          <w:bCs/>
          <w:color w:val="auto"/>
          <w:sz w:val="24"/>
          <w:szCs w:val="24"/>
        </w:rPr>
        <w:t>投标人须知前附表</w:t>
      </w:r>
      <w:r>
        <w:rPr>
          <w:rFonts w:hint="eastAsia" w:ascii="宋体" w:hAnsi="宋体" w:eastAsia="宋体" w:cs="宋体"/>
          <w:color w:val="auto"/>
          <w:sz w:val="24"/>
          <w:szCs w:val="24"/>
        </w:rPr>
        <w:t>。如果允许联合体投标，联合体各方应符合下列要求：</w:t>
      </w:r>
    </w:p>
    <w:p>
      <w:pPr>
        <w:pStyle w:val="41"/>
        <w:adjustRightInd w:val="0"/>
        <w:snapToGrid w:val="0"/>
        <w:spacing w:before="0" w:after="0" w:line="400" w:lineRule="exact"/>
        <w:ind w:firstLine="424" w:firstLineChars="177"/>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（1）联合体应提供“联合投标协议书”。该协议书对联合投标各方均具有法律约束力。联合体投标文件未附联合体投标协议书的，其投标将被</w:t>
      </w:r>
      <w:r>
        <w:rPr>
          <w:rFonts w:hint="eastAsia" w:ascii="宋体" w:hAnsi="宋体" w:eastAsia="宋体" w:cs="宋体"/>
          <w:b/>
          <w:bCs/>
          <w:color w:val="auto"/>
          <w:sz w:val="24"/>
          <w:szCs w:val="24"/>
          <w:lang w:val="en-US"/>
        </w:rPr>
        <w:t>拒绝</w:t>
      </w:r>
      <w:r>
        <w:rPr>
          <w:rFonts w:hint="eastAsia" w:ascii="宋体" w:hAnsi="宋体" w:eastAsia="宋体" w:cs="宋体"/>
          <w:color w:val="auto"/>
          <w:sz w:val="24"/>
          <w:szCs w:val="24"/>
          <w:lang w:val="en-US"/>
        </w:rPr>
        <w:t>；</w:t>
      </w:r>
    </w:p>
    <w:p>
      <w:pPr>
        <w:pStyle w:val="41"/>
        <w:adjustRightInd w:val="0"/>
        <w:snapToGrid w:val="0"/>
        <w:spacing w:before="0" w:after="0" w:line="400" w:lineRule="exact"/>
        <w:ind w:firstLine="424" w:firstLineChars="177"/>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2）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p>
    <w:p>
      <w:pPr>
        <w:pStyle w:val="41"/>
        <w:adjustRightInd w:val="0"/>
        <w:snapToGrid w:val="0"/>
        <w:spacing w:before="0" w:after="0" w:line="400" w:lineRule="exact"/>
        <w:ind w:firstLine="424" w:firstLineChars="177"/>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（3）按照</w:t>
      </w:r>
      <w:r>
        <w:rPr>
          <w:rFonts w:hint="eastAsia" w:ascii="宋体" w:hAnsi="宋体" w:eastAsia="宋体" w:cs="宋体"/>
          <w:b/>
          <w:bCs/>
          <w:color w:val="auto"/>
          <w:sz w:val="24"/>
          <w:szCs w:val="24"/>
          <w:lang w:val="en-US"/>
        </w:rPr>
        <w:t>投标人须知前附表</w:t>
      </w:r>
      <w:r>
        <w:rPr>
          <w:rFonts w:hint="eastAsia" w:ascii="宋体" w:hAnsi="宋体" w:eastAsia="宋体" w:cs="宋体"/>
          <w:color w:val="auto"/>
          <w:sz w:val="24"/>
          <w:szCs w:val="24"/>
          <w:lang w:val="en-US"/>
        </w:rPr>
        <w:t>投标人的资质要求规定提交的相关证明文件，联合体各方中至少应当有一方对应满足本项目规定的相应资质条件，并且联合体投标人整体应当符合本项目的资质要求，否则，其提交的联合投标将被</w:t>
      </w:r>
      <w:r>
        <w:rPr>
          <w:rFonts w:hint="eastAsia" w:ascii="宋体" w:hAnsi="宋体" w:eastAsia="宋体" w:cs="宋体"/>
          <w:b/>
          <w:bCs/>
          <w:color w:val="auto"/>
          <w:sz w:val="24"/>
          <w:szCs w:val="24"/>
          <w:lang w:val="en-US"/>
        </w:rPr>
        <w:t>拒绝</w:t>
      </w:r>
      <w:r>
        <w:rPr>
          <w:rFonts w:hint="eastAsia" w:ascii="宋体" w:hAnsi="宋体" w:eastAsia="宋体" w:cs="宋体"/>
          <w:color w:val="auto"/>
          <w:sz w:val="24"/>
          <w:szCs w:val="24"/>
          <w:lang w:val="en-US"/>
        </w:rPr>
        <w:t>；</w:t>
      </w:r>
    </w:p>
    <w:p>
      <w:pPr>
        <w:pStyle w:val="41"/>
        <w:adjustRightInd w:val="0"/>
        <w:snapToGrid w:val="0"/>
        <w:spacing w:before="0" w:after="0" w:line="400" w:lineRule="exact"/>
        <w:ind w:firstLine="424" w:firstLineChars="177"/>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（4）联合体中标后，合同应由各成员的合法授权代表签字并加盖各成员公章，以便对联合体成员作为整体和他们各自作为独立体均具有法律约束力。</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4.4 投标人根据招标文件的规定和采购项目的实际情况，拟在中标后将中标项目的非主体、非关键性工作分包的，应当在投标文件中载明分包承担主体，分包承担主体应当具备相应资质条件且不得再次分包。本次招标是否允许投标人分包，详见投标人须知前附表。</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4.5 本次招标是否允许现场踏勘，详见投标人须知前附表。</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5.政府采购优惠政策</w:t>
      </w:r>
    </w:p>
    <w:p>
      <w:pPr>
        <w:pStyle w:val="41"/>
        <w:adjustRightInd w:val="0"/>
        <w:snapToGrid w:val="0"/>
        <w:spacing w:before="0" w:after="0" w:line="400" w:lineRule="exact"/>
        <w:ind w:firstLine="424" w:firstLineChars="177"/>
        <w:jc w:val="both"/>
        <w:rPr>
          <w:rFonts w:ascii="宋体" w:hAnsi="宋体" w:eastAsia="宋体" w:cs="宋体"/>
          <w:bCs/>
          <w:color w:val="auto"/>
          <w:sz w:val="24"/>
          <w:szCs w:val="24"/>
        </w:rPr>
      </w:pPr>
      <w:r>
        <w:rPr>
          <w:rFonts w:hint="eastAsia" w:ascii="宋体" w:hAnsi="宋体" w:eastAsia="宋体" w:cs="宋体"/>
          <w:color w:val="auto"/>
          <w:sz w:val="24"/>
          <w:szCs w:val="24"/>
        </w:rPr>
        <w:t xml:space="preserve">5.1 </w:t>
      </w:r>
      <w:r>
        <w:rPr>
          <w:rFonts w:hint="eastAsia" w:ascii="宋体" w:hAnsi="宋体" w:eastAsia="宋体" w:cs="宋体"/>
          <w:bCs/>
          <w:color w:val="auto"/>
          <w:sz w:val="24"/>
          <w:szCs w:val="24"/>
        </w:rPr>
        <w:t>小</w:t>
      </w:r>
      <w:r>
        <w:rPr>
          <w:rFonts w:hint="eastAsia" w:ascii="宋体" w:hAnsi="宋体" w:eastAsia="宋体" w:cs="宋体"/>
          <w:color w:val="auto"/>
          <w:sz w:val="24"/>
          <w:szCs w:val="24"/>
        </w:rPr>
        <w:t>微型</w:t>
      </w:r>
      <w:r>
        <w:rPr>
          <w:rFonts w:hint="eastAsia" w:ascii="宋体" w:hAnsi="宋体" w:eastAsia="宋体" w:cs="宋体"/>
          <w:bCs/>
          <w:color w:val="auto"/>
          <w:sz w:val="24"/>
          <w:szCs w:val="24"/>
        </w:rPr>
        <w:t>企业规定</w:t>
      </w:r>
    </w:p>
    <w:p>
      <w:pPr>
        <w:pStyle w:val="41"/>
        <w:adjustRightInd w:val="0"/>
        <w:snapToGrid w:val="0"/>
        <w:spacing w:before="0" w:after="0" w:line="400" w:lineRule="exact"/>
        <w:ind w:firstLine="424" w:firstLineChars="177"/>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（1）促进小微企业发展政策：根据《政府采购促进中小企业发展管理办法》规定，对符合本办法规定的小微企业报价给予10%的扣除，用扣除后的价格参与评审。</w:t>
      </w:r>
    </w:p>
    <w:p>
      <w:pPr>
        <w:pStyle w:val="41"/>
        <w:adjustRightInd w:val="0"/>
        <w:snapToGrid w:val="0"/>
        <w:spacing w:before="0" w:after="0" w:line="400" w:lineRule="exact"/>
        <w:ind w:firstLine="424" w:firstLineChars="177"/>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2）残疾人福利性单位扶持政策：投标人如为残疾人福利性单位视同小型、微型企业，且所投产品为小型或微型企业生产的，将对该投标产品的投标价给予10%的扣除。残疾人福利性单位属于小型、微型企业的，不重复享受政策。</w:t>
      </w:r>
    </w:p>
    <w:p>
      <w:pPr>
        <w:pStyle w:val="41"/>
        <w:adjustRightInd w:val="0"/>
        <w:snapToGrid w:val="0"/>
        <w:spacing w:before="0" w:after="0" w:line="400" w:lineRule="exact"/>
        <w:ind w:firstLine="424" w:firstLineChars="177"/>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3）监狱企业扶持政策：投标人如为监狱企业将视同为小型或微型企业，且所投产品为小型或微型企业生产的，将对该投标产品的投标价给予10%的扣除。投标人为监狱企业的，应提供由省级以上监狱管理局、戒毒管理局（含新疆生产建设兵团）出具的属于监狱企业的证明文件。</w:t>
      </w:r>
    </w:p>
    <w:p>
      <w:pPr>
        <w:pStyle w:val="41"/>
        <w:adjustRightInd w:val="0"/>
        <w:snapToGrid w:val="0"/>
        <w:spacing w:before="0" w:after="0" w:line="400" w:lineRule="exact"/>
        <w:ind w:firstLine="424" w:firstLineChars="177"/>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（4）小微企业选取标准：本项目的具体选取标准，详见</w:t>
      </w:r>
      <w:r>
        <w:rPr>
          <w:rFonts w:hint="eastAsia" w:ascii="宋体" w:hAnsi="宋体" w:eastAsia="宋体" w:cs="宋体"/>
          <w:b/>
          <w:color w:val="auto"/>
          <w:sz w:val="24"/>
          <w:szCs w:val="24"/>
          <w:lang w:val="en-US"/>
        </w:rPr>
        <w:t>投标人须知前附表</w:t>
      </w:r>
      <w:r>
        <w:rPr>
          <w:rFonts w:hint="eastAsia" w:ascii="宋体" w:hAnsi="宋体" w:eastAsia="宋体" w:cs="宋体"/>
          <w:color w:val="auto"/>
          <w:sz w:val="24"/>
          <w:szCs w:val="24"/>
          <w:lang w:val="en-US"/>
        </w:rPr>
        <w:t>。若投标人为小微企业，应按本招标文件的</w:t>
      </w:r>
      <w:r>
        <w:rPr>
          <w:rFonts w:hint="eastAsia" w:ascii="宋体" w:hAnsi="宋体" w:eastAsia="宋体" w:cs="宋体"/>
          <w:b/>
          <w:color w:val="auto"/>
          <w:sz w:val="24"/>
          <w:szCs w:val="24"/>
          <w:lang w:val="en-US"/>
        </w:rPr>
        <w:t>投标人须知前附表</w:t>
      </w:r>
      <w:r>
        <w:rPr>
          <w:rFonts w:hint="eastAsia" w:ascii="宋体" w:hAnsi="宋体" w:eastAsia="宋体" w:cs="宋体"/>
          <w:color w:val="auto"/>
          <w:sz w:val="24"/>
          <w:szCs w:val="24"/>
          <w:lang w:val="en-US"/>
        </w:rPr>
        <w:t>要求出具相关证明文件，否则评标时不予认可。投标人应对提交的证明文件的真实性负责，提交证明文件不真实的，应承担相应的法律责任。</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5.2节能环保要求</w:t>
      </w:r>
    </w:p>
    <w:p>
      <w:pPr>
        <w:pStyle w:val="41"/>
        <w:adjustRightInd w:val="0"/>
        <w:snapToGrid w:val="0"/>
        <w:spacing w:before="0" w:after="0" w:line="400" w:lineRule="exact"/>
        <w:ind w:firstLine="424" w:firstLineChars="177"/>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供应商提供产品如是环境标志产品，应列入财政部、环保部联合印发的《关于调整环境标志产品政府采购清单的通知》中公布的清单。施行优先采购的产品按照优先采购执行。如是节能产品，应列入《节能产品政府采购品目清单》中公布的清单，投标文件需提供该产品所在的节能产品政府采购清单页，并加盖投标人公章，施行强制采购的产品按照强制采购执行。</w:t>
      </w:r>
    </w:p>
    <w:p>
      <w:pPr>
        <w:pStyle w:val="41"/>
        <w:adjustRightInd w:val="0"/>
        <w:snapToGrid w:val="0"/>
        <w:spacing w:before="0" w:after="0" w:line="400" w:lineRule="exact"/>
        <w:ind w:firstLine="424" w:firstLineChars="177"/>
        <w:jc w:val="both"/>
        <w:rPr>
          <w:rFonts w:ascii="宋体" w:hAnsi="宋体" w:eastAsia="宋体" w:cs="宋体"/>
          <w:color w:val="auto"/>
          <w:sz w:val="24"/>
          <w:szCs w:val="24"/>
          <w:lang w:val="en-US"/>
        </w:rPr>
      </w:pPr>
      <w:r>
        <w:rPr>
          <w:rFonts w:hint="eastAsia" w:ascii="宋体" w:hAnsi="宋体" w:eastAsia="宋体" w:cs="宋体"/>
          <w:color w:val="auto"/>
          <w:sz w:val="24"/>
          <w:szCs w:val="24"/>
        </w:rPr>
        <w:t>5.3信息安全产品要求</w:t>
      </w:r>
    </w:p>
    <w:p>
      <w:pPr>
        <w:pStyle w:val="41"/>
        <w:adjustRightInd w:val="0"/>
        <w:snapToGrid w:val="0"/>
        <w:spacing w:before="0" w:after="0" w:line="400" w:lineRule="exact"/>
        <w:ind w:firstLine="480"/>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信息安全产品投标应符合《关于信息安全产品实施政府采购的通知》（财库【2010】48号）要求。</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6.投标费用</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6.1 投标人应承担所有与准备和参加投标有关的费用，采购代理机构、采购人在任何情况下均无义务和责任承担这些费用。</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7.通知</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7.1 对与本项目有关的通知，采购代理机构将以书面（包括书面材料、信函、传真、公告等方式）或在本次招标公告刊登的媒体上发布公告的形式，向潜在投标人发出，地址、传真、邮箱等以潜在投标人登记的为准。如信息登记有误、传真线路故障、潜在投标人手机无法接通等原因，或其它任何意外情形导致所发出的通知延迟送达或无法到达投标人，采购代理机构不因此承担任何责任，有关的招标活动可以继续有效地进行。</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7.2 本项目招标公告的公告期限为5个工作日，中标公告的公告期限为1个工作日。</w:t>
      </w:r>
    </w:p>
    <w:p>
      <w:pPr>
        <w:widowControl/>
        <w:snapToGrid w:val="0"/>
        <w:spacing w:line="400" w:lineRule="exact"/>
        <w:ind w:firstLine="424" w:firstLineChars="151"/>
        <w:textAlignment w:val="auto"/>
        <w:rPr>
          <w:rFonts w:ascii="宋体" w:hAnsi="宋体" w:cs="宋体"/>
          <w:b/>
          <w:bCs/>
          <w:sz w:val="28"/>
          <w:szCs w:val="28"/>
        </w:rPr>
      </w:pPr>
      <w:r>
        <w:rPr>
          <w:rFonts w:hint="eastAsia" w:ascii="宋体" w:hAnsi="宋体" w:cs="宋体"/>
          <w:b/>
          <w:bCs/>
          <w:sz w:val="28"/>
          <w:szCs w:val="28"/>
        </w:rPr>
        <w:t>二、招标文件</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8.招标文件的内容</w:t>
      </w:r>
    </w:p>
    <w:p>
      <w:pPr>
        <w:pStyle w:val="41"/>
        <w:adjustRightInd w:val="0"/>
        <w:snapToGrid w:val="0"/>
        <w:spacing w:before="0" w:after="0" w:line="400" w:lineRule="exact"/>
        <w:ind w:left="709" w:firstLine="0" w:firstLineChars="0"/>
        <w:jc w:val="both"/>
        <w:rPr>
          <w:rFonts w:ascii="宋体" w:hAnsi="宋体" w:eastAsia="宋体" w:cs="宋体"/>
          <w:color w:val="auto"/>
          <w:sz w:val="24"/>
          <w:szCs w:val="24"/>
        </w:rPr>
      </w:pPr>
      <w:r>
        <w:rPr>
          <w:rFonts w:hint="eastAsia" w:ascii="宋体" w:hAnsi="宋体" w:eastAsia="宋体" w:cs="宋体"/>
          <w:color w:val="auto"/>
          <w:sz w:val="24"/>
          <w:szCs w:val="24"/>
        </w:rPr>
        <w:t>第一章 投标邀请</w:t>
      </w:r>
    </w:p>
    <w:p>
      <w:pPr>
        <w:pStyle w:val="41"/>
        <w:adjustRightInd w:val="0"/>
        <w:snapToGrid w:val="0"/>
        <w:spacing w:before="0" w:after="0" w:line="400" w:lineRule="exact"/>
        <w:ind w:left="709" w:firstLine="0" w:firstLineChars="0"/>
        <w:jc w:val="both"/>
        <w:rPr>
          <w:rFonts w:ascii="宋体" w:hAnsi="宋体" w:eastAsia="宋体" w:cs="宋体"/>
          <w:color w:val="auto"/>
          <w:sz w:val="24"/>
          <w:szCs w:val="24"/>
        </w:rPr>
      </w:pPr>
      <w:r>
        <w:rPr>
          <w:rFonts w:hint="eastAsia" w:ascii="宋体" w:hAnsi="宋体" w:eastAsia="宋体" w:cs="宋体"/>
          <w:color w:val="auto"/>
          <w:sz w:val="24"/>
          <w:szCs w:val="24"/>
        </w:rPr>
        <w:t>第二章 投标人须知</w:t>
      </w:r>
    </w:p>
    <w:p>
      <w:pPr>
        <w:pStyle w:val="41"/>
        <w:adjustRightInd w:val="0"/>
        <w:snapToGrid w:val="0"/>
        <w:spacing w:before="0" w:after="0" w:line="400" w:lineRule="exact"/>
        <w:ind w:left="709" w:firstLine="0" w:firstLineChars="0"/>
        <w:jc w:val="both"/>
        <w:rPr>
          <w:rFonts w:ascii="宋体" w:hAnsi="宋体" w:eastAsia="宋体" w:cs="宋体"/>
          <w:color w:val="auto"/>
          <w:sz w:val="24"/>
          <w:szCs w:val="24"/>
        </w:rPr>
      </w:pPr>
      <w:r>
        <w:rPr>
          <w:rFonts w:hint="eastAsia" w:ascii="宋体" w:hAnsi="宋体" w:eastAsia="宋体" w:cs="宋体"/>
          <w:color w:val="auto"/>
          <w:sz w:val="24"/>
          <w:szCs w:val="24"/>
        </w:rPr>
        <w:t>第三章 采购需求</w:t>
      </w:r>
    </w:p>
    <w:p>
      <w:pPr>
        <w:pStyle w:val="41"/>
        <w:adjustRightInd w:val="0"/>
        <w:snapToGrid w:val="0"/>
        <w:spacing w:before="0" w:after="0" w:line="400" w:lineRule="exact"/>
        <w:ind w:left="709" w:firstLine="0" w:firstLineChars="0"/>
        <w:jc w:val="both"/>
        <w:rPr>
          <w:rFonts w:ascii="宋体" w:hAnsi="宋体" w:eastAsia="宋体" w:cs="宋体"/>
          <w:color w:val="auto"/>
          <w:sz w:val="24"/>
          <w:szCs w:val="24"/>
        </w:rPr>
      </w:pPr>
      <w:r>
        <w:rPr>
          <w:rFonts w:hint="eastAsia" w:ascii="宋体" w:hAnsi="宋体" w:eastAsia="宋体" w:cs="宋体"/>
          <w:color w:val="auto"/>
          <w:sz w:val="24"/>
          <w:szCs w:val="24"/>
        </w:rPr>
        <w:t>第四章 评标方法和评标标准</w:t>
      </w:r>
    </w:p>
    <w:p>
      <w:pPr>
        <w:pStyle w:val="41"/>
        <w:adjustRightInd w:val="0"/>
        <w:snapToGrid w:val="0"/>
        <w:spacing w:before="0" w:after="0" w:line="400" w:lineRule="exact"/>
        <w:ind w:left="709" w:firstLine="0" w:firstLineChars="0"/>
        <w:jc w:val="both"/>
        <w:rPr>
          <w:rFonts w:ascii="宋体" w:hAnsi="宋体" w:eastAsia="宋体" w:cs="宋体"/>
          <w:color w:val="auto"/>
          <w:sz w:val="24"/>
          <w:szCs w:val="24"/>
        </w:rPr>
      </w:pPr>
      <w:r>
        <w:rPr>
          <w:rFonts w:hint="eastAsia" w:ascii="宋体" w:hAnsi="宋体" w:eastAsia="宋体" w:cs="宋体"/>
          <w:color w:val="auto"/>
          <w:sz w:val="24"/>
          <w:szCs w:val="24"/>
        </w:rPr>
        <w:t>第五章 合同文本</w:t>
      </w:r>
    </w:p>
    <w:p>
      <w:pPr>
        <w:pStyle w:val="41"/>
        <w:adjustRightInd w:val="0"/>
        <w:snapToGrid w:val="0"/>
        <w:spacing w:before="0" w:after="0" w:line="400" w:lineRule="exact"/>
        <w:ind w:left="709" w:firstLine="0" w:firstLineChars="0"/>
        <w:jc w:val="both"/>
        <w:rPr>
          <w:rFonts w:ascii="宋体" w:hAnsi="宋体" w:eastAsia="宋体" w:cs="宋体"/>
          <w:color w:val="auto"/>
          <w:sz w:val="24"/>
          <w:szCs w:val="24"/>
        </w:rPr>
      </w:pPr>
      <w:r>
        <w:rPr>
          <w:rFonts w:hint="eastAsia" w:ascii="宋体" w:hAnsi="宋体" w:eastAsia="宋体" w:cs="宋体"/>
          <w:color w:val="auto"/>
          <w:sz w:val="24"/>
          <w:szCs w:val="24"/>
        </w:rPr>
        <w:t>第六章 投标文件格式</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9.投标前招标文件的澄清和修改</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9.1 任何已获得招标文件的潜在投标人，均可要求对招标文件进行澄清或修改，按</w:t>
      </w:r>
      <w:r>
        <w:rPr>
          <w:rFonts w:hint="eastAsia" w:ascii="宋体" w:hAnsi="宋体" w:eastAsia="宋体" w:cs="宋体"/>
          <w:b/>
          <w:bCs/>
          <w:color w:val="auto"/>
          <w:sz w:val="24"/>
          <w:szCs w:val="24"/>
        </w:rPr>
        <w:t>第一章投标邀请</w:t>
      </w:r>
      <w:r>
        <w:rPr>
          <w:rFonts w:hint="eastAsia" w:ascii="宋体" w:hAnsi="宋体" w:eastAsia="宋体" w:cs="宋体"/>
          <w:color w:val="auto"/>
          <w:sz w:val="24"/>
          <w:szCs w:val="24"/>
        </w:rPr>
        <w:t>中的联系地址以书面形式（包括书面材料、信函、传真等，下同）送达采购代理机构。采购代理机构将视情况予以澄清或修改，以书面形式答复所有获得招标文件的潜在投标人，必要时答复内容可以包括原提出的问题，但不包括问题的来源。</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9.2 按照责权利相一致原则，招标文件的主要商务、技术指标的提出方负责解释潜在投标人提出的相关澄清、修改要求，并应当视情况作出澄清或修改的决定。</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9.3 采购代理机构可主动地或在解答潜在投标人提出的澄清问题时对招标文件进行修改。</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9.4 招标文件的澄清、修改应以书面形式通知所有潜在投标人，并作为招标文件的组成部分，对所有潜在投标人均具有约束力。潜在投标人在收到上述通知后，应立即向采购代理机构回函确认。若无书面回函确认，视同潜在投标人已收到招标文件修改的通知，并受其约束。</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9.5 为使潜在投标人准备投标时有足够的时间对招标文件的修改部分进行研究，采购代理机构有权决定是否延长投标截止期。</w:t>
      </w:r>
    </w:p>
    <w:p>
      <w:pPr>
        <w:widowControl/>
        <w:snapToGrid w:val="0"/>
        <w:spacing w:line="400" w:lineRule="exact"/>
        <w:ind w:firstLine="562" w:firstLineChars="200"/>
        <w:textAlignment w:val="auto"/>
        <w:rPr>
          <w:rFonts w:ascii="宋体" w:hAnsi="宋体" w:cs="宋体"/>
          <w:b/>
          <w:bCs/>
          <w:kern w:val="20"/>
          <w:sz w:val="28"/>
          <w:szCs w:val="28"/>
          <w:lang w:val="zh-CN"/>
        </w:rPr>
      </w:pPr>
      <w:r>
        <w:rPr>
          <w:rFonts w:hint="eastAsia" w:ascii="宋体" w:hAnsi="宋体" w:cs="宋体"/>
          <w:b/>
          <w:bCs/>
          <w:sz w:val="28"/>
          <w:szCs w:val="28"/>
        </w:rPr>
        <w:t>三、投标文件的编制</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10.投标文件的语言和计量单位</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10.1 投标人提交的投标文件（包括技术文件和资料、图纸中的说明）以及投标人与采购代理机构就有关投标的所有来往函电均应使用中文简体字。</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10.2 原版为外文的证书类文件，以及由外国人作出的本人签名、外国公司的名称或外国印章等可以是外文，但应当提供中文翻译文件（可以是复印件）并加盖投标人公章。必要时评标委员会可以要求投标人提供附有公证书的中文翻译文件或者与原版文件签章相一致的中文翻译文件。在解释投标文件时，以中文翻译文件为准。</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10.3 投标文件中所使用的计量单位，除招标文件中有特殊要求外，应采用中华人民共和国法定计量单位。</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10.4 对违反上述规定情形的，评标委员会有权要求投标人限期提供相应合规文件或直接认定投标所提交的该部分文件</w:t>
      </w:r>
      <w:r>
        <w:rPr>
          <w:rFonts w:hint="eastAsia" w:ascii="宋体" w:hAnsi="宋体" w:eastAsia="宋体" w:cs="宋体"/>
          <w:b/>
          <w:bCs/>
          <w:color w:val="auto"/>
          <w:sz w:val="24"/>
          <w:szCs w:val="24"/>
        </w:rPr>
        <w:t>无效</w:t>
      </w:r>
      <w:r>
        <w:rPr>
          <w:rFonts w:hint="eastAsia" w:ascii="宋体" w:hAnsi="宋体" w:eastAsia="宋体" w:cs="宋体"/>
          <w:color w:val="auto"/>
          <w:sz w:val="24"/>
          <w:szCs w:val="24"/>
        </w:rPr>
        <w:t>。</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11.投标文件的组成</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11.1 投标文件分为商务部分和技术部分。商务部分指投标人提交的证明其有资格参加投标和中标后有能力履行合同的文件。技术部分指投标人提交的能够证明投标人提供的服务符合招标文件规定的文件。</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11.2 投标人应按招标文件</w:t>
      </w:r>
      <w:r>
        <w:rPr>
          <w:rFonts w:hint="eastAsia" w:ascii="宋体" w:hAnsi="宋体" w:eastAsia="宋体" w:cs="宋体"/>
          <w:b/>
          <w:color w:val="auto"/>
          <w:sz w:val="24"/>
          <w:szCs w:val="24"/>
        </w:rPr>
        <w:t>第六章投标文件格式</w:t>
      </w:r>
      <w:r>
        <w:rPr>
          <w:rFonts w:hint="eastAsia" w:ascii="宋体" w:hAnsi="宋体" w:eastAsia="宋体" w:cs="宋体"/>
          <w:color w:val="auto"/>
          <w:sz w:val="24"/>
          <w:szCs w:val="24"/>
        </w:rPr>
        <w:t>顺序及要求编制投标文件。</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12.投标内容填写说明</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12.1 投标人应详细阅读招标文件的全部内容。投标文件须对招标文件中的内容做出实质性和完整的响应，如果投标文件填报的内容资料不详，或没有提供招标文件中所要求的全部资料及数据，将被视为投标文件完整性</w:t>
      </w:r>
      <w:r>
        <w:rPr>
          <w:rFonts w:hint="eastAsia" w:ascii="宋体" w:hAnsi="宋体" w:eastAsia="宋体" w:cs="宋体"/>
          <w:b/>
          <w:bCs/>
          <w:color w:val="auto"/>
          <w:sz w:val="24"/>
          <w:szCs w:val="24"/>
        </w:rPr>
        <w:t>有缺陷</w:t>
      </w:r>
      <w:r>
        <w:rPr>
          <w:rFonts w:hint="eastAsia" w:ascii="宋体" w:hAnsi="宋体" w:eastAsia="宋体" w:cs="宋体"/>
          <w:color w:val="auto"/>
          <w:sz w:val="24"/>
          <w:szCs w:val="24"/>
        </w:rPr>
        <w:t>。</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12.2 除可填报内容外，对投标函内容的任何实质性修改将被视为非实质性响应投标，该投标将被</w:t>
      </w:r>
      <w:r>
        <w:rPr>
          <w:rFonts w:hint="eastAsia" w:ascii="宋体" w:hAnsi="宋体" w:eastAsia="宋体" w:cs="宋体"/>
          <w:b/>
          <w:bCs/>
          <w:color w:val="auto"/>
          <w:sz w:val="24"/>
          <w:szCs w:val="24"/>
        </w:rPr>
        <w:t>拒绝</w:t>
      </w:r>
      <w:r>
        <w:rPr>
          <w:rFonts w:hint="eastAsia" w:ascii="宋体" w:hAnsi="宋体" w:eastAsia="宋体" w:cs="宋体"/>
          <w:color w:val="auto"/>
          <w:sz w:val="24"/>
          <w:szCs w:val="24"/>
        </w:rPr>
        <w:t>。</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12.3 投标文件应按照招标文件的格式逐项填写，无相应内容可填的项应填写“无”“未测试”“没有相应指标”等明确的回答文字。</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12.4 开标一览表为在开标现场上唱标所需的材料，按内容要求统一填写，不得自行增减内容。</w:t>
      </w:r>
    </w:p>
    <w:p>
      <w:pPr>
        <w:pStyle w:val="41"/>
        <w:adjustRightInd w:val="0"/>
        <w:snapToGrid w:val="0"/>
        <w:spacing w:before="0" w:after="0" w:line="400" w:lineRule="exact"/>
        <w:ind w:firstLine="424" w:firstLineChars="177"/>
        <w:jc w:val="both"/>
        <w:rPr>
          <w:rFonts w:ascii="宋体" w:hAnsi="宋体" w:eastAsia="宋体" w:cs="宋体"/>
          <w:color w:val="auto"/>
          <w:sz w:val="24"/>
          <w:szCs w:val="24"/>
        </w:rPr>
      </w:pPr>
      <w:r>
        <w:rPr>
          <w:rFonts w:hint="eastAsia" w:ascii="宋体" w:hAnsi="宋体" w:eastAsia="宋体" w:cs="宋体"/>
          <w:color w:val="auto"/>
          <w:sz w:val="24"/>
          <w:szCs w:val="24"/>
        </w:rPr>
        <w:t>12.5 投标人必须保证投标文件所提供的全部资料真实可靠，并接受评标委员会对其中任何资料进一步审查原件的要求。</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13.投标文件装订要求</w:t>
      </w:r>
    </w:p>
    <w:p>
      <w:pPr>
        <w:pStyle w:val="41"/>
        <w:adjustRightInd w:val="0"/>
        <w:snapToGrid w:val="0"/>
        <w:spacing w:before="0" w:after="0" w:line="400" w:lineRule="exact"/>
        <w:ind w:firstLine="424" w:firstLineChars="177"/>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13.1 投标</w:t>
      </w:r>
      <w:r>
        <w:rPr>
          <w:rFonts w:hint="eastAsia" w:ascii="宋体" w:hAnsi="宋体" w:eastAsia="宋体" w:cs="宋体"/>
          <w:color w:val="auto"/>
          <w:sz w:val="24"/>
          <w:szCs w:val="24"/>
        </w:rPr>
        <w:t>文件</w:t>
      </w:r>
      <w:r>
        <w:rPr>
          <w:rFonts w:hint="eastAsia" w:ascii="宋体" w:hAnsi="宋体" w:eastAsia="宋体" w:cs="宋体"/>
          <w:color w:val="auto"/>
          <w:sz w:val="24"/>
          <w:szCs w:val="24"/>
          <w:lang w:val="en-US"/>
        </w:rPr>
        <w:t>规格幅面应与招标文件正文一致，建议行文使用宋体小四号字。</w:t>
      </w:r>
    </w:p>
    <w:p>
      <w:pPr>
        <w:pStyle w:val="41"/>
        <w:adjustRightInd w:val="0"/>
        <w:snapToGrid w:val="0"/>
        <w:spacing w:before="0" w:after="0" w:line="400" w:lineRule="exact"/>
        <w:ind w:firstLine="424" w:firstLineChars="177"/>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13.2 投标</w:t>
      </w:r>
      <w:r>
        <w:rPr>
          <w:rFonts w:hint="eastAsia" w:ascii="宋体" w:hAnsi="宋体" w:eastAsia="宋体" w:cs="宋体"/>
          <w:color w:val="auto"/>
          <w:sz w:val="24"/>
          <w:szCs w:val="24"/>
        </w:rPr>
        <w:t>文件</w:t>
      </w:r>
      <w:r>
        <w:rPr>
          <w:rFonts w:hint="eastAsia" w:ascii="宋体" w:hAnsi="宋体" w:eastAsia="宋体" w:cs="宋体"/>
          <w:color w:val="auto"/>
          <w:sz w:val="24"/>
          <w:szCs w:val="24"/>
          <w:lang w:val="en-US"/>
        </w:rPr>
        <w:t>按照招标文件中</w:t>
      </w:r>
      <w:r>
        <w:rPr>
          <w:rFonts w:hint="eastAsia" w:ascii="宋体" w:hAnsi="宋体" w:eastAsia="宋体" w:cs="宋体"/>
          <w:b/>
          <w:bCs/>
          <w:color w:val="auto"/>
          <w:sz w:val="24"/>
          <w:szCs w:val="24"/>
          <w:lang w:val="en-US"/>
        </w:rPr>
        <w:t>第六章</w:t>
      </w:r>
      <w:r>
        <w:rPr>
          <w:rFonts w:hint="eastAsia" w:ascii="宋体" w:hAnsi="宋体" w:eastAsia="宋体" w:cs="宋体"/>
          <w:color w:val="auto"/>
          <w:sz w:val="24"/>
          <w:szCs w:val="24"/>
          <w:lang w:val="en-US"/>
        </w:rPr>
        <w:t>规定的顺序，统一编目编码装订成册并编制目录。由于编排混乱导致投标文件被误读或查找不到，责任应当由投标人承担。</w:t>
      </w:r>
    </w:p>
    <w:p>
      <w:pPr>
        <w:pStyle w:val="41"/>
        <w:adjustRightInd w:val="0"/>
        <w:snapToGrid w:val="0"/>
        <w:spacing w:before="0" w:after="0" w:line="400" w:lineRule="exact"/>
        <w:ind w:firstLine="424" w:firstLineChars="177"/>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13.3 投标</w:t>
      </w:r>
      <w:r>
        <w:rPr>
          <w:rFonts w:hint="eastAsia" w:ascii="宋体" w:hAnsi="宋体" w:eastAsia="宋体" w:cs="宋体"/>
          <w:color w:val="auto"/>
          <w:sz w:val="24"/>
          <w:szCs w:val="24"/>
        </w:rPr>
        <w:t>文件</w:t>
      </w:r>
      <w:r>
        <w:rPr>
          <w:rFonts w:hint="eastAsia" w:ascii="宋体" w:hAnsi="宋体" w:eastAsia="宋体" w:cs="宋体"/>
          <w:color w:val="auto"/>
          <w:sz w:val="24"/>
          <w:szCs w:val="24"/>
          <w:lang w:val="en-US"/>
        </w:rPr>
        <w:t>装订须采用胶装方式，不得采用活页装订。</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14. 投标报价</w:t>
      </w:r>
    </w:p>
    <w:p>
      <w:pPr>
        <w:widowControl/>
        <w:adjustRightInd/>
        <w:snapToGrid w:val="0"/>
        <w:spacing w:before="40" w:after="160" w:line="400" w:lineRule="exact"/>
        <w:ind w:firstLine="422" w:firstLineChars="176"/>
        <w:jc w:val="both"/>
        <w:textAlignment w:val="auto"/>
        <w:rPr>
          <w:rFonts w:ascii="宋体" w:hAnsi="宋体" w:cs="宋体"/>
          <w:kern w:val="20"/>
        </w:rPr>
      </w:pPr>
      <w:r>
        <w:rPr>
          <w:rFonts w:hint="eastAsia" w:ascii="宋体" w:hAnsi="宋体" w:cs="宋体"/>
          <w:kern w:val="20"/>
        </w:rPr>
        <w:t>14.1 所有投标报价均以人民币元为计算单位，投标人的投标价应遵守《中华人民共和国价格法》。</w:t>
      </w:r>
    </w:p>
    <w:p>
      <w:pPr>
        <w:widowControl/>
        <w:adjustRightInd/>
        <w:snapToGrid w:val="0"/>
        <w:spacing w:before="40" w:after="160" w:line="400" w:lineRule="exact"/>
        <w:ind w:firstLine="422" w:firstLineChars="176"/>
        <w:jc w:val="both"/>
        <w:textAlignment w:val="auto"/>
        <w:rPr>
          <w:rFonts w:ascii="宋体" w:hAnsi="宋体" w:cs="宋体"/>
          <w:kern w:val="20"/>
        </w:rPr>
      </w:pPr>
      <w:r>
        <w:rPr>
          <w:rFonts w:hint="eastAsia" w:ascii="宋体" w:hAnsi="宋体" w:cs="宋体"/>
          <w:kern w:val="20"/>
        </w:rPr>
        <w:t>14.2 投标人的投标报价应以货到项目现场为基础。</w:t>
      </w:r>
    </w:p>
    <w:p>
      <w:pPr>
        <w:widowControl/>
        <w:adjustRightInd/>
        <w:snapToGrid w:val="0"/>
        <w:spacing w:before="40" w:after="160" w:line="400" w:lineRule="exact"/>
        <w:ind w:firstLine="422" w:firstLineChars="176"/>
        <w:jc w:val="both"/>
        <w:textAlignment w:val="auto"/>
        <w:rPr>
          <w:rFonts w:ascii="宋体" w:hAnsi="宋体" w:cs="宋体"/>
          <w:kern w:val="20"/>
        </w:rPr>
      </w:pPr>
      <w:r>
        <w:rPr>
          <w:rFonts w:hint="eastAsia" w:ascii="宋体" w:hAnsi="宋体" w:cs="宋体"/>
          <w:kern w:val="20"/>
        </w:rPr>
        <w:t>14.2.1国产产品投标报价为项目现场价，报价应被视为已经包含了各项购买货物及其运送、安装、调试、验收、保险和相关服务等的费用和所需缴纳的所有价格、税、费。</w:t>
      </w:r>
    </w:p>
    <w:p>
      <w:pPr>
        <w:widowControl/>
        <w:adjustRightInd/>
        <w:snapToGrid w:val="0"/>
        <w:spacing w:before="40" w:after="160" w:line="400" w:lineRule="exact"/>
        <w:ind w:firstLine="422" w:firstLineChars="176"/>
        <w:jc w:val="both"/>
        <w:textAlignment w:val="auto"/>
        <w:rPr>
          <w:rFonts w:ascii="宋体" w:hAnsi="宋体" w:cs="宋体"/>
          <w:kern w:val="20"/>
        </w:rPr>
      </w:pPr>
      <w:r>
        <w:rPr>
          <w:rFonts w:hint="eastAsia" w:ascii="宋体" w:hAnsi="宋体" w:cs="宋体"/>
          <w:kern w:val="20"/>
        </w:rPr>
        <w:t>14.2.2在中华人民共和国境内提供的进口货物及其有关服务的报价应包括要向中华人民共和国政府缴纳的关税、增值税和其他税金；从中华人民共和国境外提供的进口货物报价为所采购设备的出厂价、境外运输费、保险费、外贸相关费用（外贸相关费用必须包含进口代理服务费、内陆运保费、银行费和通关服务费等，按《清华大学免税合同“外贸相关费用”比例统计表》中列明的固定比例估算，其中进口代理费按固定比例收取，详见“清华大学进口代理服务费收取比例表”；内陆运保费、银行费、通关服务费及杂费等按实际发生费用为准）等其他伴随费用之和，符合科技创新进口税收政策的关境外进口货物，投标报价中可以不包含向中华人民共和国政府交纳的关税、进口环节增值税等，投标报价为货到用户指定地点的免税价。为方便评标，所有价格内容应在分项报价表中分别列出。进口代理公司由清华大学指定。</w:t>
      </w:r>
    </w:p>
    <w:p>
      <w:pPr>
        <w:widowControl/>
        <w:adjustRightInd/>
        <w:snapToGrid w:val="0"/>
        <w:spacing w:before="40" w:after="160" w:line="400" w:lineRule="exact"/>
        <w:ind w:firstLine="422" w:firstLineChars="176"/>
        <w:jc w:val="both"/>
        <w:textAlignment w:val="auto"/>
        <w:rPr>
          <w:rFonts w:ascii="宋体" w:hAnsi="宋体" w:cs="宋体"/>
          <w:kern w:val="20"/>
        </w:rPr>
      </w:pPr>
      <w:r>
        <w:rPr>
          <w:rFonts w:hint="eastAsia" w:ascii="宋体" w:hAnsi="宋体" w:cs="宋体"/>
          <w:kern w:val="20"/>
        </w:rPr>
        <w:t>临时特别条款：</w:t>
      </w:r>
    </w:p>
    <w:p>
      <w:pPr>
        <w:widowControl/>
        <w:adjustRightInd/>
        <w:snapToGrid w:val="0"/>
        <w:spacing w:before="40" w:after="160" w:line="400" w:lineRule="exact"/>
        <w:ind w:firstLine="422" w:firstLineChars="176"/>
        <w:jc w:val="both"/>
        <w:textAlignment w:val="auto"/>
        <w:rPr>
          <w:rFonts w:ascii="宋体" w:hAnsi="宋体" w:cs="宋体"/>
          <w:kern w:val="20"/>
        </w:rPr>
      </w:pPr>
      <w:r>
        <w:rPr>
          <w:rFonts w:hint="eastAsia" w:ascii="宋体" w:hAnsi="宋体" w:cs="宋体"/>
          <w:kern w:val="20"/>
        </w:rPr>
        <w:t>投标人所提供的货物如果原产于美国，投标报价中还必须包括加征关税。加征关税的商品清单及税率以国务院税则委员会发布的最新有效公告为准。投标人应当在附件中的“开标一览表”和“投标分项报价表（关境外产品）”中，清晰注明商品编码、加征税率、加征税率的出处等必要信息。</w:t>
      </w:r>
    </w:p>
    <w:p>
      <w:pPr>
        <w:widowControl/>
        <w:adjustRightInd/>
        <w:snapToGrid w:val="0"/>
        <w:spacing w:before="40" w:after="160" w:line="400" w:lineRule="exact"/>
        <w:ind w:firstLine="422" w:firstLineChars="176"/>
        <w:jc w:val="both"/>
        <w:textAlignment w:val="auto"/>
        <w:rPr>
          <w:rFonts w:ascii="宋体" w:hAnsi="宋体" w:cs="宋体"/>
          <w:kern w:val="20"/>
        </w:rPr>
      </w:pPr>
      <w:r>
        <w:rPr>
          <w:rFonts w:hint="eastAsia" w:ascii="宋体" w:hAnsi="宋体" w:cs="宋体"/>
          <w:kern w:val="20"/>
        </w:rPr>
        <w:t>14.3 投标人投报多包的，应对每包分别报价并分别填报开标一览表。</w:t>
      </w:r>
    </w:p>
    <w:p>
      <w:pPr>
        <w:widowControl/>
        <w:adjustRightInd/>
        <w:snapToGrid w:val="0"/>
        <w:spacing w:before="40" w:after="160" w:line="400" w:lineRule="exact"/>
        <w:ind w:firstLine="422" w:firstLineChars="176"/>
        <w:jc w:val="both"/>
        <w:textAlignment w:val="auto"/>
        <w:rPr>
          <w:rFonts w:ascii="宋体" w:hAnsi="宋体" w:cs="宋体"/>
          <w:kern w:val="20"/>
        </w:rPr>
      </w:pPr>
      <w:r>
        <w:rPr>
          <w:rFonts w:hint="eastAsia" w:ascii="宋体" w:hAnsi="宋体" w:cs="宋体"/>
          <w:kern w:val="20"/>
        </w:rPr>
        <w:t>14.4 本次招标是否接受可选择或可调整的投标和报价，详见投标人须知前附表。如果本次招标不接受可选择或可调整的投标方案和报价，任何有选择的或可调整的投标方案和报价将被视为非实质性响应性投标而被拒绝。</w:t>
      </w:r>
    </w:p>
    <w:p>
      <w:pPr>
        <w:widowControl/>
        <w:adjustRightInd/>
        <w:snapToGrid w:val="0"/>
        <w:spacing w:before="40" w:after="160" w:line="400" w:lineRule="exact"/>
        <w:ind w:firstLine="422" w:firstLineChars="176"/>
        <w:jc w:val="both"/>
        <w:textAlignment w:val="auto"/>
        <w:rPr>
          <w:rFonts w:ascii="宋体" w:hAnsi="宋体" w:cs="宋体"/>
          <w:kern w:val="20"/>
        </w:rPr>
      </w:pPr>
      <w:r>
        <w:rPr>
          <w:rFonts w:hint="eastAsia" w:ascii="宋体" w:hAnsi="宋体" w:cs="宋体"/>
          <w:kern w:val="20"/>
        </w:rPr>
        <w:t>14.5 投标人要按第六章投标文件格式的内容填写货物单价、总价及其他事项，并由法定代表人或投标人代表签署。开标一览表中价格填报处不应有空白，如无费用可填报“0”。</w:t>
      </w:r>
    </w:p>
    <w:p>
      <w:pPr>
        <w:widowControl/>
        <w:adjustRightInd/>
        <w:snapToGrid w:val="0"/>
        <w:spacing w:before="40" w:after="160" w:line="400" w:lineRule="exact"/>
        <w:ind w:firstLine="422" w:firstLineChars="176"/>
        <w:jc w:val="both"/>
        <w:textAlignment w:val="auto"/>
        <w:rPr>
          <w:rFonts w:ascii="宋体" w:hAnsi="宋体" w:cs="宋体"/>
          <w:kern w:val="20"/>
        </w:rPr>
      </w:pPr>
      <w:r>
        <w:rPr>
          <w:rFonts w:hint="eastAsia" w:ascii="宋体" w:hAnsi="宋体" w:cs="宋体"/>
          <w:kern w:val="20"/>
        </w:rPr>
        <w:t>14.6 投标人对投标报价若有说明应在开标一览表显著处注明，只有开标时唱出的报价和优惠才会在评标时予以考虑。</w:t>
      </w:r>
    </w:p>
    <w:p>
      <w:pPr>
        <w:widowControl/>
        <w:adjustRightInd/>
        <w:snapToGrid w:val="0"/>
        <w:spacing w:before="40" w:after="160" w:line="400" w:lineRule="exact"/>
        <w:ind w:firstLine="422" w:firstLineChars="176"/>
        <w:jc w:val="both"/>
        <w:textAlignment w:val="auto"/>
        <w:rPr>
          <w:rFonts w:ascii="宋体" w:hAnsi="宋体" w:cs="宋体"/>
          <w:kern w:val="20"/>
        </w:rPr>
      </w:pPr>
      <w:r>
        <w:rPr>
          <w:rFonts w:hint="eastAsia" w:ascii="宋体" w:hAnsi="宋体" w:cs="宋体"/>
          <w:kern w:val="20"/>
        </w:rPr>
        <w:t>14.7 投标的报价优惠须对应开标一览表、投标货物数量价格表等提供相应的明细清单。除报价优惠外，任何超出招标文件要求而额外赠送的货物、免费培训等其他形式的优惠，在评标时将不具有竞争优势。</w:t>
      </w:r>
    </w:p>
    <w:p>
      <w:pPr>
        <w:widowControl/>
        <w:adjustRightInd/>
        <w:snapToGrid w:val="0"/>
        <w:spacing w:before="40" w:after="160" w:line="400" w:lineRule="exact"/>
        <w:ind w:firstLine="422" w:firstLineChars="176"/>
        <w:jc w:val="both"/>
        <w:textAlignment w:val="auto"/>
        <w:rPr>
          <w:rFonts w:ascii="宋体" w:hAnsi="宋体" w:cs="宋体"/>
          <w:kern w:val="20"/>
        </w:rPr>
      </w:pPr>
      <w:r>
        <w:rPr>
          <w:rFonts w:hint="eastAsia" w:ascii="宋体" w:hAnsi="宋体" w:cs="宋体"/>
          <w:kern w:val="20"/>
        </w:rPr>
        <w:t>14.8 对于有配件、耗材、选件和特殊工具的货物，还应填报投标货物配件、耗材、选件表和备件及特殊工具清单，注明品牌、型号、产地、功能、单价、批量折扣等内容，该表格式由投标人自行设计，并按要求分类报价。</w:t>
      </w:r>
    </w:p>
    <w:p>
      <w:pPr>
        <w:widowControl/>
        <w:snapToGrid w:val="0"/>
        <w:spacing w:line="400" w:lineRule="exact"/>
        <w:ind w:firstLine="422" w:firstLineChars="176"/>
        <w:jc w:val="both"/>
        <w:textAlignment w:val="auto"/>
        <w:rPr>
          <w:rFonts w:ascii="宋体" w:hAnsi="宋体" w:cs="宋体"/>
          <w:kern w:val="20"/>
        </w:rPr>
      </w:pPr>
      <w:r>
        <w:rPr>
          <w:rFonts w:hint="eastAsia" w:ascii="宋体" w:hAnsi="宋体" w:cs="宋体"/>
          <w:kern w:val="20"/>
        </w:rPr>
        <w:t>14.9 投标报价中不得缺漏招标文件中要求的内容，否则评标时将有效投标中该项内容的最高价计入其投标总价并进行价格评审。</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15.投标保证金</w:t>
      </w:r>
    </w:p>
    <w:p>
      <w:pPr>
        <w:pStyle w:val="41"/>
        <w:adjustRightInd w:val="0"/>
        <w:snapToGrid w:val="0"/>
        <w:spacing w:before="0" w:after="0" w:line="400" w:lineRule="exact"/>
        <w:ind w:firstLine="424" w:firstLineChars="177"/>
        <w:jc w:val="both"/>
        <w:rPr>
          <w:rFonts w:ascii="宋体" w:hAnsi="宋体" w:eastAsia="宋体" w:cs="宋体"/>
          <w:bCs/>
          <w:color w:val="auto"/>
          <w:sz w:val="24"/>
          <w:szCs w:val="24"/>
          <w:lang w:val="en-US"/>
        </w:rPr>
      </w:pPr>
      <w:r>
        <w:rPr>
          <w:rFonts w:hint="eastAsia" w:ascii="宋体" w:hAnsi="宋体" w:eastAsia="宋体" w:cs="宋体"/>
          <w:bCs/>
          <w:color w:val="auto"/>
          <w:sz w:val="24"/>
          <w:szCs w:val="24"/>
          <w:lang w:val="en-US"/>
        </w:rPr>
        <w:t xml:space="preserve">15.1 </w:t>
      </w:r>
      <w:r>
        <w:rPr>
          <w:rFonts w:hint="eastAsia" w:ascii="宋体" w:hAnsi="宋体" w:eastAsia="宋体" w:cs="宋体"/>
          <w:color w:val="auto"/>
          <w:sz w:val="24"/>
          <w:szCs w:val="24"/>
        </w:rPr>
        <w:t>投标人</w:t>
      </w:r>
      <w:r>
        <w:rPr>
          <w:rFonts w:hint="eastAsia" w:ascii="宋体" w:hAnsi="宋体" w:eastAsia="宋体" w:cs="宋体"/>
          <w:bCs/>
          <w:color w:val="auto"/>
          <w:sz w:val="24"/>
          <w:szCs w:val="24"/>
          <w:lang w:val="en-US"/>
        </w:rPr>
        <w:t>应按“</w:t>
      </w:r>
      <w:r>
        <w:rPr>
          <w:rFonts w:hint="eastAsia" w:ascii="宋体" w:hAnsi="宋体" w:eastAsia="宋体" w:cs="宋体"/>
          <w:b/>
          <w:bCs/>
          <w:color w:val="auto"/>
          <w:sz w:val="24"/>
          <w:szCs w:val="24"/>
          <w:lang w:val="en-US"/>
        </w:rPr>
        <w:t>投标人须知前附表</w:t>
      </w:r>
      <w:r>
        <w:rPr>
          <w:rFonts w:hint="eastAsia" w:ascii="宋体" w:hAnsi="宋体" w:eastAsia="宋体" w:cs="宋体"/>
          <w:bCs/>
          <w:color w:val="auto"/>
          <w:sz w:val="24"/>
          <w:szCs w:val="24"/>
          <w:lang w:val="en-US"/>
        </w:rPr>
        <w:t>”的规定金额提交投标保证金，并作为其投标的一部分。</w:t>
      </w:r>
    </w:p>
    <w:p>
      <w:pPr>
        <w:pStyle w:val="41"/>
        <w:adjustRightInd w:val="0"/>
        <w:snapToGrid w:val="0"/>
        <w:spacing w:before="0" w:after="0" w:line="400" w:lineRule="exact"/>
        <w:ind w:firstLine="424" w:firstLineChars="177"/>
        <w:jc w:val="both"/>
        <w:rPr>
          <w:rFonts w:ascii="宋体" w:hAnsi="宋体" w:eastAsia="宋体" w:cs="宋体"/>
          <w:bCs/>
          <w:color w:val="auto"/>
          <w:sz w:val="24"/>
          <w:szCs w:val="24"/>
          <w:lang w:val="en-US"/>
        </w:rPr>
      </w:pPr>
      <w:r>
        <w:rPr>
          <w:rFonts w:hint="eastAsia" w:ascii="宋体" w:hAnsi="宋体" w:eastAsia="宋体" w:cs="宋体"/>
          <w:bCs/>
          <w:color w:val="auto"/>
          <w:sz w:val="24"/>
          <w:szCs w:val="24"/>
          <w:lang w:val="en-US"/>
        </w:rPr>
        <w:t>15.2 发生下列情形之一的，投标保证金将不予退还：</w:t>
      </w:r>
    </w:p>
    <w:p>
      <w:pPr>
        <w:snapToGrid w:val="0"/>
        <w:spacing w:line="400" w:lineRule="exact"/>
        <w:ind w:firstLine="424" w:firstLineChars="177"/>
        <w:rPr>
          <w:rFonts w:ascii="宋体" w:hAnsi="宋体" w:cs="宋体"/>
        </w:rPr>
      </w:pPr>
      <w:r>
        <w:rPr>
          <w:rFonts w:hint="eastAsia" w:ascii="宋体" w:hAnsi="宋体" w:cs="宋体"/>
        </w:rPr>
        <w:t>（1）在开标之日后到投标有效期满前，投标人擅自撤回投标的；</w:t>
      </w:r>
    </w:p>
    <w:p>
      <w:pPr>
        <w:snapToGrid w:val="0"/>
        <w:spacing w:line="400" w:lineRule="exact"/>
        <w:ind w:firstLine="424" w:firstLineChars="177"/>
        <w:rPr>
          <w:rFonts w:ascii="宋体" w:hAnsi="宋体" w:cs="宋体"/>
        </w:rPr>
      </w:pPr>
      <w:r>
        <w:rPr>
          <w:rFonts w:hint="eastAsia" w:ascii="宋体" w:hAnsi="宋体" w:cs="宋体"/>
        </w:rPr>
        <w:t>（2）中标供应商不按本须知</w:t>
      </w:r>
      <w:r>
        <w:rPr>
          <w:rFonts w:hint="eastAsia" w:ascii="宋体" w:hAnsi="宋体" w:cs="宋体"/>
          <w:b/>
        </w:rPr>
        <w:t>第31条</w:t>
      </w:r>
      <w:r>
        <w:rPr>
          <w:rFonts w:hint="eastAsia" w:ascii="宋体" w:hAnsi="宋体" w:cs="宋体"/>
        </w:rPr>
        <w:t>的规定与买方签订合同的；</w:t>
      </w:r>
    </w:p>
    <w:p>
      <w:pPr>
        <w:snapToGrid w:val="0"/>
        <w:spacing w:line="400" w:lineRule="exact"/>
        <w:ind w:firstLine="424" w:firstLineChars="177"/>
        <w:rPr>
          <w:rFonts w:ascii="宋体" w:hAnsi="宋体" w:cs="宋体"/>
        </w:rPr>
      </w:pPr>
      <w:r>
        <w:rPr>
          <w:rFonts w:hint="eastAsia" w:ascii="宋体" w:hAnsi="宋体" w:cs="宋体"/>
        </w:rPr>
        <w:t>（3）中标供应商不按</w:t>
      </w:r>
      <w:r>
        <w:rPr>
          <w:rFonts w:hint="eastAsia" w:ascii="宋体" w:hAnsi="宋体" w:cs="宋体"/>
          <w:b/>
        </w:rPr>
        <w:t>“投标人须知前附表”</w:t>
      </w:r>
      <w:r>
        <w:rPr>
          <w:rFonts w:hint="eastAsia" w:ascii="宋体" w:hAnsi="宋体" w:cs="宋体"/>
        </w:rPr>
        <w:t>交纳履约保证金；</w:t>
      </w:r>
    </w:p>
    <w:p>
      <w:pPr>
        <w:snapToGrid w:val="0"/>
        <w:spacing w:line="400" w:lineRule="exact"/>
        <w:ind w:firstLine="424" w:firstLineChars="177"/>
        <w:rPr>
          <w:rFonts w:ascii="宋体" w:hAnsi="宋体" w:cs="宋体"/>
        </w:rPr>
      </w:pPr>
      <w:r>
        <w:rPr>
          <w:rFonts w:hint="eastAsia" w:ascii="宋体" w:hAnsi="宋体" w:cs="宋体"/>
        </w:rPr>
        <w:t>（4）中标供应商不按</w:t>
      </w:r>
      <w:r>
        <w:rPr>
          <w:rFonts w:hint="eastAsia" w:ascii="宋体" w:hAnsi="宋体" w:cs="宋体"/>
          <w:b/>
        </w:rPr>
        <w:t>“投标人须知前附表”</w:t>
      </w:r>
      <w:r>
        <w:rPr>
          <w:rFonts w:hint="eastAsia" w:ascii="宋体" w:hAnsi="宋体" w:cs="宋体"/>
        </w:rPr>
        <w:t>交纳中标服务费的。</w:t>
      </w:r>
    </w:p>
    <w:p>
      <w:pPr>
        <w:snapToGrid w:val="0"/>
        <w:spacing w:line="400" w:lineRule="exact"/>
        <w:ind w:firstLine="424" w:firstLineChars="177"/>
        <w:jc w:val="both"/>
        <w:textAlignment w:val="auto"/>
        <w:rPr>
          <w:rFonts w:ascii="宋体" w:hAnsi="宋体" w:cs="宋体"/>
        </w:rPr>
      </w:pPr>
      <w:r>
        <w:rPr>
          <w:rFonts w:hint="eastAsia" w:ascii="宋体" w:hAnsi="宋体" w:cs="宋体"/>
        </w:rPr>
        <w:t>15.3 凡没有根据本须知</w:t>
      </w:r>
      <w:r>
        <w:rPr>
          <w:rFonts w:hint="eastAsia" w:ascii="宋体" w:hAnsi="宋体" w:cs="宋体"/>
          <w:b/>
        </w:rPr>
        <w:t>第15.1条</w:t>
      </w:r>
      <w:r>
        <w:rPr>
          <w:rFonts w:hint="eastAsia" w:ascii="宋体" w:hAnsi="宋体" w:cs="宋体"/>
        </w:rPr>
        <w:t>规定，随附投标保证金的投标，将被视为非实质性响应投标而予以</w:t>
      </w:r>
      <w:r>
        <w:rPr>
          <w:rFonts w:hint="eastAsia" w:ascii="宋体" w:hAnsi="宋体" w:cs="宋体"/>
          <w:b/>
        </w:rPr>
        <w:t>拒绝</w:t>
      </w:r>
      <w:r>
        <w:rPr>
          <w:rFonts w:hint="eastAsia" w:ascii="宋体" w:hAnsi="宋体" w:cs="宋体"/>
        </w:rPr>
        <w:t>。</w:t>
      </w:r>
    </w:p>
    <w:p>
      <w:pPr>
        <w:snapToGrid w:val="0"/>
        <w:spacing w:line="400" w:lineRule="exact"/>
        <w:ind w:firstLine="424" w:firstLineChars="177"/>
        <w:jc w:val="both"/>
        <w:textAlignment w:val="auto"/>
        <w:rPr>
          <w:rFonts w:ascii="宋体" w:hAnsi="宋体" w:cs="宋体"/>
          <w:bCs/>
        </w:rPr>
      </w:pPr>
      <w:r>
        <w:rPr>
          <w:rFonts w:hint="eastAsia" w:ascii="宋体" w:hAnsi="宋体" w:cs="宋体"/>
          <w:bCs/>
        </w:rPr>
        <w:t>15.4 中标供应商的投标保证金，在与买方签订合同并交纳履约保证金（如需交纳）后5个工作日内由采购代理机构开始办理退还手续；未中标的投标人的投标保证金将于中标通知书发出之日起5个工作日内由采购代理机构开始办理退还手续。</w:t>
      </w:r>
    </w:p>
    <w:p>
      <w:pPr>
        <w:snapToGrid w:val="0"/>
        <w:spacing w:line="400" w:lineRule="exact"/>
        <w:ind w:firstLine="424" w:firstLineChars="177"/>
        <w:jc w:val="both"/>
        <w:textAlignment w:val="auto"/>
        <w:rPr>
          <w:rFonts w:ascii="宋体" w:hAnsi="宋体" w:cs="宋体"/>
        </w:rPr>
      </w:pPr>
      <w:r>
        <w:rPr>
          <w:rFonts w:hint="eastAsia" w:ascii="宋体" w:hAnsi="宋体" w:cs="宋体"/>
          <w:bCs/>
        </w:rPr>
        <w:t xml:space="preserve">15.5 </w:t>
      </w:r>
      <w:r>
        <w:rPr>
          <w:rFonts w:hint="eastAsia" w:ascii="宋体" w:hAnsi="宋体" w:cs="宋体"/>
        </w:rPr>
        <w:t>投标人在投标截止时间前撤回已提交的投标文件的，采购代理机构应当自收到投标人书面撤回通知之日起5个工作日内，退还已收取的投标保证金，但因投标人自身原因导致无法及时退还的除外。</w:t>
      </w:r>
    </w:p>
    <w:p>
      <w:pPr>
        <w:snapToGrid w:val="0"/>
        <w:spacing w:line="400" w:lineRule="exact"/>
        <w:ind w:firstLine="424" w:firstLineChars="177"/>
        <w:jc w:val="both"/>
        <w:textAlignment w:val="auto"/>
        <w:rPr>
          <w:rFonts w:ascii="宋体" w:hAnsi="宋体" w:cs="宋体"/>
          <w:bCs/>
        </w:rPr>
      </w:pPr>
      <w:r>
        <w:rPr>
          <w:rFonts w:hint="eastAsia" w:ascii="宋体" w:hAnsi="宋体" w:cs="宋体"/>
          <w:bCs/>
        </w:rPr>
        <w:t xml:space="preserve">15.6 </w:t>
      </w:r>
      <w:r>
        <w:rPr>
          <w:rFonts w:hint="eastAsia" w:ascii="宋体" w:hAnsi="宋体" w:cs="宋体"/>
        </w:rPr>
        <w:t>采购人或者采购代理机构逾期退还投标保证金的，除应当退还投标保证金本金外，还应当按中国人民银行同期贷款基准利率上浮</w:t>
      </w:r>
      <w:r>
        <w:rPr>
          <w:rFonts w:hint="eastAsia" w:ascii="宋体" w:hAnsi="宋体" w:cs="宋体"/>
          <w:bCs/>
        </w:rPr>
        <w:t>20</w:t>
      </w:r>
      <w:r>
        <w:rPr>
          <w:rFonts w:hint="eastAsia" w:ascii="宋体" w:hAnsi="宋体" w:cs="宋体"/>
        </w:rPr>
        <w:t>％后的利率支付超期资金占用费，但因投标人自身原因导致无法及时退还的除外。</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16.投标文件的有效期</w:t>
      </w:r>
    </w:p>
    <w:p>
      <w:pPr>
        <w:snapToGrid w:val="0"/>
        <w:spacing w:line="400" w:lineRule="exact"/>
        <w:ind w:firstLine="424" w:firstLineChars="177"/>
        <w:jc w:val="both"/>
        <w:textAlignment w:val="auto"/>
        <w:rPr>
          <w:rFonts w:ascii="宋体" w:hAnsi="宋体" w:cs="宋体"/>
        </w:rPr>
      </w:pPr>
      <w:r>
        <w:rPr>
          <w:rFonts w:hint="eastAsia" w:ascii="宋体" w:hAnsi="宋体" w:cs="宋体"/>
        </w:rPr>
        <w:t>16.1 投标文件的有效期详见</w:t>
      </w:r>
      <w:r>
        <w:rPr>
          <w:rFonts w:hint="eastAsia" w:ascii="宋体" w:hAnsi="宋体" w:cs="宋体"/>
          <w:b/>
          <w:bCs/>
        </w:rPr>
        <w:t>投标人须知前附表</w:t>
      </w:r>
      <w:r>
        <w:rPr>
          <w:rFonts w:hint="eastAsia" w:ascii="宋体" w:hAnsi="宋体" w:cs="宋体"/>
        </w:rPr>
        <w:t>，有效期不满足要求的投标将被</w:t>
      </w:r>
      <w:r>
        <w:rPr>
          <w:rFonts w:hint="eastAsia" w:ascii="宋体" w:hAnsi="宋体" w:cs="宋体"/>
          <w:b/>
          <w:bCs/>
        </w:rPr>
        <w:t>拒绝</w:t>
      </w:r>
      <w:r>
        <w:rPr>
          <w:rFonts w:hint="eastAsia" w:ascii="宋体" w:hAnsi="宋体" w:cs="宋体"/>
        </w:rPr>
        <w:t>。</w:t>
      </w:r>
    </w:p>
    <w:p>
      <w:pPr>
        <w:snapToGrid w:val="0"/>
        <w:spacing w:line="400" w:lineRule="exact"/>
        <w:ind w:firstLine="424" w:firstLineChars="177"/>
        <w:jc w:val="both"/>
        <w:textAlignment w:val="auto"/>
        <w:rPr>
          <w:rFonts w:ascii="宋体" w:hAnsi="宋体" w:cs="宋体"/>
        </w:rPr>
      </w:pPr>
      <w:r>
        <w:rPr>
          <w:rFonts w:hint="eastAsia" w:ascii="宋体" w:hAnsi="宋体" w:cs="宋体"/>
        </w:rPr>
        <w:t>16.2 在特殊情况下，采购代理机构可根据实际情况，在原投标文件有效期截止时间前，要求投标人同意延长投标文件的有效期。接受该要求的投标人将不会被要求和允许修正其投标，且本须知中有关投标保证金的要求将在延长了的有效期内继续有效。投标人可以拒绝采购代理机构的这种要求，其投标保证金将不会被没收。上述要求和答复都应以书面形式提交。</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17.投标文件的签署及规定</w:t>
      </w:r>
    </w:p>
    <w:p>
      <w:pPr>
        <w:snapToGrid w:val="0"/>
        <w:spacing w:line="400" w:lineRule="exact"/>
        <w:ind w:firstLine="424" w:firstLineChars="177"/>
        <w:jc w:val="both"/>
        <w:textAlignment w:val="auto"/>
        <w:rPr>
          <w:rFonts w:ascii="宋体" w:hAnsi="宋体" w:cs="宋体"/>
        </w:rPr>
      </w:pPr>
      <w:r>
        <w:rPr>
          <w:rFonts w:hint="eastAsia" w:ascii="宋体" w:hAnsi="宋体" w:cs="宋体"/>
        </w:rPr>
        <w:t>17.1 组成投标文件的各项文件均应遵守本条。</w:t>
      </w:r>
    </w:p>
    <w:p>
      <w:pPr>
        <w:snapToGrid w:val="0"/>
        <w:spacing w:line="400" w:lineRule="exact"/>
        <w:ind w:firstLine="424" w:firstLineChars="177"/>
        <w:jc w:val="both"/>
        <w:textAlignment w:val="auto"/>
        <w:rPr>
          <w:rFonts w:ascii="宋体" w:hAnsi="宋体" w:cs="宋体"/>
        </w:rPr>
      </w:pPr>
      <w:r>
        <w:rPr>
          <w:rFonts w:hint="eastAsia" w:ascii="宋体" w:hAnsi="宋体" w:cs="宋体"/>
        </w:rPr>
        <w:t>17.2 投标人应按本款下述规定以及</w:t>
      </w:r>
      <w:r>
        <w:rPr>
          <w:rFonts w:hint="eastAsia" w:ascii="宋体" w:hAnsi="宋体" w:cs="宋体"/>
          <w:b/>
          <w:bCs/>
        </w:rPr>
        <w:t>投标人须知前附表</w:t>
      </w:r>
      <w:r>
        <w:rPr>
          <w:rFonts w:hint="eastAsia" w:ascii="宋体" w:hAnsi="宋体" w:cs="宋体"/>
        </w:rPr>
        <w:t>规定的数量提交投标文件。每份投标文件须清楚地标明“正本”或“副本”或“电子版”。若正本和副本不符，以正本为准。</w:t>
      </w:r>
    </w:p>
    <w:p>
      <w:pPr>
        <w:snapToGrid w:val="0"/>
        <w:spacing w:line="400" w:lineRule="exact"/>
        <w:ind w:firstLine="424" w:firstLineChars="177"/>
        <w:jc w:val="both"/>
        <w:textAlignment w:val="auto"/>
        <w:rPr>
          <w:rFonts w:ascii="宋体" w:hAnsi="宋体" w:cs="宋体"/>
        </w:rPr>
      </w:pPr>
      <w:r>
        <w:rPr>
          <w:rFonts w:hint="eastAsia" w:ascii="宋体" w:hAnsi="宋体" w:cs="宋体"/>
        </w:rPr>
        <w:t>17.3 投标文件应字迹清楚、内容齐全、</w:t>
      </w:r>
      <w:r>
        <w:rPr>
          <w:rFonts w:hint="eastAsia" w:ascii="宋体" w:hAnsi="宋体" w:cs="宋体"/>
          <w:b/>
          <w:bCs/>
        </w:rPr>
        <w:t>不得</w:t>
      </w:r>
      <w:r>
        <w:rPr>
          <w:rFonts w:hint="eastAsia" w:ascii="宋体" w:hAnsi="宋体" w:cs="宋体"/>
        </w:rPr>
        <w:t>涂改或增删。如有修改和增删，</w:t>
      </w:r>
      <w:r>
        <w:rPr>
          <w:rFonts w:hint="eastAsia" w:ascii="宋体" w:hAnsi="宋体" w:cs="宋体"/>
          <w:b/>
          <w:bCs/>
        </w:rPr>
        <w:t>必须有投标人公章及法定代表人或其授权的投标人代表签字或签章</w:t>
      </w:r>
      <w:r>
        <w:rPr>
          <w:rFonts w:hint="eastAsia" w:ascii="宋体" w:hAnsi="宋体" w:cs="宋体"/>
        </w:rPr>
        <w:t>。因投标文件字迹潦草或表达不清所引起的不利后果由投标人承担。建议投标所有文件装订采用双面打印（复印），目录页码对应准确。</w:t>
      </w:r>
    </w:p>
    <w:p>
      <w:pPr>
        <w:snapToGrid w:val="0"/>
        <w:spacing w:line="400" w:lineRule="exact"/>
        <w:ind w:firstLine="424" w:firstLineChars="177"/>
        <w:jc w:val="both"/>
        <w:textAlignment w:val="auto"/>
        <w:rPr>
          <w:rFonts w:ascii="宋体" w:hAnsi="宋体" w:cs="宋体"/>
        </w:rPr>
      </w:pPr>
      <w:r>
        <w:rPr>
          <w:rFonts w:hint="eastAsia" w:ascii="宋体" w:hAnsi="宋体" w:cs="宋体"/>
        </w:rPr>
        <w:t>17.4 投标文件的正本必须注明“正本”字样，并由投标人的法定代表人或投标人代表签字。由投标人代表签字的，</w:t>
      </w:r>
      <w:r>
        <w:rPr>
          <w:rFonts w:hint="eastAsia" w:ascii="宋体" w:hAnsi="宋体" w:cs="宋体"/>
          <w:b/>
          <w:bCs/>
        </w:rPr>
        <w:t>投标人代表须将书面形式的《法定代表人授权委托书》（按照招标文件格式填写）原件附在投标文件中</w:t>
      </w:r>
      <w:r>
        <w:rPr>
          <w:rFonts w:hint="eastAsia" w:ascii="宋体" w:hAnsi="宋体" w:cs="宋体"/>
        </w:rPr>
        <w:t>，否则按投标</w:t>
      </w:r>
      <w:r>
        <w:rPr>
          <w:rFonts w:hint="eastAsia" w:ascii="宋体" w:hAnsi="宋体" w:cs="宋体"/>
          <w:b/>
          <w:bCs/>
        </w:rPr>
        <w:t>无效</w:t>
      </w:r>
      <w:r>
        <w:rPr>
          <w:rFonts w:hint="eastAsia" w:ascii="宋体" w:hAnsi="宋体" w:cs="宋体"/>
        </w:rPr>
        <w:t>处理。</w:t>
      </w:r>
      <w:r>
        <w:rPr>
          <w:rFonts w:hint="eastAsia" w:ascii="宋体" w:hAnsi="宋体" w:cs="宋体"/>
          <w:b/>
          <w:bCs/>
        </w:rPr>
        <w:t>投标文件的副本可采用正本的复印件，电子版应为正本签字盖章后的PDF扫描件。</w:t>
      </w:r>
    </w:p>
    <w:p>
      <w:pPr>
        <w:widowControl/>
        <w:snapToGrid w:val="0"/>
        <w:spacing w:line="400" w:lineRule="exact"/>
        <w:ind w:firstLine="562" w:firstLineChars="200"/>
        <w:textAlignment w:val="auto"/>
        <w:rPr>
          <w:rFonts w:ascii="宋体" w:hAnsi="宋体" w:cs="宋体"/>
          <w:b/>
          <w:bCs/>
          <w:kern w:val="20"/>
          <w:sz w:val="28"/>
          <w:szCs w:val="28"/>
          <w:lang w:val="zh-CN"/>
        </w:rPr>
      </w:pPr>
      <w:r>
        <w:rPr>
          <w:rFonts w:hint="eastAsia" w:ascii="宋体" w:hAnsi="宋体" w:cs="宋体"/>
          <w:b/>
          <w:bCs/>
          <w:sz w:val="28"/>
          <w:szCs w:val="28"/>
        </w:rPr>
        <w:t>四、投标文件的递交</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18.投标文件的密封及标记</w:t>
      </w:r>
    </w:p>
    <w:p>
      <w:pPr>
        <w:snapToGrid w:val="0"/>
        <w:spacing w:line="400" w:lineRule="exact"/>
        <w:ind w:firstLine="424" w:firstLineChars="177"/>
        <w:jc w:val="both"/>
        <w:textAlignment w:val="auto"/>
        <w:rPr>
          <w:rFonts w:ascii="宋体" w:hAnsi="宋体" w:cs="宋体"/>
        </w:rPr>
      </w:pPr>
      <w:r>
        <w:rPr>
          <w:rFonts w:hint="eastAsia" w:ascii="宋体" w:hAnsi="宋体" w:cs="宋体"/>
        </w:rPr>
        <w:t>18.1 投标人应将投标文件密封包装以保证投标信息在开标前不被透露。</w:t>
      </w:r>
    </w:p>
    <w:p>
      <w:pPr>
        <w:snapToGrid w:val="0"/>
        <w:spacing w:line="400" w:lineRule="exact"/>
        <w:ind w:firstLine="424" w:firstLineChars="177"/>
        <w:jc w:val="both"/>
        <w:textAlignment w:val="auto"/>
        <w:rPr>
          <w:rFonts w:ascii="宋体" w:hAnsi="宋体" w:cs="宋体"/>
        </w:rPr>
      </w:pPr>
      <w:r>
        <w:rPr>
          <w:rFonts w:hint="eastAsia" w:ascii="宋体" w:hAnsi="宋体" w:cs="宋体"/>
        </w:rPr>
        <w:t>18.2 为方便开标唱标，投标人应将</w:t>
      </w:r>
      <w:r>
        <w:rPr>
          <w:rFonts w:hint="eastAsia" w:ascii="宋体" w:hAnsi="宋体" w:cs="宋体"/>
          <w:b/>
        </w:rPr>
        <w:t>开标一览表、投标保证金（包括投标保证金说明函）的正本单独密封提交</w:t>
      </w:r>
      <w:r>
        <w:rPr>
          <w:rFonts w:hint="eastAsia" w:ascii="宋体" w:hAnsi="宋体" w:cs="宋体"/>
        </w:rPr>
        <w:t>（密封分开包装），并在包装上标明“开标一览表”“投标保证金”字样。</w:t>
      </w:r>
    </w:p>
    <w:p>
      <w:pPr>
        <w:snapToGrid w:val="0"/>
        <w:spacing w:line="400" w:lineRule="exact"/>
        <w:ind w:firstLine="424" w:firstLineChars="177"/>
        <w:jc w:val="both"/>
        <w:textAlignment w:val="auto"/>
        <w:rPr>
          <w:rFonts w:ascii="宋体" w:hAnsi="宋体" w:cs="宋体"/>
        </w:rPr>
      </w:pPr>
      <w:r>
        <w:rPr>
          <w:rFonts w:hint="eastAsia" w:ascii="宋体" w:hAnsi="宋体" w:cs="宋体"/>
        </w:rPr>
        <w:t>18.3 为方便开标拆启和对迟到的投标进行处理，密封包装上应注明本项目指明的项目名称、项目编号、投标人投标的包号/品目号等，并注明投标人名称和地址。</w:t>
      </w:r>
    </w:p>
    <w:p>
      <w:pPr>
        <w:snapToGrid w:val="0"/>
        <w:spacing w:line="400" w:lineRule="exact"/>
        <w:ind w:firstLine="424" w:firstLineChars="177"/>
        <w:jc w:val="both"/>
        <w:textAlignment w:val="auto"/>
        <w:rPr>
          <w:rFonts w:ascii="宋体" w:hAnsi="宋体" w:cs="宋体"/>
        </w:rPr>
      </w:pPr>
      <w:r>
        <w:rPr>
          <w:rFonts w:hint="eastAsia" w:ascii="宋体" w:hAnsi="宋体" w:cs="宋体"/>
        </w:rPr>
        <w:t>18.4 投标时，投标人应将投标文件正本单独密封，所有的副本每本或者一起密封装在单独的信封中，且在信封正面标明“正本”“副本”字样，电子版须密封装在单独的信封中。</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19.投标截止时间</w:t>
      </w:r>
    </w:p>
    <w:p>
      <w:pPr>
        <w:snapToGrid w:val="0"/>
        <w:spacing w:line="400" w:lineRule="exact"/>
        <w:ind w:firstLine="424" w:firstLineChars="177"/>
        <w:jc w:val="both"/>
        <w:textAlignment w:val="auto"/>
        <w:rPr>
          <w:rFonts w:ascii="宋体" w:hAnsi="宋体" w:cs="宋体"/>
        </w:rPr>
      </w:pPr>
      <w:r>
        <w:rPr>
          <w:rFonts w:hint="eastAsia" w:ascii="宋体" w:hAnsi="宋体" w:cs="宋体"/>
        </w:rPr>
        <w:t>19.1 投标截止时间详见</w:t>
      </w:r>
      <w:r>
        <w:rPr>
          <w:rFonts w:hint="eastAsia" w:ascii="宋体" w:hAnsi="宋体" w:cs="宋体"/>
          <w:b/>
          <w:bCs/>
        </w:rPr>
        <w:t>第一章投标邀请</w:t>
      </w:r>
      <w:r>
        <w:rPr>
          <w:rFonts w:hint="eastAsia" w:ascii="宋体" w:hAnsi="宋体" w:cs="宋体"/>
        </w:rPr>
        <w:t>。</w:t>
      </w:r>
    </w:p>
    <w:p>
      <w:pPr>
        <w:snapToGrid w:val="0"/>
        <w:spacing w:line="400" w:lineRule="exact"/>
        <w:ind w:firstLine="424" w:firstLineChars="177"/>
        <w:jc w:val="both"/>
        <w:textAlignment w:val="auto"/>
        <w:rPr>
          <w:rFonts w:ascii="宋体" w:hAnsi="宋体" w:cs="宋体"/>
        </w:rPr>
      </w:pPr>
      <w:r>
        <w:rPr>
          <w:rFonts w:hint="eastAsia" w:ascii="宋体" w:hAnsi="宋体" w:cs="宋体"/>
        </w:rPr>
        <w:t>19.2 按本须知规定，通过修改招标文件延长投标截止期的情况下，采购代理机构和投标人受投标截止期制约的所有权利和义务均应延长至新的截止期。</w:t>
      </w:r>
    </w:p>
    <w:p>
      <w:pPr>
        <w:snapToGrid w:val="0"/>
        <w:spacing w:line="400" w:lineRule="exact"/>
        <w:ind w:firstLine="424" w:firstLineChars="177"/>
        <w:jc w:val="both"/>
        <w:textAlignment w:val="auto"/>
        <w:rPr>
          <w:rFonts w:ascii="宋体" w:hAnsi="宋体" w:cs="宋体"/>
        </w:rPr>
      </w:pPr>
      <w:r>
        <w:rPr>
          <w:rFonts w:hint="eastAsia" w:ascii="宋体" w:hAnsi="宋体" w:cs="宋体"/>
        </w:rPr>
        <w:t>19.3 投标文件及其他必要材料、实物等须按照招标文件规定的递交时间、地点送达。在截止时间以后送达的，采购代理机构将</w:t>
      </w:r>
      <w:r>
        <w:rPr>
          <w:rFonts w:hint="eastAsia" w:ascii="宋体" w:hAnsi="宋体" w:cs="宋体"/>
          <w:b/>
          <w:bCs/>
        </w:rPr>
        <w:t>拒绝</w:t>
      </w:r>
      <w:r>
        <w:rPr>
          <w:rFonts w:hint="eastAsia" w:ascii="宋体" w:hAnsi="宋体" w:cs="宋体"/>
        </w:rPr>
        <w:t>接收。</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20.投标文件修改与撤回</w:t>
      </w:r>
    </w:p>
    <w:p>
      <w:pPr>
        <w:snapToGrid w:val="0"/>
        <w:spacing w:line="400" w:lineRule="exact"/>
        <w:ind w:firstLine="424" w:firstLineChars="177"/>
        <w:jc w:val="both"/>
        <w:textAlignment w:val="auto"/>
        <w:rPr>
          <w:rFonts w:ascii="宋体" w:hAnsi="宋体" w:cs="宋体"/>
          <w:szCs w:val="21"/>
        </w:rPr>
      </w:pPr>
      <w:r>
        <w:rPr>
          <w:rFonts w:hint="eastAsia" w:ascii="宋体" w:hAnsi="宋体" w:cs="宋体"/>
        </w:rPr>
        <w:t>20.1投标人在投标截止时间前，可以对所递交的投标文件进行补充、修改或者撤回，并书面通知采购人或者采购代理机构。补充、修改的内容应当按照招标文件要求签署、盖章、密封后，作为投标文件的组成部分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宋体"/>
          <w:szCs w:val="21"/>
        </w:rPr>
        <w:t>。</w:t>
      </w:r>
    </w:p>
    <w:p>
      <w:pPr>
        <w:snapToGrid w:val="0"/>
        <w:spacing w:line="400" w:lineRule="exact"/>
        <w:ind w:firstLine="424" w:firstLineChars="177"/>
        <w:jc w:val="both"/>
        <w:textAlignment w:val="auto"/>
        <w:rPr>
          <w:rFonts w:ascii="宋体" w:hAnsi="宋体" w:cs="宋体"/>
          <w:szCs w:val="21"/>
        </w:rPr>
      </w:pPr>
      <w:r>
        <w:rPr>
          <w:rFonts w:hint="eastAsia" w:ascii="宋体" w:hAnsi="宋体" w:cs="宋体"/>
        </w:rPr>
        <w:t xml:space="preserve">20.2 </w:t>
      </w:r>
      <w:r>
        <w:rPr>
          <w:rFonts w:hint="eastAsia" w:ascii="宋体" w:hAnsi="宋体" w:cs="宋体"/>
          <w:szCs w:val="21"/>
        </w:rPr>
        <w:t>在</w:t>
      </w:r>
      <w:r>
        <w:rPr>
          <w:rFonts w:hint="eastAsia" w:ascii="宋体" w:hAnsi="宋体" w:cs="宋体"/>
        </w:rPr>
        <w:t>投标截止期</w:t>
      </w:r>
      <w:r>
        <w:rPr>
          <w:rFonts w:hint="eastAsia" w:ascii="宋体" w:hAnsi="宋体" w:cs="宋体"/>
          <w:szCs w:val="21"/>
        </w:rPr>
        <w:t>之后，投标人不得对其投标文件做任何修改。</w:t>
      </w:r>
    </w:p>
    <w:p>
      <w:pPr>
        <w:snapToGrid w:val="0"/>
        <w:spacing w:line="400" w:lineRule="exact"/>
        <w:ind w:firstLine="424" w:firstLineChars="177"/>
        <w:jc w:val="both"/>
        <w:textAlignment w:val="auto"/>
        <w:rPr>
          <w:rFonts w:ascii="宋体" w:hAnsi="宋体" w:cs="宋体"/>
          <w:szCs w:val="21"/>
        </w:rPr>
      </w:pPr>
      <w:r>
        <w:rPr>
          <w:rFonts w:hint="eastAsia" w:ascii="宋体" w:hAnsi="宋体" w:cs="宋体"/>
        </w:rPr>
        <w:t xml:space="preserve">20.3 </w:t>
      </w:r>
      <w:r>
        <w:rPr>
          <w:rFonts w:hint="eastAsia" w:ascii="宋体" w:hAnsi="宋体" w:cs="宋体"/>
          <w:szCs w:val="21"/>
        </w:rPr>
        <w:t>从</w:t>
      </w:r>
      <w:r>
        <w:rPr>
          <w:rFonts w:hint="eastAsia" w:ascii="宋体" w:hAnsi="宋体" w:cs="宋体"/>
        </w:rPr>
        <w:t>投标截止期</w:t>
      </w:r>
      <w:r>
        <w:rPr>
          <w:rFonts w:hint="eastAsia" w:ascii="宋体" w:hAnsi="宋体" w:cs="宋体"/>
          <w:szCs w:val="21"/>
        </w:rPr>
        <w:t>至投标人在投标书格式中确定的投标有效期之间，投标人不得修改或撤回其投标，否则其投标保证金将按照本须知的规定不予退回。</w:t>
      </w:r>
    </w:p>
    <w:p>
      <w:pPr>
        <w:pStyle w:val="41"/>
        <w:adjustRightInd w:val="0"/>
        <w:snapToGrid w:val="0"/>
        <w:spacing w:before="0" w:after="0" w:line="400" w:lineRule="exact"/>
        <w:ind w:firstLine="419" w:firstLineChars="149"/>
        <w:jc w:val="both"/>
        <w:rPr>
          <w:rFonts w:ascii="宋体" w:hAnsi="宋体" w:eastAsia="宋体" w:cs="宋体"/>
          <w:b/>
          <w:bCs/>
          <w:color w:val="auto"/>
          <w:sz w:val="28"/>
          <w:szCs w:val="28"/>
        </w:rPr>
      </w:pPr>
      <w:r>
        <w:rPr>
          <w:rFonts w:hint="eastAsia" w:ascii="宋体" w:hAnsi="宋体" w:eastAsia="宋体" w:cs="宋体"/>
          <w:b/>
          <w:bCs/>
          <w:color w:val="auto"/>
          <w:sz w:val="28"/>
          <w:szCs w:val="28"/>
        </w:rPr>
        <w:t>五、开标与评标</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21.开标</w:t>
      </w:r>
    </w:p>
    <w:p>
      <w:pPr>
        <w:snapToGrid w:val="0"/>
        <w:spacing w:line="400" w:lineRule="exact"/>
        <w:ind w:firstLine="424" w:firstLineChars="177"/>
        <w:jc w:val="both"/>
        <w:textAlignment w:val="auto"/>
        <w:rPr>
          <w:rFonts w:ascii="宋体" w:hAnsi="宋体" w:cs="宋体"/>
        </w:rPr>
      </w:pPr>
      <w:r>
        <w:rPr>
          <w:rFonts w:hint="eastAsia" w:ascii="宋体" w:hAnsi="宋体" w:cs="宋体"/>
        </w:rPr>
        <w:t>21.1 采购代理机构按招标文件规定的时间、地点主持开标，投标人代表及有关工作人员参加。采购代理机构应当对开标、评标现场活动进行全程录音录像。录音录像应当清晰可辨，音像资料作为采购文件一并存档。</w:t>
      </w:r>
    </w:p>
    <w:p>
      <w:pPr>
        <w:snapToGrid w:val="0"/>
        <w:spacing w:line="400" w:lineRule="exact"/>
        <w:ind w:firstLine="424" w:firstLineChars="177"/>
        <w:jc w:val="both"/>
        <w:textAlignment w:val="auto"/>
        <w:rPr>
          <w:rFonts w:ascii="宋体" w:hAnsi="宋体" w:cs="宋体"/>
        </w:rPr>
      </w:pPr>
      <w:r>
        <w:rPr>
          <w:rFonts w:hint="eastAsia" w:ascii="宋体" w:hAnsi="宋体" w:cs="宋体"/>
        </w:rPr>
        <w:t>21.2 采购代理机构邀请投标人参加开标，投标人参加开标的代表必须签名报到以证明其出席。评标委员会成员不得参加开标活动。</w:t>
      </w:r>
    </w:p>
    <w:p>
      <w:pPr>
        <w:snapToGrid w:val="0"/>
        <w:spacing w:line="400" w:lineRule="exact"/>
        <w:ind w:firstLine="424" w:firstLineChars="177"/>
        <w:jc w:val="both"/>
        <w:textAlignment w:val="auto"/>
        <w:rPr>
          <w:rFonts w:ascii="宋体" w:hAnsi="宋体" w:cs="宋体"/>
        </w:rPr>
      </w:pPr>
      <w:r>
        <w:rPr>
          <w:rFonts w:hint="eastAsia" w:ascii="宋体" w:hAnsi="宋体" w:cs="宋体"/>
        </w:rPr>
        <w:t>21.3 开标时，应由投标人代表查验投标文件密封情况，确认无误后拆封唱标。投标人不足3家的，不得开标。</w:t>
      </w:r>
    </w:p>
    <w:p>
      <w:pPr>
        <w:snapToGrid w:val="0"/>
        <w:spacing w:line="400" w:lineRule="exact"/>
        <w:ind w:firstLine="424" w:firstLineChars="177"/>
        <w:jc w:val="both"/>
        <w:textAlignment w:val="auto"/>
        <w:rPr>
          <w:rFonts w:ascii="宋体" w:hAnsi="宋体" w:cs="宋体"/>
        </w:rPr>
      </w:pPr>
      <w:r>
        <w:rPr>
          <w:rFonts w:hint="eastAsia" w:ascii="宋体" w:hAnsi="宋体" w:cs="宋体"/>
        </w:rPr>
        <w:t>21.4 开标时，应当众宣读投标人名称、投标价格、书面补充、修改和撤回投标的通知以及采购代理机构认为适当的其他内容。投标人若有报价和优惠未被唱出，应在开标时及时声明或提请注意，否则采购代理机构对此不承担任何责任。</w:t>
      </w:r>
    </w:p>
    <w:p>
      <w:pPr>
        <w:snapToGrid w:val="0"/>
        <w:spacing w:line="400" w:lineRule="exact"/>
        <w:ind w:firstLine="424" w:firstLineChars="177"/>
        <w:jc w:val="both"/>
        <w:textAlignment w:val="auto"/>
        <w:rPr>
          <w:rFonts w:ascii="宋体" w:hAnsi="宋体" w:cs="宋体"/>
        </w:rPr>
      </w:pPr>
      <w:r>
        <w:rPr>
          <w:rFonts w:hint="eastAsia" w:ascii="宋体" w:hAnsi="宋体" w:cs="宋体"/>
        </w:rPr>
        <w:t>21.5 开标过程应当由采购代理机构负责记录，由参加开标的各投标人代表和相关工作人员签字确认后随采购文件一并存档。</w:t>
      </w:r>
    </w:p>
    <w:p>
      <w:pPr>
        <w:snapToGrid w:val="0"/>
        <w:spacing w:line="400" w:lineRule="exact"/>
        <w:ind w:firstLine="424" w:firstLineChars="177"/>
        <w:jc w:val="both"/>
        <w:textAlignment w:val="auto"/>
        <w:rPr>
          <w:rFonts w:ascii="宋体" w:hAnsi="宋体" w:cs="宋体"/>
        </w:rPr>
      </w:pPr>
      <w:r>
        <w:rPr>
          <w:rFonts w:hint="eastAsia" w:ascii="宋体" w:hAnsi="宋体" w:cs="宋体"/>
        </w:rPr>
        <w:t>21.6 投标人代表对开标过程和开标记录有疑义，以及认为采购代理机构相关工作人员有需要回避的情形的，应当场提出询问或者回避申请。采购代理机构对投标人代表提出的询问或者回避申请及时处理。</w:t>
      </w:r>
    </w:p>
    <w:p>
      <w:pPr>
        <w:snapToGrid w:val="0"/>
        <w:spacing w:line="400" w:lineRule="exact"/>
        <w:ind w:firstLine="424" w:firstLineChars="177"/>
        <w:jc w:val="both"/>
        <w:textAlignment w:val="auto"/>
        <w:rPr>
          <w:rFonts w:ascii="宋体" w:hAnsi="宋体" w:cs="宋体"/>
        </w:rPr>
      </w:pPr>
      <w:r>
        <w:rPr>
          <w:rFonts w:hint="eastAsia" w:ascii="宋体" w:hAnsi="宋体" w:cs="宋体"/>
        </w:rPr>
        <w:t>21.7 投标人未参加开标的，视同认可开标结果。</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22.对投标人的资格审查</w:t>
      </w:r>
    </w:p>
    <w:p>
      <w:pPr>
        <w:pStyle w:val="41"/>
        <w:adjustRightInd w:val="0"/>
        <w:snapToGrid w:val="0"/>
        <w:spacing w:before="0" w:after="0" w:line="400" w:lineRule="exact"/>
        <w:ind w:firstLine="422" w:firstLineChars="176"/>
        <w:jc w:val="both"/>
        <w:rPr>
          <w:rFonts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22.1</w:t>
      </w:r>
      <w:r>
        <w:rPr>
          <w:rFonts w:hint="eastAsia" w:ascii="宋体" w:hAnsi="宋体" w:eastAsia="宋体" w:cs="宋体"/>
          <w:b/>
          <w:bCs/>
          <w:color w:val="auto"/>
          <w:sz w:val="24"/>
          <w:szCs w:val="24"/>
        </w:rPr>
        <w:t xml:space="preserve"> </w:t>
      </w:r>
      <w:r>
        <w:rPr>
          <w:rFonts w:hint="eastAsia" w:ascii="宋体" w:hAnsi="宋体" w:eastAsia="宋体" w:cs="宋体"/>
          <w:color w:val="auto"/>
          <w:kern w:val="0"/>
          <w:sz w:val="24"/>
          <w:szCs w:val="24"/>
          <w:lang w:val="en-US"/>
        </w:rPr>
        <w:t>资格审查依据法律法规和招标文件的规定，对投标文件中的资格证明文件等进行审查，以确定投标供应商是否具备投标资格。</w:t>
      </w:r>
    </w:p>
    <w:p>
      <w:pPr>
        <w:pStyle w:val="41"/>
        <w:adjustRightInd w:val="0"/>
        <w:snapToGrid w:val="0"/>
        <w:spacing w:before="0" w:after="0" w:line="400" w:lineRule="exact"/>
        <w:ind w:firstLine="422" w:firstLineChars="176"/>
        <w:jc w:val="both"/>
        <w:rPr>
          <w:rFonts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22.2 在招标文件规定的信用记录查询截止时点（即投标截止时间），通过“信用中国”网站（www.creditchina.gov.cn）、中国政府采购网（www.ccgp.gov.cn）查询投标人信用记录，并将信用查询记录和证据通过网页截图的方式进行留存，随采购文件一起存档。</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23.组建评标委员会</w:t>
      </w:r>
    </w:p>
    <w:p>
      <w:pPr>
        <w:snapToGrid w:val="0"/>
        <w:spacing w:line="400" w:lineRule="exact"/>
        <w:ind w:firstLine="424" w:firstLineChars="177"/>
        <w:jc w:val="both"/>
        <w:textAlignment w:val="auto"/>
        <w:rPr>
          <w:rFonts w:ascii="宋体" w:hAnsi="宋体" w:cs="宋体"/>
        </w:rPr>
      </w:pPr>
      <w:r>
        <w:rPr>
          <w:rFonts w:hint="eastAsia" w:ascii="宋体" w:hAnsi="宋体" w:cs="宋体"/>
        </w:rPr>
        <w:t>23.1 采购代理机构根据有关法律法规和本招标文件的规定，结合本招标项目专业要求组建评标委员会，采购代理机构协助评标委员会工作。评标委员会负责具体评标事务，并独立履行下列职责：</w:t>
      </w:r>
    </w:p>
    <w:p>
      <w:pPr>
        <w:snapToGrid w:val="0"/>
        <w:spacing w:line="400" w:lineRule="exact"/>
        <w:ind w:firstLine="424" w:firstLineChars="177"/>
        <w:jc w:val="both"/>
        <w:textAlignment w:val="auto"/>
        <w:rPr>
          <w:rFonts w:ascii="宋体" w:hAnsi="宋体" w:cs="宋体"/>
        </w:rPr>
      </w:pPr>
      <w:r>
        <w:rPr>
          <w:rFonts w:hint="eastAsia" w:ascii="宋体" w:hAnsi="宋体" w:cs="宋体"/>
        </w:rPr>
        <w:t>（1）审查、评价投标文件是否符合招标文件的商务、技术等实质性要求；</w:t>
      </w:r>
    </w:p>
    <w:p>
      <w:pPr>
        <w:snapToGrid w:val="0"/>
        <w:spacing w:line="400" w:lineRule="exact"/>
        <w:ind w:firstLine="424" w:firstLineChars="177"/>
        <w:jc w:val="both"/>
        <w:textAlignment w:val="auto"/>
        <w:rPr>
          <w:rFonts w:ascii="宋体" w:hAnsi="宋体" w:cs="宋体"/>
        </w:rPr>
      </w:pPr>
      <w:r>
        <w:rPr>
          <w:rFonts w:hint="eastAsia" w:ascii="宋体" w:hAnsi="宋体" w:cs="宋体"/>
        </w:rPr>
        <w:t>（2）要求投标人对投标文件有关事项作出澄清或者说明；</w:t>
      </w:r>
    </w:p>
    <w:p>
      <w:pPr>
        <w:snapToGrid w:val="0"/>
        <w:spacing w:line="400" w:lineRule="exact"/>
        <w:ind w:firstLine="424" w:firstLineChars="177"/>
        <w:jc w:val="both"/>
        <w:textAlignment w:val="auto"/>
        <w:rPr>
          <w:rFonts w:ascii="宋体" w:hAnsi="宋体" w:cs="宋体"/>
        </w:rPr>
      </w:pPr>
      <w:r>
        <w:rPr>
          <w:rFonts w:hint="eastAsia" w:ascii="宋体" w:hAnsi="宋体" w:cs="宋体"/>
        </w:rPr>
        <w:t>（3）对投标文件进行比较和评价；</w:t>
      </w:r>
    </w:p>
    <w:p>
      <w:pPr>
        <w:snapToGrid w:val="0"/>
        <w:spacing w:line="400" w:lineRule="exact"/>
        <w:ind w:firstLine="424" w:firstLineChars="177"/>
        <w:jc w:val="both"/>
        <w:textAlignment w:val="auto"/>
        <w:rPr>
          <w:rFonts w:ascii="宋体" w:hAnsi="宋体" w:cs="宋体"/>
        </w:rPr>
      </w:pPr>
      <w:r>
        <w:rPr>
          <w:rFonts w:hint="eastAsia" w:ascii="宋体" w:hAnsi="宋体" w:cs="宋体"/>
        </w:rPr>
        <w:t>（4）确定中标候选人名单，以及根据采购人委托直接确定中标人；</w:t>
      </w:r>
    </w:p>
    <w:p>
      <w:pPr>
        <w:snapToGrid w:val="0"/>
        <w:spacing w:line="400" w:lineRule="exact"/>
        <w:ind w:firstLine="424" w:firstLineChars="177"/>
        <w:jc w:val="both"/>
        <w:textAlignment w:val="auto"/>
        <w:rPr>
          <w:rFonts w:ascii="宋体" w:hAnsi="宋体" w:cs="宋体"/>
        </w:rPr>
      </w:pPr>
      <w:r>
        <w:rPr>
          <w:rFonts w:hint="eastAsia" w:ascii="宋体" w:hAnsi="宋体" w:cs="宋体"/>
        </w:rPr>
        <w:t>（5）向采购人、采购代理机构或者有关部门报告评标中发现的违法行为。</w:t>
      </w:r>
    </w:p>
    <w:p>
      <w:pPr>
        <w:snapToGrid w:val="0"/>
        <w:spacing w:line="400" w:lineRule="exact"/>
        <w:ind w:firstLine="426" w:firstLineChars="177"/>
        <w:jc w:val="both"/>
        <w:textAlignment w:val="auto"/>
        <w:rPr>
          <w:rFonts w:ascii="宋体" w:hAnsi="宋体" w:cs="宋体"/>
          <w:b/>
          <w:bCs/>
        </w:rPr>
      </w:pPr>
      <w:r>
        <w:rPr>
          <w:rFonts w:hint="eastAsia" w:ascii="宋体" w:hAnsi="宋体" w:cs="宋体"/>
          <w:b/>
          <w:bCs/>
        </w:rPr>
        <w:t>24.对投标文件的符合性检查</w:t>
      </w:r>
    </w:p>
    <w:p>
      <w:pPr>
        <w:snapToGrid w:val="0"/>
        <w:spacing w:line="400" w:lineRule="exact"/>
        <w:ind w:firstLine="424" w:firstLineChars="177"/>
        <w:jc w:val="both"/>
        <w:textAlignment w:val="auto"/>
        <w:rPr>
          <w:rFonts w:ascii="宋体" w:hAnsi="宋体" w:cs="宋体"/>
          <w:kern w:val="20"/>
          <w:lang w:val="zh-CN"/>
        </w:rPr>
      </w:pPr>
      <w:r>
        <w:rPr>
          <w:rFonts w:hint="eastAsia" w:ascii="宋体" w:hAnsi="宋体" w:cs="宋体"/>
        </w:rPr>
        <w:t>24.1</w:t>
      </w:r>
      <w:r>
        <w:rPr>
          <w:rFonts w:hint="eastAsia" w:ascii="宋体" w:hAnsi="宋体" w:cs="宋体"/>
          <w:kern w:val="20"/>
          <w:lang w:val="zh-CN"/>
        </w:rPr>
        <w:t>符合性检查依据政府采购法律法规和招标文件的规定，审查投标文件有效性、完整性和对招标文件的响应程度，以确定投标文件是否实质上响应了招标文件的要求，</w:t>
      </w:r>
      <w:r>
        <w:rPr>
          <w:rFonts w:hint="eastAsia" w:ascii="宋体" w:hAnsi="宋体" w:cs="宋体"/>
          <w:kern w:val="20"/>
        </w:rPr>
        <w:t>具体检查内容详见</w:t>
      </w:r>
      <w:r>
        <w:rPr>
          <w:rFonts w:hint="eastAsia" w:ascii="宋体" w:hAnsi="宋体" w:cs="宋体"/>
          <w:b/>
          <w:bCs/>
        </w:rPr>
        <w:t>投标人须知前附表</w:t>
      </w:r>
      <w:r>
        <w:rPr>
          <w:rFonts w:hint="eastAsia" w:ascii="宋体" w:hAnsi="宋体" w:cs="宋体"/>
          <w:kern w:val="20"/>
          <w:lang w:val="zh-CN"/>
        </w:rPr>
        <w:t>。</w:t>
      </w:r>
    </w:p>
    <w:p>
      <w:pPr>
        <w:snapToGrid w:val="0"/>
        <w:spacing w:line="400" w:lineRule="exact"/>
        <w:ind w:firstLine="424" w:firstLineChars="177"/>
        <w:jc w:val="both"/>
        <w:textAlignment w:val="auto"/>
        <w:rPr>
          <w:rFonts w:ascii="宋体" w:hAnsi="宋体" w:cs="宋体"/>
        </w:rPr>
      </w:pPr>
      <w:r>
        <w:rPr>
          <w:rFonts w:hint="eastAsia" w:ascii="宋体" w:hAnsi="宋体" w:cs="宋体"/>
        </w:rPr>
        <w:t>24.2 符合性检查中，对明显的文字和计算错误按下述原则处理，若出现相互矛盾之处，应以排列在先的原则为准优先处理。</w:t>
      </w:r>
    </w:p>
    <w:p>
      <w:pPr>
        <w:snapToGrid w:val="0"/>
        <w:spacing w:line="400" w:lineRule="exact"/>
        <w:ind w:firstLine="424" w:firstLineChars="177"/>
        <w:rPr>
          <w:rFonts w:ascii="宋体" w:hAnsi="宋体" w:cs="宋体"/>
        </w:rPr>
      </w:pPr>
      <w:r>
        <w:rPr>
          <w:rFonts w:hint="eastAsia" w:ascii="宋体" w:hAnsi="宋体" w:cs="宋体"/>
        </w:rPr>
        <w:t>（1）如果正本与副本或电子文档不一致，以正本为准；单独密封的开标一览表如与投标文件正本不一致，以单独密封的开标一览表为准；</w:t>
      </w:r>
    </w:p>
    <w:p>
      <w:pPr>
        <w:snapToGrid w:val="0"/>
        <w:spacing w:line="400" w:lineRule="exact"/>
        <w:ind w:firstLine="424" w:firstLineChars="177"/>
        <w:rPr>
          <w:rFonts w:ascii="宋体" w:hAnsi="宋体" w:cs="宋体"/>
        </w:rPr>
      </w:pPr>
      <w:r>
        <w:rPr>
          <w:rFonts w:hint="eastAsia" w:ascii="宋体" w:hAnsi="宋体" w:cs="宋体"/>
        </w:rPr>
        <w:t>（2）大写金额和小写金额不一致的，以大写金额为准；</w:t>
      </w:r>
    </w:p>
    <w:p>
      <w:pPr>
        <w:snapToGrid w:val="0"/>
        <w:spacing w:line="400" w:lineRule="exact"/>
        <w:ind w:firstLine="424" w:firstLineChars="177"/>
        <w:rPr>
          <w:rFonts w:ascii="宋体" w:hAnsi="宋体" w:cs="宋体"/>
        </w:rPr>
      </w:pPr>
      <w:r>
        <w:rPr>
          <w:rFonts w:hint="eastAsia" w:ascii="宋体" w:hAnsi="宋体" w:cs="宋体"/>
        </w:rPr>
        <w:t>（3）单价金额小数点或者百分比有明显错位的，以开标一览表的总价为准，并修改单价；</w:t>
      </w:r>
    </w:p>
    <w:p>
      <w:pPr>
        <w:snapToGrid w:val="0"/>
        <w:spacing w:line="400" w:lineRule="exact"/>
        <w:ind w:firstLine="424" w:firstLineChars="177"/>
        <w:rPr>
          <w:rFonts w:ascii="宋体" w:hAnsi="宋体" w:cs="宋体"/>
        </w:rPr>
      </w:pPr>
      <w:r>
        <w:rPr>
          <w:rFonts w:hint="eastAsia" w:ascii="宋体" w:hAnsi="宋体" w:cs="宋体"/>
        </w:rPr>
        <w:t>（4）总价金额与按单价汇总金额不一致的，以单价金额计算结果为准。</w:t>
      </w:r>
    </w:p>
    <w:p>
      <w:pPr>
        <w:snapToGrid w:val="0"/>
        <w:spacing w:line="400" w:lineRule="exact"/>
        <w:ind w:firstLine="424" w:firstLineChars="177"/>
        <w:rPr>
          <w:rFonts w:ascii="宋体" w:hAnsi="宋体" w:cs="宋体"/>
        </w:rPr>
      </w:pPr>
      <w:r>
        <w:rPr>
          <w:rFonts w:hint="eastAsia" w:ascii="宋体" w:hAnsi="宋体" w:cs="宋体"/>
        </w:rPr>
        <w:t>同时出现两种以上不一致的，按照前款规定的顺序修正。修正后的报价按照本文件第25条的规定经投标人确认后产生约束力，投标人不确认的，其投标无效。</w:t>
      </w:r>
    </w:p>
    <w:p>
      <w:pPr>
        <w:snapToGrid w:val="0"/>
        <w:spacing w:line="400" w:lineRule="exact"/>
        <w:ind w:firstLine="424" w:firstLineChars="177"/>
        <w:jc w:val="both"/>
        <w:textAlignment w:val="auto"/>
        <w:rPr>
          <w:rFonts w:ascii="宋体" w:hAnsi="宋体" w:cs="宋体"/>
        </w:rPr>
      </w:pPr>
      <w:r>
        <w:rPr>
          <w:rFonts w:hint="eastAsia" w:ascii="宋体" w:hAnsi="宋体" w:cs="宋体"/>
        </w:rPr>
        <w:t>24.3 有下列情形之一的，视为投标人相互串通投标：</w:t>
      </w:r>
    </w:p>
    <w:p>
      <w:pPr>
        <w:snapToGrid w:val="0"/>
        <w:spacing w:line="400" w:lineRule="exact"/>
        <w:ind w:firstLine="424" w:firstLineChars="177"/>
        <w:rPr>
          <w:rFonts w:ascii="宋体" w:hAnsi="宋体" w:cs="宋体"/>
          <w:kern w:val="20"/>
          <w:lang w:val="zh-CN"/>
        </w:rPr>
      </w:pPr>
      <w:r>
        <w:rPr>
          <w:rFonts w:hint="eastAsia" w:ascii="宋体" w:hAnsi="宋体" w:cs="宋体"/>
          <w:kern w:val="20"/>
          <w:lang w:val="zh-CN"/>
        </w:rPr>
        <w:t>（1）不同</w:t>
      </w:r>
      <w:r>
        <w:rPr>
          <w:rFonts w:hint="eastAsia" w:ascii="宋体" w:hAnsi="宋体" w:cs="宋体"/>
        </w:rPr>
        <w:t>投标人</w:t>
      </w:r>
      <w:r>
        <w:rPr>
          <w:rFonts w:hint="eastAsia" w:ascii="宋体" w:hAnsi="宋体" w:cs="宋体"/>
          <w:kern w:val="20"/>
          <w:lang w:val="zh-CN"/>
        </w:rPr>
        <w:t>的投标文件由同一单位或者个人编制；</w:t>
      </w:r>
    </w:p>
    <w:p>
      <w:pPr>
        <w:snapToGrid w:val="0"/>
        <w:spacing w:line="400" w:lineRule="exact"/>
        <w:ind w:firstLine="424" w:firstLineChars="177"/>
        <w:rPr>
          <w:rFonts w:ascii="宋体" w:hAnsi="宋体" w:cs="宋体"/>
          <w:kern w:val="20"/>
          <w:lang w:val="zh-CN"/>
        </w:rPr>
      </w:pPr>
      <w:r>
        <w:rPr>
          <w:rFonts w:hint="eastAsia" w:ascii="宋体" w:hAnsi="宋体" w:cs="宋体"/>
          <w:kern w:val="20"/>
          <w:lang w:val="zh-CN"/>
        </w:rPr>
        <w:t>（2）不同投标人委托同一单位或者个人办理投标事宜；</w:t>
      </w:r>
    </w:p>
    <w:p>
      <w:pPr>
        <w:snapToGrid w:val="0"/>
        <w:spacing w:line="400" w:lineRule="exact"/>
        <w:ind w:firstLine="424" w:firstLineChars="177"/>
        <w:rPr>
          <w:rFonts w:ascii="宋体" w:hAnsi="宋体" w:cs="宋体"/>
          <w:kern w:val="20"/>
          <w:lang w:val="zh-CN"/>
        </w:rPr>
      </w:pPr>
      <w:r>
        <w:rPr>
          <w:rFonts w:hint="eastAsia" w:ascii="宋体" w:hAnsi="宋体" w:cs="宋体"/>
          <w:kern w:val="20"/>
          <w:lang w:val="zh-CN"/>
        </w:rPr>
        <w:t>（3）不同投标人的投标文件载明的项目管理成员或者联系人员为同一人；</w:t>
      </w:r>
    </w:p>
    <w:p>
      <w:pPr>
        <w:snapToGrid w:val="0"/>
        <w:spacing w:line="400" w:lineRule="exact"/>
        <w:ind w:firstLine="424" w:firstLineChars="177"/>
        <w:rPr>
          <w:rFonts w:ascii="宋体" w:hAnsi="宋体" w:cs="宋体"/>
          <w:kern w:val="20"/>
          <w:lang w:val="zh-CN"/>
        </w:rPr>
      </w:pPr>
      <w:r>
        <w:rPr>
          <w:rFonts w:hint="eastAsia" w:ascii="宋体" w:hAnsi="宋体" w:cs="宋体"/>
          <w:kern w:val="20"/>
          <w:lang w:val="zh-CN"/>
        </w:rPr>
        <w:t>（4）不同投标人的投标文件异常一致或者投标报价呈规律性差异；</w:t>
      </w:r>
    </w:p>
    <w:p>
      <w:pPr>
        <w:snapToGrid w:val="0"/>
        <w:spacing w:line="400" w:lineRule="exact"/>
        <w:ind w:firstLine="424" w:firstLineChars="177"/>
        <w:rPr>
          <w:rFonts w:ascii="宋体" w:hAnsi="宋体" w:cs="宋体"/>
          <w:kern w:val="20"/>
          <w:lang w:val="zh-CN"/>
        </w:rPr>
      </w:pPr>
      <w:r>
        <w:rPr>
          <w:rFonts w:hint="eastAsia" w:ascii="宋体" w:hAnsi="宋体" w:cs="宋体"/>
          <w:kern w:val="20"/>
          <w:lang w:val="zh-CN"/>
        </w:rPr>
        <w:t>（5）不同</w:t>
      </w:r>
      <w:r>
        <w:rPr>
          <w:rFonts w:hint="eastAsia" w:ascii="宋体" w:hAnsi="宋体" w:cs="宋体"/>
        </w:rPr>
        <w:t>投标人</w:t>
      </w:r>
      <w:r>
        <w:rPr>
          <w:rFonts w:hint="eastAsia" w:ascii="宋体" w:hAnsi="宋体" w:cs="宋体"/>
          <w:kern w:val="20"/>
          <w:lang w:val="zh-CN"/>
        </w:rPr>
        <w:t>的投标文件相互混装；</w:t>
      </w:r>
    </w:p>
    <w:p>
      <w:pPr>
        <w:snapToGrid w:val="0"/>
        <w:spacing w:line="400" w:lineRule="exact"/>
        <w:ind w:firstLine="424" w:firstLineChars="177"/>
        <w:rPr>
          <w:rFonts w:ascii="宋体" w:hAnsi="宋体" w:cs="宋体"/>
        </w:rPr>
      </w:pPr>
      <w:r>
        <w:rPr>
          <w:rFonts w:hint="eastAsia" w:ascii="宋体" w:hAnsi="宋体" w:cs="宋体"/>
        </w:rPr>
        <w:t>（6）不同投标人的投标保证金从同一单位或者个人的账户转出。</w:t>
      </w:r>
    </w:p>
    <w:p>
      <w:pPr>
        <w:snapToGrid w:val="0"/>
        <w:spacing w:line="400" w:lineRule="exact"/>
        <w:ind w:firstLine="424" w:firstLineChars="177"/>
        <w:jc w:val="both"/>
        <w:textAlignment w:val="auto"/>
        <w:rPr>
          <w:rFonts w:ascii="宋体" w:hAnsi="宋体" w:cs="宋体"/>
        </w:rPr>
      </w:pPr>
      <w:r>
        <w:rPr>
          <w:rFonts w:hint="eastAsia" w:ascii="宋体" w:hAnsi="宋体" w:cs="宋体"/>
        </w:rPr>
        <w:t>24.4 有下列情况之一的，属于非实质性响应招标文件要求，投标文件将被拒绝：</w:t>
      </w:r>
    </w:p>
    <w:p>
      <w:pPr>
        <w:snapToGrid w:val="0"/>
        <w:spacing w:line="400" w:lineRule="exact"/>
        <w:ind w:firstLine="424" w:firstLineChars="177"/>
        <w:rPr>
          <w:rFonts w:ascii="宋体" w:hAnsi="宋体" w:cs="宋体"/>
          <w:kern w:val="20"/>
          <w:lang w:val="zh-CN"/>
        </w:rPr>
      </w:pPr>
      <w:r>
        <w:rPr>
          <w:rFonts w:hint="eastAsia" w:ascii="宋体" w:hAnsi="宋体" w:cs="宋体"/>
          <w:kern w:val="20"/>
          <w:lang w:val="zh-CN"/>
        </w:rPr>
        <w:t>（</w:t>
      </w:r>
      <w:r>
        <w:rPr>
          <w:rFonts w:hint="eastAsia" w:ascii="宋体" w:hAnsi="宋体" w:cs="宋体"/>
          <w:kern w:val="20"/>
        </w:rPr>
        <w:t>1</w:t>
      </w:r>
      <w:r>
        <w:rPr>
          <w:rFonts w:hint="eastAsia" w:ascii="宋体" w:hAnsi="宋体" w:cs="宋体"/>
          <w:kern w:val="20"/>
          <w:lang w:val="zh-CN"/>
        </w:rPr>
        <w:t>）</w:t>
      </w:r>
      <w:r>
        <w:rPr>
          <w:rFonts w:hint="eastAsia" w:ascii="宋体" w:hAnsi="宋体" w:cs="宋体"/>
        </w:rPr>
        <w:t>投标</w:t>
      </w:r>
      <w:r>
        <w:rPr>
          <w:rFonts w:hint="eastAsia" w:ascii="宋体" w:hAnsi="宋体" w:cs="宋体"/>
          <w:kern w:val="20"/>
          <w:lang w:val="zh-CN"/>
        </w:rPr>
        <w:t>文件有效期不满足招标文件要求的；</w:t>
      </w:r>
    </w:p>
    <w:p>
      <w:pPr>
        <w:snapToGrid w:val="0"/>
        <w:spacing w:line="400" w:lineRule="exact"/>
        <w:ind w:firstLine="424" w:firstLineChars="177"/>
        <w:rPr>
          <w:rFonts w:ascii="宋体" w:hAnsi="宋体" w:cs="宋体"/>
          <w:kern w:val="20"/>
          <w:lang w:val="zh-CN"/>
        </w:rPr>
      </w:pPr>
      <w:r>
        <w:rPr>
          <w:rFonts w:hint="eastAsia" w:ascii="宋体" w:hAnsi="宋体" w:cs="宋体"/>
          <w:kern w:val="20"/>
          <w:lang w:val="zh-CN"/>
        </w:rPr>
        <w:t>（</w:t>
      </w:r>
      <w:r>
        <w:rPr>
          <w:rFonts w:hint="eastAsia" w:ascii="宋体" w:hAnsi="宋体" w:cs="宋体"/>
          <w:kern w:val="20"/>
        </w:rPr>
        <w:t>2</w:t>
      </w:r>
      <w:r>
        <w:rPr>
          <w:rFonts w:hint="eastAsia" w:ascii="宋体" w:hAnsi="宋体" w:cs="宋体"/>
          <w:kern w:val="20"/>
          <w:lang w:val="zh-CN"/>
        </w:rPr>
        <w:t>）投标人在同一份投标文件中提供了选择方案或选择报价；</w:t>
      </w:r>
    </w:p>
    <w:p>
      <w:pPr>
        <w:snapToGrid w:val="0"/>
        <w:spacing w:line="400" w:lineRule="exact"/>
        <w:ind w:firstLine="424" w:firstLineChars="177"/>
        <w:rPr>
          <w:rFonts w:ascii="宋体" w:hAnsi="宋体" w:cs="宋体"/>
          <w:kern w:val="20"/>
        </w:rPr>
      </w:pPr>
      <w:r>
        <w:rPr>
          <w:rFonts w:hint="eastAsia" w:ascii="宋体" w:hAnsi="宋体" w:cs="宋体"/>
        </w:rPr>
        <w:t>（3）投标报价超过本项目预算或者最高限价的；</w:t>
      </w:r>
    </w:p>
    <w:p>
      <w:pPr>
        <w:snapToGrid w:val="0"/>
        <w:spacing w:line="400" w:lineRule="exact"/>
        <w:ind w:firstLine="424" w:firstLineChars="177"/>
        <w:rPr>
          <w:rFonts w:ascii="宋体" w:hAnsi="宋体" w:cs="宋体"/>
          <w:kern w:val="20"/>
          <w:lang w:val="zh-CN"/>
        </w:rPr>
      </w:pPr>
      <w:r>
        <w:rPr>
          <w:rFonts w:hint="eastAsia" w:ascii="宋体" w:hAnsi="宋体" w:cs="宋体"/>
          <w:kern w:val="20"/>
          <w:lang w:val="zh-CN"/>
        </w:rPr>
        <w:t>（</w:t>
      </w:r>
      <w:r>
        <w:rPr>
          <w:rFonts w:hint="eastAsia" w:ascii="宋体" w:hAnsi="宋体" w:cs="宋体"/>
          <w:kern w:val="20"/>
        </w:rPr>
        <w:t>4</w:t>
      </w:r>
      <w:r>
        <w:rPr>
          <w:rFonts w:hint="eastAsia" w:ascii="宋体" w:hAnsi="宋体" w:cs="宋体"/>
          <w:kern w:val="20"/>
          <w:lang w:val="zh-CN"/>
        </w:rPr>
        <w:t>）投标文件未按招标文件规定</w:t>
      </w:r>
      <w:r>
        <w:rPr>
          <w:rFonts w:hint="eastAsia" w:ascii="宋体" w:hAnsi="宋体" w:cs="宋体"/>
        </w:rPr>
        <w:t>签署、盖章</w:t>
      </w:r>
      <w:r>
        <w:rPr>
          <w:rFonts w:hint="eastAsia" w:ascii="宋体" w:hAnsi="宋体" w:cs="宋体"/>
          <w:kern w:val="20"/>
          <w:lang w:val="zh-CN"/>
        </w:rPr>
        <w:t>的；或由投标人授权代表签字的，但未提交有效的“授权委托书”原件的；</w:t>
      </w:r>
    </w:p>
    <w:p>
      <w:pPr>
        <w:snapToGrid w:val="0"/>
        <w:spacing w:line="400" w:lineRule="exact"/>
        <w:ind w:firstLine="424" w:firstLineChars="177"/>
        <w:rPr>
          <w:rFonts w:ascii="宋体" w:hAnsi="宋体" w:cs="宋体"/>
          <w:kern w:val="20"/>
          <w:lang w:val="zh-CN"/>
        </w:rPr>
      </w:pPr>
      <w:r>
        <w:rPr>
          <w:rFonts w:hint="eastAsia" w:ascii="宋体" w:hAnsi="宋体" w:cs="宋体"/>
          <w:kern w:val="20"/>
          <w:lang w:val="zh-CN"/>
        </w:rPr>
        <w:t>（</w:t>
      </w:r>
      <w:r>
        <w:rPr>
          <w:rFonts w:hint="eastAsia" w:ascii="宋体" w:hAnsi="宋体" w:cs="宋体"/>
          <w:kern w:val="20"/>
        </w:rPr>
        <w:t>5</w:t>
      </w:r>
      <w:r>
        <w:rPr>
          <w:rFonts w:hint="eastAsia" w:ascii="宋体" w:hAnsi="宋体" w:cs="宋体"/>
          <w:kern w:val="20"/>
          <w:lang w:val="zh-CN"/>
        </w:rPr>
        <w:t>）未</w:t>
      </w:r>
      <w:r>
        <w:rPr>
          <w:rFonts w:hint="eastAsia" w:ascii="宋体" w:hAnsi="宋体" w:cs="宋体"/>
        </w:rPr>
        <w:t>按规定</w:t>
      </w:r>
      <w:r>
        <w:rPr>
          <w:rFonts w:hint="eastAsia" w:ascii="宋体" w:hAnsi="宋体" w:cs="宋体"/>
          <w:kern w:val="20"/>
          <w:lang w:val="zh-CN"/>
        </w:rPr>
        <w:t>提交投标保证金的；</w:t>
      </w:r>
    </w:p>
    <w:p>
      <w:pPr>
        <w:snapToGrid w:val="0"/>
        <w:spacing w:line="400" w:lineRule="exact"/>
        <w:ind w:firstLine="424" w:firstLineChars="177"/>
        <w:rPr>
          <w:rFonts w:ascii="宋体" w:hAnsi="宋体" w:cs="宋体"/>
          <w:kern w:val="20"/>
          <w:lang w:val="zh-CN"/>
        </w:rPr>
      </w:pPr>
      <w:r>
        <w:rPr>
          <w:rFonts w:hint="eastAsia" w:ascii="宋体" w:hAnsi="宋体" w:cs="宋体"/>
          <w:kern w:val="20"/>
          <w:lang w:val="zh-CN"/>
        </w:rPr>
        <w:t>（</w:t>
      </w:r>
      <w:r>
        <w:rPr>
          <w:rFonts w:hint="eastAsia" w:ascii="宋体" w:hAnsi="宋体" w:cs="宋体"/>
          <w:kern w:val="20"/>
        </w:rPr>
        <w:t>6</w:t>
      </w:r>
      <w:r>
        <w:rPr>
          <w:rFonts w:hint="eastAsia" w:ascii="宋体" w:hAnsi="宋体" w:cs="宋体"/>
          <w:kern w:val="20"/>
          <w:lang w:val="zh-CN"/>
        </w:rPr>
        <w:t>）未按招标文件</w:t>
      </w:r>
      <w:r>
        <w:rPr>
          <w:rFonts w:hint="eastAsia" w:ascii="宋体" w:hAnsi="宋体" w:cs="宋体"/>
          <w:kern w:val="20"/>
        </w:rPr>
        <w:t>要求提供人民币报价的</w:t>
      </w:r>
      <w:r>
        <w:rPr>
          <w:rFonts w:hint="eastAsia" w:ascii="宋体" w:hAnsi="宋体" w:cs="宋体"/>
          <w:kern w:val="20"/>
          <w:lang w:val="zh-CN"/>
        </w:rPr>
        <w:t>；</w:t>
      </w:r>
    </w:p>
    <w:p>
      <w:pPr>
        <w:snapToGrid w:val="0"/>
        <w:spacing w:line="400" w:lineRule="exact"/>
        <w:ind w:firstLine="424" w:firstLineChars="177"/>
        <w:rPr>
          <w:rFonts w:ascii="宋体" w:hAnsi="宋体" w:cs="宋体"/>
          <w:kern w:val="20"/>
          <w:lang w:val="zh-CN"/>
        </w:rPr>
      </w:pPr>
      <w:r>
        <w:rPr>
          <w:rFonts w:hint="eastAsia" w:ascii="宋体" w:hAnsi="宋体" w:cs="宋体"/>
          <w:kern w:val="20"/>
          <w:lang w:val="zh-CN"/>
        </w:rPr>
        <w:t>（</w:t>
      </w:r>
      <w:r>
        <w:rPr>
          <w:rFonts w:hint="eastAsia" w:ascii="宋体" w:hAnsi="宋体" w:cs="宋体"/>
          <w:kern w:val="20"/>
        </w:rPr>
        <w:t>7</w:t>
      </w:r>
      <w:r>
        <w:rPr>
          <w:rFonts w:hint="eastAsia" w:ascii="宋体" w:hAnsi="宋体" w:cs="宋体"/>
          <w:kern w:val="20"/>
          <w:lang w:val="zh-CN"/>
        </w:rPr>
        <w:t>）投标</w:t>
      </w:r>
      <w:r>
        <w:rPr>
          <w:rFonts w:hint="eastAsia" w:ascii="宋体" w:hAnsi="宋体" w:cs="宋体"/>
        </w:rPr>
        <w:t>文件</w:t>
      </w:r>
      <w:r>
        <w:rPr>
          <w:rFonts w:hint="eastAsia" w:ascii="宋体" w:hAnsi="宋体" w:cs="宋体"/>
          <w:kern w:val="20"/>
        </w:rPr>
        <w:t>内</w:t>
      </w:r>
      <w:r>
        <w:rPr>
          <w:rFonts w:hint="eastAsia" w:ascii="宋体" w:hAnsi="宋体" w:cs="宋体"/>
          <w:kern w:val="20"/>
          <w:lang w:val="zh-CN"/>
        </w:rPr>
        <w:t>有采购人或采购代理机构不能接受的</w:t>
      </w:r>
      <w:r>
        <w:rPr>
          <w:rFonts w:hint="eastAsia" w:ascii="宋体" w:hAnsi="宋体" w:cs="宋体"/>
          <w:kern w:val="20"/>
        </w:rPr>
        <w:t>条件或</w:t>
      </w:r>
      <w:r>
        <w:rPr>
          <w:rFonts w:hint="eastAsia" w:ascii="宋体" w:hAnsi="宋体" w:cs="宋体"/>
          <w:kern w:val="20"/>
          <w:lang w:val="zh-CN"/>
        </w:rPr>
        <w:t>附加条件的；</w:t>
      </w:r>
    </w:p>
    <w:p>
      <w:pPr>
        <w:snapToGrid w:val="0"/>
        <w:spacing w:line="400" w:lineRule="exact"/>
        <w:ind w:firstLine="424" w:firstLineChars="177"/>
        <w:rPr>
          <w:rFonts w:ascii="宋体" w:hAnsi="宋体" w:cs="宋体"/>
          <w:kern w:val="20"/>
          <w:lang w:val="zh-CN"/>
        </w:rPr>
      </w:pPr>
      <w:r>
        <w:rPr>
          <w:rFonts w:hint="eastAsia" w:ascii="宋体" w:hAnsi="宋体" w:cs="宋体"/>
          <w:kern w:val="20"/>
          <w:lang w:val="zh-CN"/>
        </w:rPr>
        <w:t>（</w:t>
      </w:r>
      <w:r>
        <w:rPr>
          <w:rFonts w:hint="eastAsia" w:ascii="宋体" w:hAnsi="宋体" w:cs="宋体"/>
          <w:kern w:val="20"/>
        </w:rPr>
        <w:t>8</w:t>
      </w:r>
      <w:r>
        <w:rPr>
          <w:rFonts w:hint="eastAsia" w:ascii="宋体" w:hAnsi="宋体" w:cs="宋体"/>
          <w:kern w:val="20"/>
          <w:lang w:val="zh-CN"/>
        </w:rPr>
        <w:t>）</w:t>
      </w:r>
      <w:r>
        <w:rPr>
          <w:rFonts w:hint="eastAsia" w:ascii="宋体" w:hAnsi="宋体" w:cs="宋体"/>
        </w:rPr>
        <w:t>存在24.3条款情形之一的；</w:t>
      </w:r>
    </w:p>
    <w:p>
      <w:pPr>
        <w:snapToGrid w:val="0"/>
        <w:spacing w:line="400" w:lineRule="exact"/>
        <w:ind w:firstLine="424" w:firstLineChars="177"/>
        <w:rPr>
          <w:rFonts w:ascii="宋体" w:hAnsi="宋体" w:cs="宋体"/>
          <w:kern w:val="20"/>
          <w:lang w:val="zh-CN"/>
        </w:rPr>
      </w:pPr>
      <w:r>
        <w:rPr>
          <w:rFonts w:hint="eastAsia" w:ascii="宋体" w:hAnsi="宋体" w:cs="宋体"/>
          <w:kern w:val="20"/>
          <w:lang w:val="zh-CN"/>
        </w:rPr>
        <w:t>（</w:t>
      </w:r>
      <w:r>
        <w:rPr>
          <w:rFonts w:hint="eastAsia" w:ascii="宋体" w:hAnsi="宋体" w:cs="宋体"/>
          <w:kern w:val="20"/>
        </w:rPr>
        <w:t>9</w:t>
      </w:r>
      <w:r>
        <w:rPr>
          <w:rFonts w:hint="eastAsia" w:ascii="宋体" w:hAnsi="宋体" w:cs="宋体"/>
          <w:kern w:val="20"/>
          <w:lang w:val="zh-CN"/>
        </w:rPr>
        <w:t>）不符合法律、法规和招标文件中规定的其他实质性要求的；</w:t>
      </w:r>
    </w:p>
    <w:p>
      <w:pPr>
        <w:snapToGrid w:val="0"/>
        <w:spacing w:line="400" w:lineRule="exact"/>
        <w:ind w:firstLine="424" w:firstLineChars="177"/>
        <w:rPr>
          <w:rFonts w:ascii="宋体" w:hAnsi="宋体" w:cs="宋体"/>
          <w:kern w:val="20"/>
          <w:lang w:val="zh-CN"/>
        </w:rPr>
      </w:pPr>
      <w:r>
        <w:rPr>
          <w:rFonts w:hint="eastAsia" w:ascii="宋体" w:hAnsi="宋体" w:cs="宋体"/>
          <w:kern w:val="20"/>
          <w:lang w:val="zh-CN"/>
        </w:rPr>
        <w:t>（1</w:t>
      </w:r>
      <w:r>
        <w:rPr>
          <w:rFonts w:hint="eastAsia" w:ascii="宋体" w:hAnsi="宋体" w:cs="宋体"/>
          <w:kern w:val="20"/>
        </w:rPr>
        <w:t>0</w:t>
      </w:r>
      <w:r>
        <w:rPr>
          <w:rFonts w:hint="eastAsia" w:ascii="宋体" w:hAnsi="宋体" w:cs="宋体"/>
          <w:kern w:val="20"/>
          <w:lang w:val="zh-CN"/>
        </w:rPr>
        <w:t>）不满足招标文件中带“</w:t>
      </w:r>
      <w:r>
        <w:rPr>
          <w:rFonts w:hint="eastAsia" w:ascii="宋体" w:hAnsi="宋体" w:cs="宋体"/>
          <w:kern w:val="20"/>
        </w:rPr>
        <w:t>★</w:t>
      </w:r>
      <w:r>
        <w:rPr>
          <w:rFonts w:hint="eastAsia" w:ascii="宋体" w:hAnsi="宋体" w:cs="宋体"/>
          <w:kern w:val="20"/>
          <w:lang w:val="zh-CN"/>
        </w:rPr>
        <w:t>”要求的；</w:t>
      </w:r>
    </w:p>
    <w:p>
      <w:pPr>
        <w:snapToGrid w:val="0"/>
        <w:spacing w:line="400" w:lineRule="exact"/>
        <w:ind w:firstLine="424" w:firstLineChars="177"/>
        <w:rPr>
          <w:rFonts w:ascii="宋体" w:hAnsi="宋体" w:cs="宋体"/>
          <w:kern w:val="20"/>
          <w:lang w:val="zh-CN"/>
        </w:rPr>
      </w:pPr>
      <w:r>
        <w:rPr>
          <w:rFonts w:hint="eastAsia" w:ascii="宋体" w:hAnsi="宋体" w:cs="宋体"/>
          <w:kern w:val="20"/>
          <w:lang w:val="zh-CN"/>
        </w:rPr>
        <w:t>（1</w:t>
      </w:r>
      <w:r>
        <w:rPr>
          <w:rFonts w:hint="eastAsia" w:ascii="宋体" w:hAnsi="宋体" w:cs="宋体"/>
          <w:kern w:val="20"/>
        </w:rPr>
        <w:t>1</w:t>
      </w:r>
      <w:r>
        <w:rPr>
          <w:rFonts w:hint="eastAsia" w:ascii="宋体" w:hAnsi="宋体" w:cs="宋体"/>
          <w:kern w:val="20"/>
          <w:lang w:val="zh-CN"/>
        </w:rPr>
        <w:t>）未按照招标文件要求的方式进行报价。</w:t>
      </w:r>
    </w:p>
    <w:p>
      <w:pPr>
        <w:snapToGrid w:val="0"/>
        <w:spacing w:line="400" w:lineRule="exact"/>
        <w:ind w:firstLine="424" w:firstLineChars="177"/>
        <w:rPr>
          <w:rFonts w:ascii="宋体" w:hAnsi="宋体" w:cs="宋体"/>
          <w:kern w:val="20"/>
          <w:lang w:val="zh-CN"/>
        </w:rPr>
      </w:pP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25.投标的澄清</w:t>
      </w:r>
    </w:p>
    <w:p>
      <w:pPr>
        <w:snapToGrid w:val="0"/>
        <w:spacing w:line="400" w:lineRule="exact"/>
        <w:ind w:firstLine="424" w:firstLineChars="177"/>
        <w:jc w:val="both"/>
        <w:textAlignment w:val="auto"/>
        <w:rPr>
          <w:rFonts w:ascii="宋体" w:hAnsi="宋体" w:cs="宋体"/>
        </w:rPr>
      </w:pPr>
      <w:r>
        <w:rPr>
          <w:rFonts w:hint="eastAsia" w:ascii="宋体" w:hAnsi="宋体" w:cs="宋体"/>
        </w:rPr>
        <w:t>25.1 评标委员会有权要求投标人对投标文件中含义不明确、对同类问题表述不一致或者有明显文字和计算错误等内容作必要的澄清、说明或者补正。该要求应当采用书面形式，并由评标委员会成员签字。如果投标人出现同类问题，评标委员会应当给予投标人均等的澄清机会。</w:t>
      </w:r>
    </w:p>
    <w:p>
      <w:pPr>
        <w:snapToGrid w:val="0"/>
        <w:spacing w:line="400" w:lineRule="exact"/>
        <w:ind w:firstLine="424" w:firstLineChars="177"/>
        <w:jc w:val="both"/>
        <w:textAlignment w:val="auto"/>
        <w:rPr>
          <w:rFonts w:ascii="宋体" w:hAnsi="宋体" w:cs="宋体"/>
        </w:rPr>
      </w:pPr>
      <w:r>
        <w:rPr>
          <w:rFonts w:hint="eastAsia" w:ascii="宋体" w:hAnsi="宋体" w:cs="宋体"/>
        </w:rPr>
        <w:t>25.2 评标委员会</w:t>
      </w:r>
      <w:r>
        <w:rPr>
          <w:rFonts w:hint="eastAsia" w:ascii="宋体" w:hAnsi="宋体" w:cs="宋体"/>
          <w:szCs w:val="21"/>
        </w:rPr>
        <w:t>应当</w:t>
      </w:r>
      <w:r>
        <w:rPr>
          <w:rFonts w:hint="eastAsia" w:ascii="宋体" w:hAnsi="宋体" w:cs="宋体"/>
        </w:rPr>
        <w:t>给投标人以足够合理的时间作出澄清、说明或者补正，投标人必须按照评标委员会通知的内容和时间做出书面答复，该答复经法定代表人或投标人代表的签字，或者加盖公章认可，将作为投标文件内容的一部分。</w:t>
      </w:r>
    </w:p>
    <w:p>
      <w:pPr>
        <w:snapToGrid w:val="0"/>
        <w:spacing w:line="400" w:lineRule="exact"/>
        <w:ind w:firstLine="424" w:firstLineChars="177"/>
        <w:jc w:val="both"/>
        <w:textAlignment w:val="auto"/>
        <w:rPr>
          <w:rFonts w:ascii="宋体" w:hAnsi="宋体" w:cs="宋体"/>
        </w:rPr>
      </w:pPr>
      <w:r>
        <w:rPr>
          <w:rFonts w:hint="eastAsia" w:ascii="宋体" w:hAnsi="宋体" w:cs="宋体"/>
        </w:rPr>
        <w:t>25.3 投标人澄清、说明或者</w:t>
      </w:r>
      <w:r>
        <w:rPr>
          <w:rFonts w:hint="eastAsia" w:ascii="宋体" w:hAnsi="宋体" w:cs="宋体"/>
          <w:szCs w:val="21"/>
        </w:rPr>
        <w:t>补正</w:t>
      </w:r>
      <w:r>
        <w:rPr>
          <w:rFonts w:hint="eastAsia" w:ascii="宋体" w:hAnsi="宋体" w:cs="宋体"/>
        </w:rPr>
        <w:t>不得超出投标文件的范围或者改变投标文件的实质性内容。投标人拒不按照要求对投标文件进行澄清、说明或者补正的，视其放弃该项权利。</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26.对投标文件的详细评审</w:t>
      </w:r>
    </w:p>
    <w:p>
      <w:pPr>
        <w:snapToGrid w:val="0"/>
        <w:spacing w:line="400" w:lineRule="exact"/>
        <w:ind w:firstLine="424" w:firstLineChars="177"/>
        <w:jc w:val="both"/>
        <w:textAlignment w:val="auto"/>
        <w:rPr>
          <w:rFonts w:ascii="宋体" w:hAnsi="宋体" w:cs="宋体"/>
        </w:rPr>
      </w:pPr>
      <w:r>
        <w:rPr>
          <w:rFonts w:hint="eastAsia" w:ascii="宋体" w:hAnsi="宋体" w:cs="宋体"/>
        </w:rPr>
        <w:t>26.1 评标委员会只对实质上响应招标文件的投标进行详细评审；应严格按照招标文件的要求和条件进行评审，不得擅自改动、细化招标文件及评分细则；具体评审原则、方法和中标条件详见</w:t>
      </w:r>
      <w:r>
        <w:rPr>
          <w:rFonts w:hint="eastAsia" w:ascii="宋体" w:hAnsi="宋体" w:cs="宋体"/>
          <w:b/>
          <w:bCs/>
        </w:rPr>
        <w:t>第四章评标方法和评标标准</w:t>
      </w:r>
      <w:r>
        <w:rPr>
          <w:rFonts w:hint="eastAsia" w:ascii="宋体" w:hAnsi="宋体" w:cs="宋体"/>
        </w:rPr>
        <w:t>。</w:t>
      </w:r>
    </w:p>
    <w:p>
      <w:pPr>
        <w:snapToGrid w:val="0"/>
        <w:spacing w:line="400" w:lineRule="exact"/>
        <w:ind w:firstLine="424" w:firstLineChars="177"/>
        <w:jc w:val="both"/>
        <w:textAlignment w:val="auto"/>
        <w:rPr>
          <w:rFonts w:ascii="宋体" w:hAnsi="宋体" w:cs="宋体"/>
        </w:rPr>
      </w:pPr>
      <w:r>
        <w:rPr>
          <w:rFonts w:hint="eastAsia" w:ascii="宋体" w:hAnsi="宋体" w:cs="宋体"/>
        </w:rPr>
        <w:t>26.2 除评标方法和评标标准另有规定外，评标采用综合评分法，将投标主体资质、信用评价、投标产品质量、售后服务、价格等各项因素作为评价的基础，综合评选出最佳投标方案。每一投标人的最终得分为所有评委给其评分的算数平均值。</w:t>
      </w:r>
    </w:p>
    <w:p>
      <w:pPr>
        <w:snapToGrid w:val="0"/>
        <w:spacing w:line="400" w:lineRule="exact"/>
        <w:ind w:firstLine="424" w:firstLineChars="177"/>
        <w:jc w:val="both"/>
        <w:textAlignment w:val="auto"/>
        <w:rPr>
          <w:rFonts w:ascii="宋体" w:hAnsi="宋体" w:cs="宋体"/>
        </w:rPr>
      </w:pPr>
      <w:r>
        <w:rPr>
          <w:rFonts w:hint="eastAsia" w:ascii="宋体" w:hAnsi="宋体" w:cs="宋体"/>
        </w:rPr>
        <w:t>26.3 根据</w:t>
      </w:r>
      <w:r>
        <w:rPr>
          <w:rFonts w:hint="eastAsia" w:ascii="宋体" w:hAnsi="宋体" w:cs="宋体"/>
          <w:szCs w:val="21"/>
        </w:rPr>
        <w:t>财政部</w:t>
      </w:r>
      <w:r>
        <w:rPr>
          <w:rFonts w:hint="eastAsia" w:ascii="宋体" w:hAnsi="宋体" w:cs="宋体"/>
        </w:rPr>
        <w:t>发布的《政府采购促进中小企业发展管理办法》规定，对于非专门面向中小企业的项目，对小微企业产品的价格给予10%-20%的扣除；若投标人为联合体，联合协议中约定，小型、微型企业的协议合同金额占到联合体协议合同总金额30%以上的，可给予联合体4%-6%的价格扣除，扣除后的价格参与评审。具体扣除价格百分比详见</w:t>
      </w:r>
      <w:r>
        <w:rPr>
          <w:rFonts w:hint="eastAsia" w:ascii="宋体" w:hAnsi="宋体" w:cs="宋体"/>
          <w:b/>
          <w:bCs/>
        </w:rPr>
        <w:t>投标人须知前附表</w:t>
      </w:r>
      <w:r>
        <w:rPr>
          <w:rFonts w:hint="eastAsia" w:ascii="宋体" w:hAnsi="宋体" w:cs="宋体"/>
        </w:rPr>
        <w:t>。</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27.评标过程要求</w:t>
      </w:r>
    </w:p>
    <w:p>
      <w:pPr>
        <w:snapToGrid w:val="0"/>
        <w:spacing w:line="400" w:lineRule="exact"/>
        <w:ind w:firstLine="424" w:firstLineChars="177"/>
        <w:jc w:val="both"/>
        <w:textAlignment w:val="auto"/>
        <w:rPr>
          <w:rFonts w:ascii="宋体" w:hAnsi="宋体" w:cs="宋体"/>
        </w:rPr>
      </w:pPr>
      <w:r>
        <w:rPr>
          <w:rFonts w:hint="eastAsia" w:ascii="宋体" w:hAnsi="宋体" w:cs="宋体"/>
        </w:rPr>
        <w:t>27.1 在评标</w:t>
      </w:r>
      <w:r>
        <w:rPr>
          <w:rFonts w:hint="eastAsia" w:ascii="宋体" w:hAnsi="宋体" w:cs="宋体"/>
          <w:szCs w:val="21"/>
        </w:rPr>
        <w:t>期间</w:t>
      </w:r>
      <w:r>
        <w:rPr>
          <w:rFonts w:hint="eastAsia" w:ascii="宋体" w:hAnsi="宋体" w:cs="宋体"/>
        </w:rPr>
        <w:t>，投标人企图影响采购人、采购代理机构或评标委员会的任何活动，将导致投标被</w:t>
      </w:r>
      <w:r>
        <w:rPr>
          <w:rFonts w:hint="eastAsia" w:ascii="宋体" w:hAnsi="宋体" w:cs="宋体"/>
          <w:b/>
          <w:bCs/>
        </w:rPr>
        <w:t>拒绝</w:t>
      </w:r>
      <w:r>
        <w:rPr>
          <w:rFonts w:hint="eastAsia" w:ascii="宋体" w:hAnsi="宋体" w:cs="宋体"/>
        </w:rPr>
        <w:t>，并由其承担相应的法律责任。</w:t>
      </w:r>
    </w:p>
    <w:p>
      <w:pPr>
        <w:snapToGrid w:val="0"/>
        <w:spacing w:line="400" w:lineRule="exact"/>
        <w:ind w:firstLine="424" w:firstLineChars="177"/>
        <w:jc w:val="both"/>
        <w:textAlignment w:val="auto"/>
        <w:rPr>
          <w:rFonts w:ascii="宋体" w:hAnsi="宋体" w:cs="宋体"/>
        </w:rPr>
      </w:pPr>
      <w:r>
        <w:rPr>
          <w:rFonts w:hint="eastAsia" w:ascii="宋体" w:hAnsi="宋体" w:cs="宋体"/>
        </w:rPr>
        <w:t>27.2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snapToGrid w:val="0"/>
        <w:spacing w:line="400" w:lineRule="exact"/>
        <w:ind w:firstLine="424" w:firstLineChars="177"/>
        <w:jc w:val="both"/>
        <w:textAlignment w:val="auto"/>
        <w:rPr>
          <w:rFonts w:ascii="宋体" w:hAnsi="宋体" w:cs="宋体"/>
        </w:rPr>
      </w:pPr>
      <w:r>
        <w:rPr>
          <w:rFonts w:hint="eastAsia" w:ascii="宋体" w:hAnsi="宋体" w:cs="宋体"/>
        </w:rPr>
        <w:t>27.3 评标委员会成员对需要共同认定的事项存在争议的，应当按照少数服从多数的原则作出结论。持不同意见的评标委员会成员应当在评标报告上签署不同意见及理由，否则视为同意评标报告。</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28.采购项目废标</w:t>
      </w:r>
    </w:p>
    <w:p>
      <w:pPr>
        <w:snapToGrid w:val="0"/>
        <w:spacing w:line="400" w:lineRule="exact"/>
        <w:ind w:firstLine="424" w:firstLineChars="177"/>
        <w:jc w:val="both"/>
        <w:textAlignment w:val="auto"/>
        <w:rPr>
          <w:rFonts w:ascii="宋体" w:hAnsi="宋体" w:cs="宋体"/>
        </w:rPr>
      </w:pPr>
      <w:r>
        <w:rPr>
          <w:rFonts w:hint="eastAsia" w:ascii="宋体" w:hAnsi="宋体" w:cs="宋体"/>
        </w:rPr>
        <w:t>28.1 在评标</w:t>
      </w:r>
      <w:r>
        <w:rPr>
          <w:rFonts w:hint="eastAsia" w:ascii="宋体" w:hAnsi="宋体" w:cs="宋体"/>
          <w:szCs w:val="21"/>
        </w:rPr>
        <w:t>过程</w:t>
      </w:r>
      <w:r>
        <w:rPr>
          <w:rFonts w:hint="eastAsia" w:ascii="宋体" w:hAnsi="宋体" w:cs="宋体"/>
        </w:rPr>
        <w:t>中，评标委员会发现有下列情形之一的，应对采购项目予以废标：</w:t>
      </w:r>
    </w:p>
    <w:p>
      <w:pPr>
        <w:snapToGrid w:val="0"/>
        <w:spacing w:line="400" w:lineRule="exact"/>
        <w:ind w:firstLine="424" w:firstLineChars="177"/>
        <w:rPr>
          <w:rFonts w:ascii="宋体" w:hAnsi="宋体" w:cs="宋体"/>
        </w:rPr>
      </w:pPr>
      <w:r>
        <w:rPr>
          <w:rFonts w:hint="eastAsia" w:ascii="宋体" w:hAnsi="宋体" w:cs="宋体"/>
        </w:rPr>
        <w:t>（1）符合专业条件的供应商或者对招标文件作实质响应的供应商数量不足，导致进入实质性评审、打分阶段的供应商不足3家的；</w:t>
      </w:r>
    </w:p>
    <w:p>
      <w:pPr>
        <w:snapToGrid w:val="0"/>
        <w:spacing w:line="400" w:lineRule="exact"/>
        <w:ind w:firstLine="424" w:firstLineChars="177"/>
        <w:rPr>
          <w:rFonts w:ascii="宋体" w:hAnsi="宋体" w:cs="宋体"/>
        </w:rPr>
      </w:pPr>
      <w:r>
        <w:rPr>
          <w:rFonts w:hint="eastAsia" w:ascii="宋体" w:hAnsi="宋体" w:cs="宋体"/>
        </w:rPr>
        <w:t>（2）投标人的报价均超过采购预算，采购人不能支付的；</w:t>
      </w:r>
    </w:p>
    <w:p>
      <w:pPr>
        <w:snapToGrid w:val="0"/>
        <w:spacing w:line="400" w:lineRule="exact"/>
        <w:ind w:firstLine="424" w:firstLineChars="177"/>
        <w:rPr>
          <w:rFonts w:ascii="宋体" w:hAnsi="宋体" w:cs="宋体"/>
        </w:rPr>
      </w:pPr>
      <w:r>
        <w:rPr>
          <w:rFonts w:hint="eastAsia" w:ascii="宋体" w:hAnsi="宋体" w:cs="宋体"/>
        </w:rPr>
        <w:t>（3）出现影响采购公正的违法、违规行为的；</w:t>
      </w:r>
    </w:p>
    <w:p>
      <w:pPr>
        <w:snapToGrid w:val="0"/>
        <w:spacing w:line="400" w:lineRule="exact"/>
        <w:ind w:firstLine="424" w:firstLineChars="177"/>
        <w:rPr>
          <w:rFonts w:ascii="宋体" w:hAnsi="宋体" w:cs="宋体"/>
        </w:rPr>
      </w:pPr>
      <w:r>
        <w:rPr>
          <w:rFonts w:hint="eastAsia" w:ascii="宋体" w:hAnsi="宋体" w:cs="宋体"/>
        </w:rPr>
        <w:t>（4）因重大变故，采购任务取消的。</w:t>
      </w:r>
    </w:p>
    <w:p>
      <w:pPr>
        <w:snapToGrid w:val="0"/>
        <w:spacing w:line="400" w:lineRule="exact"/>
        <w:ind w:firstLine="424" w:firstLineChars="177"/>
        <w:jc w:val="both"/>
        <w:textAlignment w:val="auto"/>
        <w:rPr>
          <w:rFonts w:ascii="宋体" w:hAnsi="宋体" w:cs="宋体"/>
        </w:rPr>
      </w:pPr>
      <w:r>
        <w:rPr>
          <w:rFonts w:hint="eastAsia" w:ascii="宋体" w:hAnsi="宋体" w:cs="宋体"/>
        </w:rPr>
        <w:t>28.2 废标后，采购代理机构应当将废标结果在“清华大学设备采购信息发布平台”“中国政府采购网”公告。</w:t>
      </w:r>
    </w:p>
    <w:p>
      <w:pPr>
        <w:pStyle w:val="41"/>
        <w:adjustRightInd w:val="0"/>
        <w:snapToGrid w:val="0"/>
        <w:spacing w:before="0" w:after="0" w:line="400" w:lineRule="exact"/>
        <w:ind w:firstLineChars="0"/>
        <w:jc w:val="both"/>
        <w:rPr>
          <w:rFonts w:ascii="宋体" w:hAnsi="宋体" w:eastAsia="宋体" w:cs="宋体"/>
          <w:b/>
          <w:bCs/>
          <w:color w:val="auto"/>
          <w:sz w:val="28"/>
          <w:szCs w:val="28"/>
        </w:rPr>
      </w:pPr>
      <w:r>
        <w:rPr>
          <w:rFonts w:hint="eastAsia" w:ascii="宋体" w:hAnsi="宋体" w:eastAsia="宋体" w:cs="宋体"/>
          <w:b/>
          <w:bCs/>
          <w:color w:val="auto"/>
          <w:sz w:val="28"/>
          <w:szCs w:val="28"/>
        </w:rPr>
        <w:t>六、确定中标</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29.确定中标供应商</w:t>
      </w:r>
    </w:p>
    <w:p>
      <w:pPr>
        <w:snapToGrid w:val="0"/>
        <w:spacing w:line="400" w:lineRule="exact"/>
        <w:ind w:firstLine="424" w:firstLineChars="177"/>
        <w:jc w:val="both"/>
        <w:textAlignment w:val="auto"/>
        <w:rPr>
          <w:rFonts w:ascii="宋体" w:hAnsi="宋体" w:cs="宋体"/>
        </w:rPr>
      </w:pPr>
      <w:r>
        <w:rPr>
          <w:rFonts w:hint="eastAsia" w:ascii="宋体" w:hAnsi="宋体" w:cs="宋体"/>
        </w:rPr>
        <w:t>29.1 评标委员会根据详细评审的结果推荐中标候选供应商名单3名，并标明排列顺序。</w:t>
      </w:r>
    </w:p>
    <w:p>
      <w:pPr>
        <w:snapToGrid w:val="0"/>
        <w:spacing w:line="400" w:lineRule="exact"/>
        <w:ind w:firstLine="424" w:firstLineChars="177"/>
        <w:jc w:val="both"/>
        <w:textAlignment w:val="auto"/>
        <w:rPr>
          <w:rFonts w:ascii="宋体" w:hAnsi="宋体" w:cs="宋体"/>
        </w:rPr>
      </w:pPr>
      <w:r>
        <w:rPr>
          <w:rFonts w:hint="eastAsia" w:ascii="宋体" w:hAnsi="宋体" w:cs="宋体"/>
        </w:rPr>
        <w:t>29.2 采购人应</w:t>
      </w:r>
      <w:r>
        <w:rPr>
          <w:rFonts w:hint="eastAsia" w:ascii="宋体" w:hAnsi="宋体" w:cs="宋体"/>
          <w:szCs w:val="21"/>
        </w:rPr>
        <w:t>确定</w:t>
      </w:r>
      <w:r>
        <w:rPr>
          <w:rFonts w:hint="eastAsia" w:ascii="宋体" w:hAnsi="宋体" w:cs="宋体"/>
        </w:rPr>
        <w:t>排名第一的中标候选供应商为中标供应商，并由买方与其签订合同。排名第一的中标候选供应商因不可抗力或者自身原因不能履行合同，或者本文件规定应当提交履约保证金而在规定期限未能提交的，采购人可与下一中标候选供应商签订合同，或重新组织项目招标。</w:t>
      </w:r>
    </w:p>
    <w:p>
      <w:pPr>
        <w:snapToGrid w:val="0"/>
        <w:spacing w:line="400" w:lineRule="exact"/>
        <w:ind w:firstLine="424" w:firstLineChars="177"/>
        <w:jc w:val="both"/>
        <w:textAlignment w:val="auto"/>
        <w:rPr>
          <w:rFonts w:ascii="宋体" w:hAnsi="宋体" w:cs="宋体"/>
        </w:rPr>
      </w:pPr>
      <w:r>
        <w:rPr>
          <w:rFonts w:hint="eastAsia" w:ascii="宋体" w:hAnsi="宋体" w:cs="宋体"/>
        </w:rPr>
        <w:t>29.3 采购人也可授权评标委员会按本条规定推荐中标供应商。</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30.中标通知</w:t>
      </w:r>
    </w:p>
    <w:p>
      <w:pPr>
        <w:snapToGrid w:val="0"/>
        <w:spacing w:line="400" w:lineRule="exact"/>
        <w:ind w:firstLine="424" w:firstLineChars="177"/>
        <w:jc w:val="both"/>
        <w:textAlignment w:val="auto"/>
        <w:rPr>
          <w:rFonts w:ascii="宋体" w:hAnsi="宋体" w:cs="宋体"/>
        </w:rPr>
      </w:pPr>
      <w:r>
        <w:rPr>
          <w:rFonts w:hint="eastAsia" w:ascii="宋体" w:hAnsi="宋体" w:cs="宋体"/>
        </w:rPr>
        <w:t>30.1 中标</w:t>
      </w:r>
      <w:r>
        <w:rPr>
          <w:rFonts w:hint="eastAsia" w:ascii="宋体" w:hAnsi="宋体" w:cs="宋体"/>
          <w:szCs w:val="21"/>
        </w:rPr>
        <w:t>供应</w:t>
      </w:r>
      <w:r>
        <w:rPr>
          <w:rFonts w:hint="eastAsia" w:ascii="宋体" w:hAnsi="宋体" w:cs="宋体"/>
        </w:rPr>
        <w:t>商确定后，采购代理机构在刊登本次招标公告的媒体上发布中标公告，同时以书面形式向中标供应商发出中标通知书。中标公告期限为1个工作日。</w:t>
      </w:r>
    </w:p>
    <w:p>
      <w:pPr>
        <w:snapToGrid w:val="0"/>
        <w:spacing w:line="400" w:lineRule="exact"/>
        <w:ind w:firstLine="424" w:firstLineChars="177"/>
        <w:jc w:val="both"/>
        <w:textAlignment w:val="auto"/>
        <w:rPr>
          <w:rFonts w:ascii="宋体" w:hAnsi="宋体" w:cs="宋体"/>
        </w:rPr>
      </w:pPr>
      <w:r>
        <w:rPr>
          <w:rFonts w:hint="eastAsia" w:ascii="宋体" w:hAnsi="宋体" w:cs="宋体"/>
        </w:rPr>
        <w:t xml:space="preserve">30.2 </w:t>
      </w:r>
      <w:r>
        <w:rPr>
          <w:rFonts w:hint="eastAsia" w:ascii="宋体" w:hAnsi="宋体" w:cs="宋体"/>
          <w:szCs w:val="21"/>
        </w:rPr>
        <w:t>中标通知书</w:t>
      </w:r>
      <w:r>
        <w:rPr>
          <w:rFonts w:hint="eastAsia" w:ascii="宋体" w:hAnsi="宋体" w:cs="宋体"/>
        </w:rPr>
        <w:t>对买方和中标供应商具有同等法律效力。中标通知书发出以后，买方改变中标结果或者中标供应商放弃中标，应当承担相应的法律责任。</w:t>
      </w:r>
    </w:p>
    <w:p>
      <w:pPr>
        <w:snapToGrid w:val="0"/>
        <w:spacing w:line="400" w:lineRule="exact"/>
        <w:ind w:firstLine="424" w:firstLineChars="177"/>
        <w:jc w:val="both"/>
        <w:textAlignment w:val="auto"/>
        <w:rPr>
          <w:rFonts w:ascii="宋体" w:hAnsi="宋体" w:cs="宋体"/>
        </w:rPr>
      </w:pPr>
      <w:r>
        <w:rPr>
          <w:rFonts w:hint="eastAsia" w:ascii="宋体" w:hAnsi="宋体" w:cs="宋体"/>
        </w:rPr>
        <w:t>30.3 中标通知书是合同的组成部分。</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31.签订合同</w:t>
      </w:r>
    </w:p>
    <w:p>
      <w:pPr>
        <w:snapToGrid w:val="0"/>
        <w:spacing w:line="400" w:lineRule="exact"/>
        <w:ind w:firstLine="424" w:firstLineChars="177"/>
        <w:jc w:val="both"/>
        <w:textAlignment w:val="auto"/>
        <w:rPr>
          <w:rFonts w:ascii="宋体" w:hAnsi="宋体" w:cs="宋体"/>
        </w:rPr>
      </w:pPr>
      <w:r>
        <w:rPr>
          <w:rFonts w:hint="eastAsia" w:ascii="宋体" w:hAnsi="宋体" w:cs="宋体"/>
        </w:rPr>
        <w:t>31.1 中标供应商应当自中标通知书发出之日起30日内，按照招标文件、投标文件确定的事项与买方签订中标合同。</w:t>
      </w:r>
    </w:p>
    <w:p>
      <w:pPr>
        <w:snapToGrid w:val="0"/>
        <w:spacing w:line="400" w:lineRule="exact"/>
        <w:ind w:firstLine="424" w:firstLineChars="177"/>
        <w:jc w:val="both"/>
        <w:textAlignment w:val="auto"/>
        <w:rPr>
          <w:rFonts w:ascii="宋体" w:hAnsi="宋体" w:cs="宋体"/>
        </w:rPr>
      </w:pPr>
      <w:r>
        <w:rPr>
          <w:rFonts w:hint="eastAsia" w:ascii="宋体" w:hAnsi="宋体" w:cs="宋体"/>
        </w:rPr>
        <w:t>31.2 中标供应商应按照招标文件、投标文件及评标过程中的有关澄清、说明或者补正文件的内容与买方签订合同。中标供应商不得再与买方签订背离合同实质性内容的其它协议或声明。</w:t>
      </w:r>
    </w:p>
    <w:p>
      <w:pPr>
        <w:snapToGrid w:val="0"/>
        <w:spacing w:line="400" w:lineRule="exact"/>
        <w:ind w:firstLine="424" w:firstLineChars="177"/>
        <w:jc w:val="both"/>
        <w:textAlignment w:val="auto"/>
        <w:rPr>
          <w:rFonts w:ascii="宋体" w:hAnsi="宋体" w:cs="宋体"/>
        </w:rPr>
      </w:pPr>
      <w:r>
        <w:rPr>
          <w:rFonts w:hint="eastAsia" w:ascii="宋体" w:hAnsi="宋体" w:cs="宋体"/>
        </w:rPr>
        <w:t>31.3 买方如需追加与合同标的相同的服务，在不改变合同其他条款的前提下，中标供应商可与买方协商签订补充合同，但所有补充合同的采购金额不得超过原合同金额的百分之十。</w:t>
      </w:r>
    </w:p>
    <w:p>
      <w:pPr>
        <w:snapToGrid w:val="0"/>
        <w:spacing w:line="400" w:lineRule="exact"/>
        <w:ind w:firstLine="424" w:firstLineChars="177"/>
        <w:jc w:val="both"/>
        <w:textAlignment w:val="auto"/>
        <w:rPr>
          <w:rFonts w:ascii="宋体" w:hAnsi="宋体" w:cs="宋体"/>
        </w:rPr>
      </w:pPr>
      <w:r>
        <w:rPr>
          <w:rFonts w:hint="eastAsia" w:ascii="宋体" w:hAnsi="宋体" w:cs="宋体"/>
        </w:rPr>
        <w:t>31.4 买方</w:t>
      </w:r>
      <w:r>
        <w:rPr>
          <w:rFonts w:hint="eastAsia" w:ascii="宋体" w:hAnsi="宋体" w:cs="宋体"/>
          <w:szCs w:val="21"/>
        </w:rPr>
        <w:t>应当</w:t>
      </w:r>
      <w:r>
        <w:rPr>
          <w:rFonts w:hint="eastAsia" w:ascii="宋体" w:hAnsi="宋体" w:cs="宋体"/>
        </w:rPr>
        <w:t>按照合同规定，及时向中标供应商支付采购资金，资金支付程序按照国家有关财政资金支付管理的规定执行。</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32.履约保证金</w:t>
      </w:r>
    </w:p>
    <w:p>
      <w:pPr>
        <w:snapToGrid w:val="0"/>
        <w:spacing w:line="400" w:lineRule="exact"/>
        <w:ind w:firstLine="424" w:firstLineChars="177"/>
        <w:jc w:val="both"/>
        <w:textAlignment w:val="auto"/>
        <w:rPr>
          <w:rFonts w:ascii="宋体" w:hAnsi="宋体" w:cs="宋体"/>
          <w:kern w:val="20"/>
          <w:lang w:val="zh-CN"/>
        </w:rPr>
      </w:pPr>
      <w:r>
        <w:rPr>
          <w:rFonts w:hint="eastAsia" w:ascii="宋体" w:hAnsi="宋体" w:cs="宋体"/>
          <w:kern w:val="20"/>
          <w:lang w:val="zh-CN"/>
        </w:rPr>
        <w:t>32.1 中标供应商在签订合同后</w:t>
      </w:r>
      <w:r>
        <w:rPr>
          <w:rFonts w:hint="eastAsia" w:ascii="宋体" w:hAnsi="宋体" w:cs="宋体"/>
          <w:kern w:val="20"/>
          <w:u w:val="single"/>
          <w:lang w:val="zh-CN"/>
        </w:rPr>
        <w:t>（详见投标人须知前附表）</w:t>
      </w:r>
      <w:r>
        <w:rPr>
          <w:rFonts w:hint="eastAsia" w:ascii="宋体" w:hAnsi="宋体" w:cs="宋体"/>
          <w:kern w:val="20"/>
          <w:lang w:val="zh-CN"/>
        </w:rPr>
        <w:t>天内，按招标文件中提供的履约保证金保函格式或</w:t>
      </w:r>
      <w:r>
        <w:rPr>
          <w:rFonts w:hint="eastAsia" w:ascii="宋体" w:hAnsi="宋体" w:cs="宋体"/>
        </w:rPr>
        <w:t>买方</w:t>
      </w:r>
      <w:r>
        <w:rPr>
          <w:rFonts w:hint="eastAsia" w:ascii="宋体" w:hAnsi="宋体" w:cs="宋体"/>
          <w:kern w:val="20"/>
          <w:lang w:val="zh-CN"/>
        </w:rPr>
        <w:t>可以接受的其他形式向买方提交合同总价</w:t>
      </w:r>
      <w:r>
        <w:rPr>
          <w:rFonts w:hint="eastAsia" w:ascii="宋体" w:hAnsi="宋体" w:cs="宋体"/>
          <w:kern w:val="20"/>
          <w:u w:val="single"/>
          <w:lang w:val="zh-CN"/>
        </w:rPr>
        <w:t>（详见投标人须知前附表）</w:t>
      </w:r>
      <w:r>
        <w:rPr>
          <w:rFonts w:hint="eastAsia" w:ascii="宋体" w:hAnsi="宋体" w:cs="宋体"/>
          <w:kern w:val="20"/>
          <w:lang w:val="zh-CN"/>
        </w:rPr>
        <w:t>的履约保证金，履约保证金在双方约定的服务质量保证期期满前应完全有效。</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33.预付款保证金</w:t>
      </w:r>
    </w:p>
    <w:p>
      <w:pPr>
        <w:snapToGrid w:val="0"/>
        <w:spacing w:line="400" w:lineRule="exact"/>
        <w:ind w:firstLine="424" w:firstLineChars="177"/>
        <w:jc w:val="both"/>
        <w:textAlignment w:val="auto"/>
        <w:rPr>
          <w:rFonts w:ascii="宋体" w:hAnsi="宋体" w:cs="宋体"/>
          <w:kern w:val="20"/>
          <w:lang w:val="zh-CN"/>
        </w:rPr>
      </w:pPr>
      <w:r>
        <w:rPr>
          <w:rFonts w:hint="eastAsia" w:ascii="宋体" w:hAnsi="宋体" w:cs="宋体"/>
          <w:kern w:val="20"/>
          <w:lang w:val="zh-CN"/>
        </w:rPr>
        <w:t>33.1 为避免和</w:t>
      </w:r>
      <w:r>
        <w:rPr>
          <w:rFonts w:hint="eastAsia" w:ascii="宋体" w:hAnsi="宋体" w:cs="宋体"/>
          <w:szCs w:val="21"/>
        </w:rPr>
        <w:t>减少</w:t>
      </w:r>
      <w:r>
        <w:rPr>
          <w:rFonts w:hint="eastAsia" w:ascii="宋体" w:hAnsi="宋体" w:cs="宋体"/>
          <w:kern w:val="20"/>
          <w:lang w:val="zh-CN"/>
        </w:rPr>
        <w:t>中标供应商的行为给</w:t>
      </w:r>
      <w:r>
        <w:rPr>
          <w:rFonts w:hint="eastAsia" w:ascii="宋体" w:hAnsi="宋体" w:cs="宋体"/>
        </w:rPr>
        <w:t>买方</w:t>
      </w:r>
      <w:r>
        <w:rPr>
          <w:rFonts w:hint="eastAsia" w:ascii="宋体" w:hAnsi="宋体" w:cs="宋体"/>
          <w:kern w:val="20"/>
          <w:lang w:val="zh-CN"/>
        </w:rPr>
        <w:t>带来的损失，中标供应商在签订合同后</w:t>
      </w:r>
      <w:r>
        <w:rPr>
          <w:rFonts w:hint="eastAsia" w:ascii="宋体" w:hAnsi="宋体" w:cs="宋体"/>
          <w:kern w:val="20"/>
          <w:u w:val="single"/>
          <w:lang w:val="zh-CN"/>
        </w:rPr>
        <w:t>（详见投标人须知前附表）</w:t>
      </w:r>
      <w:r>
        <w:rPr>
          <w:rFonts w:hint="eastAsia" w:ascii="宋体" w:hAnsi="宋体" w:cs="宋体"/>
          <w:kern w:val="20"/>
          <w:lang w:val="zh-CN"/>
        </w:rPr>
        <w:t>天内，按招标文件中提供的预付款保证金格式或</w:t>
      </w:r>
      <w:r>
        <w:rPr>
          <w:rFonts w:hint="eastAsia" w:ascii="宋体" w:hAnsi="宋体" w:cs="宋体"/>
        </w:rPr>
        <w:t>买方</w:t>
      </w:r>
      <w:r>
        <w:rPr>
          <w:rFonts w:hint="eastAsia" w:ascii="宋体" w:hAnsi="宋体" w:cs="宋体"/>
          <w:kern w:val="20"/>
          <w:lang w:val="zh-CN"/>
        </w:rPr>
        <w:t>可以接受的其他形式向买方提交合同总价</w:t>
      </w:r>
      <w:r>
        <w:rPr>
          <w:rFonts w:hint="eastAsia" w:ascii="宋体" w:hAnsi="宋体" w:cs="宋体"/>
          <w:kern w:val="20"/>
          <w:u w:val="single"/>
          <w:lang w:val="zh-CN"/>
        </w:rPr>
        <w:t>（详见投标人须知前附表）</w:t>
      </w:r>
      <w:r>
        <w:rPr>
          <w:rFonts w:hint="eastAsia" w:ascii="宋体" w:hAnsi="宋体" w:cs="宋体"/>
          <w:kern w:val="20"/>
          <w:lang w:val="zh-CN"/>
        </w:rPr>
        <w:t>%的预付款保证金，预付款保证金在双方约定的服务质量保证期期满前应完全有效。</w:t>
      </w:r>
    </w:p>
    <w:p>
      <w:pPr>
        <w:pStyle w:val="41"/>
        <w:adjustRightInd w:val="0"/>
        <w:snapToGrid w:val="0"/>
        <w:spacing w:before="0" w:after="0" w:line="400" w:lineRule="exact"/>
        <w:ind w:firstLine="424" w:firstLineChars="176"/>
        <w:jc w:val="both"/>
        <w:rPr>
          <w:rFonts w:ascii="宋体" w:hAnsi="宋体" w:eastAsia="宋体" w:cs="宋体"/>
          <w:b/>
          <w:bCs/>
          <w:color w:val="auto"/>
          <w:sz w:val="24"/>
          <w:szCs w:val="24"/>
        </w:rPr>
      </w:pPr>
      <w:r>
        <w:rPr>
          <w:rFonts w:hint="eastAsia" w:ascii="宋体" w:hAnsi="宋体" w:eastAsia="宋体" w:cs="宋体"/>
          <w:b/>
          <w:bCs/>
          <w:color w:val="auto"/>
          <w:sz w:val="24"/>
          <w:szCs w:val="24"/>
        </w:rPr>
        <w:t>34.中标服务费</w:t>
      </w:r>
    </w:p>
    <w:p>
      <w:pPr>
        <w:snapToGrid w:val="0"/>
        <w:spacing w:line="400" w:lineRule="exact"/>
        <w:ind w:firstLine="424" w:firstLineChars="177"/>
        <w:jc w:val="both"/>
        <w:textAlignment w:val="auto"/>
        <w:rPr>
          <w:rFonts w:ascii="宋体" w:hAnsi="宋体" w:cs="宋体"/>
          <w:b/>
          <w:bCs/>
        </w:rPr>
      </w:pPr>
      <w:r>
        <w:rPr>
          <w:rFonts w:hint="eastAsia" w:ascii="宋体" w:hAnsi="宋体" w:cs="宋体"/>
        </w:rPr>
        <w:t>34.1 中</w:t>
      </w:r>
      <w:r>
        <w:rPr>
          <w:rFonts w:hint="eastAsia" w:ascii="宋体" w:hAnsi="宋体" w:cs="宋体"/>
          <w:bCs/>
        </w:rPr>
        <w:t>标</w:t>
      </w:r>
      <w:r>
        <w:rPr>
          <w:rFonts w:hint="eastAsia" w:ascii="宋体" w:hAnsi="宋体" w:cs="宋体"/>
        </w:rPr>
        <w:t>服务费</w:t>
      </w:r>
      <w:r>
        <w:rPr>
          <w:rFonts w:hint="eastAsia" w:ascii="宋体" w:hAnsi="宋体" w:cs="宋体"/>
          <w:szCs w:val="21"/>
        </w:rPr>
        <w:t>收费标准</w:t>
      </w:r>
      <w:r>
        <w:rPr>
          <w:rFonts w:hint="eastAsia" w:ascii="宋体" w:hAnsi="宋体" w:cs="宋体"/>
          <w:bCs/>
        </w:rPr>
        <w:t>及交纳方式</w:t>
      </w:r>
      <w:r>
        <w:rPr>
          <w:rFonts w:hint="eastAsia" w:ascii="宋体" w:hAnsi="宋体" w:cs="宋体"/>
        </w:rPr>
        <w:t>详见</w:t>
      </w:r>
      <w:r>
        <w:rPr>
          <w:rFonts w:hint="eastAsia" w:ascii="宋体" w:hAnsi="宋体" w:cs="宋体"/>
          <w:b/>
          <w:bCs/>
        </w:rPr>
        <w:t>投标人须知前附表。</w:t>
      </w:r>
    </w:p>
    <w:p>
      <w:pPr>
        <w:widowControl/>
        <w:snapToGrid w:val="0"/>
        <w:spacing w:line="400" w:lineRule="exact"/>
        <w:ind w:firstLine="424" w:firstLineChars="176"/>
        <w:jc w:val="both"/>
        <w:textAlignment w:val="auto"/>
        <w:rPr>
          <w:rFonts w:ascii="宋体" w:hAnsi="宋体" w:cs="宋体"/>
          <w:b/>
          <w:bCs/>
          <w:kern w:val="20"/>
          <w:lang w:val="zh-CN"/>
        </w:rPr>
      </w:pPr>
      <w:r>
        <w:rPr>
          <w:rFonts w:hint="eastAsia" w:ascii="宋体" w:hAnsi="宋体" w:cs="宋体"/>
          <w:b/>
          <w:bCs/>
          <w:kern w:val="20"/>
          <w:lang w:val="zh-CN"/>
        </w:rPr>
        <w:t>35.质疑的提出</w:t>
      </w:r>
    </w:p>
    <w:p>
      <w:pPr>
        <w:widowControl/>
        <w:snapToGrid w:val="0"/>
        <w:spacing w:line="400" w:lineRule="exact"/>
        <w:ind w:firstLine="422" w:firstLineChars="176"/>
        <w:jc w:val="both"/>
        <w:textAlignment w:val="auto"/>
        <w:rPr>
          <w:rFonts w:ascii="宋体" w:hAnsi="宋体" w:cs="宋体"/>
          <w:bCs/>
          <w:kern w:val="20"/>
          <w:lang w:val="zh-CN"/>
        </w:rPr>
      </w:pPr>
      <w:r>
        <w:rPr>
          <w:rFonts w:hint="eastAsia" w:ascii="宋体" w:hAnsi="宋体" w:cs="宋体"/>
          <w:bCs/>
          <w:kern w:val="20"/>
          <w:lang w:val="zh-CN"/>
        </w:rPr>
        <w:t>35.1 对本项目提出质疑的供应商应当是参与本项目采购活动的供应商。</w:t>
      </w:r>
    </w:p>
    <w:p>
      <w:pPr>
        <w:widowControl/>
        <w:snapToGrid w:val="0"/>
        <w:spacing w:line="400" w:lineRule="exact"/>
        <w:ind w:firstLine="422" w:firstLineChars="176"/>
        <w:jc w:val="both"/>
        <w:textAlignment w:val="auto"/>
        <w:rPr>
          <w:rFonts w:ascii="宋体" w:hAnsi="宋体" w:cs="宋体"/>
          <w:bCs/>
          <w:kern w:val="20"/>
          <w:lang w:val="zh-CN"/>
        </w:rPr>
      </w:pPr>
      <w:r>
        <w:rPr>
          <w:rFonts w:hint="eastAsia" w:ascii="宋体" w:hAnsi="宋体" w:cs="宋体"/>
          <w:bCs/>
          <w:kern w:val="20"/>
          <w:lang w:val="zh-CN"/>
        </w:rPr>
        <w:t>35.2 供应商须在法定质疑期内一次性提出针对本项目同一采购程序环节的质疑。</w:t>
      </w:r>
    </w:p>
    <w:p>
      <w:pPr>
        <w:widowControl/>
        <w:snapToGrid w:val="0"/>
        <w:spacing w:line="400" w:lineRule="exact"/>
        <w:ind w:firstLine="422" w:firstLineChars="176"/>
        <w:jc w:val="both"/>
        <w:textAlignment w:val="auto"/>
        <w:rPr>
          <w:rFonts w:ascii="宋体" w:hAnsi="宋体" w:cs="宋体"/>
          <w:bCs/>
          <w:kern w:val="20"/>
          <w:lang w:val="zh-CN"/>
        </w:rPr>
      </w:pPr>
      <w:r>
        <w:rPr>
          <w:rFonts w:hint="eastAsia" w:ascii="宋体" w:hAnsi="宋体" w:cs="宋体"/>
          <w:bCs/>
          <w:kern w:val="20"/>
          <w:lang w:val="zh-CN"/>
        </w:rPr>
        <w:t>35.3 供应商的质疑如存在捏造事实或者提供虚假材料的情况，供应商将承担相应的法律责任。</w:t>
      </w:r>
    </w:p>
    <w:p>
      <w:pPr>
        <w:widowControl/>
        <w:snapToGrid w:val="0"/>
        <w:spacing w:line="400" w:lineRule="exact"/>
        <w:ind w:firstLine="422" w:firstLineChars="176"/>
        <w:jc w:val="both"/>
        <w:textAlignment w:val="auto"/>
        <w:rPr>
          <w:rFonts w:ascii="宋体" w:hAnsi="宋体" w:cs="宋体"/>
          <w:bCs/>
          <w:kern w:val="20"/>
          <w:lang w:val="zh-CN"/>
        </w:rPr>
      </w:pPr>
      <w:r>
        <w:rPr>
          <w:rFonts w:hint="eastAsia" w:ascii="宋体" w:hAnsi="宋体" w:cs="宋体"/>
          <w:bCs/>
          <w:kern w:val="20"/>
          <w:lang w:val="zh-CN"/>
        </w:rPr>
        <w:t>35.4 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p>
    <w:p>
      <w:pPr>
        <w:widowControl/>
        <w:snapToGrid w:val="0"/>
        <w:spacing w:line="400" w:lineRule="exact"/>
        <w:ind w:firstLine="422" w:firstLineChars="176"/>
        <w:jc w:val="both"/>
        <w:textAlignment w:val="auto"/>
        <w:rPr>
          <w:rFonts w:ascii="宋体" w:hAnsi="宋体" w:cs="宋体"/>
          <w:bCs/>
          <w:kern w:val="20"/>
          <w:lang w:val="zh-CN"/>
        </w:rPr>
      </w:pPr>
      <w:r>
        <w:rPr>
          <w:rFonts w:hint="eastAsia" w:ascii="宋体" w:hAnsi="宋体" w:cs="宋体"/>
          <w:bCs/>
          <w:kern w:val="20"/>
          <w:lang w:val="zh-CN"/>
        </w:rPr>
        <w:t>35.5 供应商提出质疑时，应当以书面形式提交质疑函和必要的证明材料。质疑函的质疑事项应具体、明确，并有必要的事实依据和法律依据。质疑函的质疑请求应与质疑事项相关。</w:t>
      </w:r>
    </w:p>
    <w:p>
      <w:pPr>
        <w:widowControl/>
        <w:snapToGrid w:val="0"/>
        <w:spacing w:line="400" w:lineRule="exact"/>
        <w:ind w:firstLine="422" w:firstLineChars="176"/>
        <w:jc w:val="both"/>
        <w:textAlignment w:val="auto"/>
        <w:rPr>
          <w:rFonts w:ascii="宋体" w:hAnsi="宋体" w:cs="宋体"/>
          <w:bCs/>
          <w:kern w:val="20"/>
          <w:lang w:val="zh-CN"/>
        </w:rPr>
      </w:pPr>
      <w:r>
        <w:rPr>
          <w:rFonts w:hint="eastAsia" w:ascii="宋体" w:hAnsi="宋体" w:cs="宋体"/>
          <w:bCs/>
          <w:kern w:val="20"/>
          <w:lang w:val="zh-CN"/>
        </w:rPr>
        <w:t>35.6 质疑供应商若对项目的某一分包进行质疑，质疑函中应列明具体分包号。</w:t>
      </w:r>
    </w:p>
    <w:p>
      <w:pPr>
        <w:widowControl/>
        <w:snapToGrid w:val="0"/>
        <w:spacing w:line="400" w:lineRule="exact"/>
        <w:ind w:firstLine="422" w:firstLineChars="176"/>
        <w:jc w:val="both"/>
        <w:textAlignment w:val="auto"/>
        <w:rPr>
          <w:rFonts w:ascii="宋体" w:hAnsi="宋体" w:cs="宋体"/>
          <w:bCs/>
          <w:kern w:val="20"/>
          <w:lang w:val="zh-CN"/>
        </w:rPr>
      </w:pPr>
      <w:r>
        <w:rPr>
          <w:rFonts w:hint="eastAsia" w:ascii="宋体" w:hAnsi="宋体" w:cs="宋体"/>
          <w:bCs/>
          <w:kern w:val="20"/>
          <w:lang w:val="zh-CN"/>
        </w:rPr>
        <w:t>35.7 质疑供应商为自然人的，质疑函应由本人签字；质疑供应商为法人或者其他组织的，质疑函应由法定代表人、主要负责人，或者其授权代表签字或者盖章，并加盖公章。</w:t>
      </w:r>
    </w:p>
    <w:p>
      <w:pPr>
        <w:widowControl/>
        <w:snapToGrid w:val="0"/>
        <w:spacing w:line="400" w:lineRule="exact"/>
        <w:ind w:firstLine="422" w:firstLineChars="176"/>
        <w:jc w:val="both"/>
        <w:textAlignment w:val="auto"/>
        <w:rPr>
          <w:rFonts w:ascii="宋体" w:hAnsi="宋体" w:cs="宋体"/>
          <w:bCs/>
          <w:kern w:val="20"/>
          <w:lang w:val="zh-CN"/>
        </w:rPr>
      </w:pPr>
      <w:r>
        <w:rPr>
          <w:rFonts w:hint="eastAsia" w:ascii="宋体" w:hAnsi="宋体" w:cs="宋体"/>
          <w:bCs/>
          <w:kern w:val="20"/>
          <w:lang w:val="zh-CN"/>
        </w:rPr>
        <w:t>35.8 质疑函范本如下：</w:t>
      </w:r>
    </w:p>
    <w:tbl>
      <w:tblPr>
        <w:tblStyle w:val="26"/>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9" w:type="dxa"/>
          </w:tcPr>
          <w:p>
            <w:pPr>
              <w:jc w:val="center"/>
              <w:rPr>
                <w:rFonts w:ascii="宋体" w:hAnsi="宋体" w:cs="宋体"/>
                <w:b/>
                <w:bCs/>
              </w:rPr>
            </w:pPr>
            <w:r>
              <w:rPr>
                <w:rFonts w:hint="eastAsia" w:ascii="宋体" w:hAnsi="宋体" w:cs="宋体"/>
                <w:b/>
                <w:bCs/>
              </w:rPr>
              <w:t>质疑函范本</w:t>
            </w:r>
          </w:p>
          <w:p>
            <w:pPr>
              <w:snapToGrid w:val="0"/>
              <w:spacing w:before="240" w:beforeLines="100" w:line="360" w:lineRule="auto"/>
              <w:rPr>
                <w:rFonts w:ascii="宋体" w:hAnsi="宋体" w:cs="宋体"/>
                <w:bCs/>
              </w:rPr>
            </w:pPr>
            <w:r>
              <w:rPr>
                <w:rFonts w:hint="eastAsia" w:ascii="宋体" w:hAnsi="宋体" w:cs="宋体"/>
                <w:bCs/>
              </w:rPr>
              <w:t>一、质疑供应商基本信息</w:t>
            </w:r>
          </w:p>
          <w:p>
            <w:pPr>
              <w:snapToGrid w:val="0"/>
              <w:spacing w:line="360" w:lineRule="auto"/>
              <w:rPr>
                <w:rFonts w:ascii="宋体" w:hAnsi="宋体" w:cs="宋体"/>
                <w:u w:val="dotted"/>
              </w:rPr>
            </w:pPr>
            <w:r>
              <w:rPr>
                <w:rFonts w:hint="eastAsia" w:ascii="宋体" w:hAnsi="宋体" w:cs="宋体"/>
              </w:rPr>
              <w:t>质疑供应商：</w:t>
            </w:r>
            <w:r>
              <w:rPr>
                <w:rFonts w:hint="eastAsia" w:ascii="宋体" w:hAnsi="宋体" w:cs="宋体"/>
                <w:u w:val="dotted"/>
              </w:rPr>
              <w:t xml:space="preserve">                                        </w:t>
            </w:r>
          </w:p>
          <w:p>
            <w:pPr>
              <w:snapToGrid w:val="0"/>
              <w:spacing w:line="360" w:lineRule="auto"/>
              <w:rPr>
                <w:rFonts w:ascii="宋体" w:hAnsi="宋体" w:cs="宋体"/>
              </w:rPr>
            </w:pPr>
            <w:r>
              <w:rPr>
                <w:rFonts w:hint="eastAsia" w:ascii="宋体" w:hAnsi="宋体" w:cs="宋体"/>
              </w:rPr>
              <w:t>地址：</w:t>
            </w:r>
            <w:r>
              <w:rPr>
                <w:rFonts w:hint="eastAsia" w:ascii="宋体" w:hAnsi="宋体" w:cs="宋体"/>
                <w:u w:val="dotted"/>
              </w:rPr>
              <w:t xml:space="preserve">                          </w:t>
            </w:r>
            <w:r>
              <w:rPr>
                <w:rFonts w:hint="eastAsia" w:ascii="宋体" w:hAnsi="宋体" w:cs="宋体"/>
              </w:rPr>
              <w:t>邮编：</w:t>
            </w:r>
            <w:r>
              <w:rPr>
                <w:rFonts w:hint="eastAsia" w:ascii="宋体" w:hAnsi="宋体" w:cs="宋体"/>
                <w:u w:val="dotted"/>
              </w:rPr>
              <w:t xml:space="preserve">                                                   </w:t>
            </w:r>
          </w:p>
          <w:p>
            <w:pPr>
              <w:snapToGrid w:val="0"/>
              <w:spacing w:line="360" w:lineRule="auto"/>
              <w:rPr>
                <w:rFonts w:ascii="宋体" w:hAnsi="宋体" w:cs="宋体"/>
              </w:rPr>
            </w:pPr>
            <w:r>
              <w:rPr>
                <w:rFonts w:hint="eastAsia" w:ascii="宋体" w:hAnsi="宋体" w:cs="宋体"/>
              </w:rPr>
              <w:t>联系人：</w:t>
            </w:r>
            <w:r>
              <w:rPr>
                <w:rFonts w:hint="eastAsia" w:ascii="宋体" w:hAnsi="宋体" w:cs="宋体"/>
                <w:u w:val="dotted"/>
              </w:rPr>
              <w:t xml:space="preserve">                      </w:t>
            </w:r>
            <w:r>
              <w:rPr>
                <w:rFonts w:hint="eastAsia" w:ascii="宋体" w:hAnsi="宋体" w:cs="宋体"/>
              </w:rPr>
              <w:t>联系电话：</w:t>
            </w:r>
            <w:r>
              <w:rPr>
                <w:rFonts w:hint="eastAsia" w:ascii="宋体" w:hAnsi="宋体" w:cs="宋体"/>
                <w:u w:val="dotted"/>
              </w:rPr>
              <w:t xml:space="preserve">                              </w:t>
            </w:r>
          </w:p>
          <w:p>
            <w:pPr>
              <w:snapToGrid w:val="0"/>
              <w:spacing w:line="360" w:lineRule="auto"/>
              <w:rPr>
                <w:rFonts w:ascii="宋体" w:hAnsi="宋体" w:cs="宋体"/>
                <w:u w:val="dotted"/>
              </w:rPr>
            </w:pPr>
            <w:r>
              <w:rPr>
                <w:rFonts w:hint="eastAsia" w:ascii="宋体" w:hAnsi="宋体" w:cs="宋体"/>
              </w:rPr>
              <w:t>授权代表：</w:t>
            </w:r>
            <w:r>
              <w:rPr>
                <w:rFonts w:hint="eastAsia" w:ascii="宋体" w:hAnsi="宋体" w:cs="宋体"/>
                <w:u w:val="dotted"/>
              </w:rPr>
              <w:t xml:space="preserve">                                          </w:t>
            </w:r>
          </w:p>
          <w:p>
            <w:pPr>
              <w:snapToGrid w:val="0"/>
              <w:spacing w:line="360" w:lineRule="auto"/>
              <w:rPr>
                <w:rFonts w:ascii="宋体" w:hAnsi="宋体" w:cs="宋体"/>
              </w:rPr>
            </w:pPr>
            <w:r>
              <w:rPr>
                <w:rFonts w:hint="eastAsia" w:ascii="宋体" w:hAnsi="宋体" w:cs="宋体"/>
              </w:rPr>
              <w:t>联系电话：</w:t>
            </w:r>
            <w:r>
              <w:rPr>
                <w:rFonts w:hint="eastAsia" w:ascii="宋体" w:hAnsi="宋体" w:cs="宋体"/>
                <w:u w:val="dotted"/>
              </w:rPr>
              <w:t xml:space="preserve">                                           </w:t>
            </w:r>
            <w:r>
              <w:rPr>
                <w:rFonts w:hint="eastAsia" w:ascii="宋体" w:hAnsi="宋体" w:cs="宋体"/>
              </w:rPr>
              <w:t xml:space="preserve"> </w:t>
            </w:r>
          </w:p>
          <w:p>
            <w:pPr>
              <w:snapToGrid w:val="0"/>
              <w:spacing w:line="360" w:lineRule="auto"/>
              <w:rPr>
                <w:rFonts w:ascii="宋体" w:hAnsi="宋体" w:cs="宋体"/>
              </w:rPr>
            </w:pPr>
            <w:r>
              <w:rPr>
                <w:rFonts w:hint="eastAsia" w:ascii="宋体" w:hAnsi="宋体" w:cs="宋体"/>
              </w:rPr>
              <w:t xml:space="preserve">地址： </w:t>
            </w:r>
            <w:r>
              <w:rPr>
                <w:rFonts w:hint="eastAsia" w:ascii="宋体" w:hAnsi="宋体" w:cs="宋体"/>
                <w:u w:val="dotted"/>
              </w:rPr>
              <w:t xml:space="preserve">                        </w:t>
            </w:r>
            <w:r>
              <w:rPr>
                <w:rFonts w:hint="eastAsia" w:ascii="宋体" w:hAnsi="宋体" w:cs="宋体"/>
              </w:rPr>
              <w:t>邮编：</w:t>
            </w:r>
            <w:r>
              <w:rPr>
                <w:rFonts w:hint="eastAsia" w:ascii="宋体" w:hAnsi="宋体" w:cs="宋体"/>
                <w:u w:val="dotted"/>
              </w:rPr>
              <w:t xml:space="preserve">                                                </w:t>
            </w:r>
          </w:p>
          <w:p>
            <w:pPr>
              <w:snapToGrid w:val="0"/>
              <w:spacing w:line="360" w:lineRule="auto"/>
              <w:rPr>
                <w:rFonts w:ascii="宋体" w:hAnsi="宋体" w:cs="宋体"/>
                <w:bCs/>
              </w:rPr>
            </w:pPr>
            <w:r>
              <w:rPr>
                <w:rFonts w:hint="eastAsia" w:ascii="宋体" w:hAnsi="宋体" w:cs="宋体"/>
                <w:bCs/>
              </w:rPr>
              <w:t>二、质疑项目基本情况</w:t>
            </w:r>
          </w:p>
          <w:p>
            <w:pPr>
              <w:snapToGrid w:val="0"/>
              <w:spacing w:line="360" w:lineRule="auto"/>
              <w:rPr>
                <w:rFonts w:ascii="宋体" w:hAnsi="宋体" w:cs="宋体"/>
              </w:rPr>
            </w:pPr>
            <w:r>
              <w:rPr>
                <w:rFonts w:hint="eastAsia" w:ascii="宋体" w:hAnsi="宋体" w:cs="宋体"/>
              </w:rPr>
              <w:t>质疑项目的名称：</w:t>
            </w:r>
            <w:r>
              <w:rPr>
                <w:rFonts w:hint="eastAsia" w:ascii="宋体" w:hAnsi="宋体" w:cs="宋体"/>
                <w:u w:val="dotted"/>
              </w:rPr>
              <w:t xml:space="preserve">                                      </w:t>
            </w:r>
          </w:p>
          <w:p>
            <w:pPr>
              <w:snapToGrid w:val="0"/>
              <w:spacing w:line="360" w:lineRule="auto"/>
              <w:rPr>
                <w:rFonts w:ascii="宋体" w:hAnsi="宋体" w:cs="宋体"/>
              </w:rPr>
            </w:pPr>
            <w:r>
              <w:rPr>
                <w:rFonts w:hint="eastAsia" w:ascii="宋体" w:hAnsi="宋体" w:cs="宋体"/>
              </w:rPr>
              <w:t>质疑项目的编号：</w:t>
            </w:r>
            <w:r>
              <w:rPr>
                <w:rFonts w:hint="eastAsia" w:ascii="宋体" w:hAnsi="宋体" w:cs="宋体"/>
                <w:u w:val="dotted"/>
              </w:rPr>
              <w:t xml:space="preserve">               </w:t>
            </w:r>
            <w:r>
              <w:rPr>
                <w:rFonts w:hint="eastAsia" w:ascii="宋体" w:hAnsi="宋体" w:cs="宋体"/>
              </w:rPr>
              <w:t>包号：</w:t>
            </w:r>
            <w:r>
              <w:rPr>
                <w:rFonts w:hint="eastAsia" w:ascii="宋体" w:hAnsi="宋体" w:cs="宋体"/>
                <w:u w:val="dotted"/>
              </w:rPr>
              <w:t xml:space="preserve">                 </w:t>
            </w:r>
          </w:p>
          <w:p>
            <w:pPr>
              <w:snapToGrid w:val="0"/>
              <w:spacing w:line="360" w:lineRule="auto"/>
              <w:rPr>
                <w:rFonts w:ascii="宋体" w:hAnsi="宋体" w:cs="宋体"/>
                <w:u w:val="dotted"/>
              </w:rPr>
            </w:pPr>
            <w:r>
              <w:rPr>
                <w:rFonts w:hint="eastAsia" w:ascii="宋体" w:hAnsi="宋体" w:cs="宋体"/>
              </w:rPr>
              <w:t>采购人名称：</w:t>
            </w:r>
            <w:r>
              <w:rPr>
                <w:rFonts w:hint="eastAsia" w:ascii="宋体" w:hAnsi="宋体" w:cs="宋体"/>
                <w:u w:val="dotted"/>
              </w:rPr>
              <w:t xml:space="preserve">                                         </w:t>
            </w:r>
          </w:p>
          <w:p>
            <w:pPr>
              <w:snapToGrid w:val="0"/>
              <w:spacing w:line="360" w:lineRule="auto"/>
              <w:rPr>
                <w:rFonts w:ascii="宋体" w:hAnsi="宋体" w:cs="宋体"/>
              </w:rPr>
            </w:pPr>
            <w:r>
              <w:rPr>
                <w:rFonts w:hint="eastAsia" w:ascii="宋体" w:hAnsi="宋体" w:cs="宋体"/>
              </w:rPr>
              <w:t>采购文件获取日期：</w:t>
            </w:r>
            <w:r>
              <w:rPr>
                <w:rFonts w:hint="eastAsia" w:ascii="宋体" w:hAnsi="宋体" w:cs="宋体"/>
                <w:u w:val="dotted"/>
              </w:rPr>
              <w:t xml:space="preserve">                                           </w:t>
            </w:r>
          </w:p>
          <w:p>
            <w:pPr>
              <w:snapToGrid w:val="0"/>
              <w:spacing w:line="360" w:lineRule="auto"/>
              <w:rPr>
                <w:rFonts w:ascii="宋体" w:hAnsi="宋体" w:cs="宋体"/>
                <w:bCs/>
              </w:rPr>
            </w:pPr>
            <w:r>
              <w:rPr>
                <w:rFonts w:hint="eastAsia" w:ascii="宋体" w:hAnsi="宋体" w:cs="宋体"/>
                <w:bCs/>
              </w:rPr>
              <w:t>三、质疑事项具体内容</w:t>
            </w:r>
          </w:p>
          <w:p>
            <w:pPr>
              <w:snapToGrid w:val="0"/>
              <w:spacing w:line="360" w:lineRule="auto"/>
              <w:rPr>
                <w:rFonts w:ascii="宋体" w:hAnsi="宋体" w:cs="宋体"/>
                <w:u w:val="dotted"/>
              </w:rPr>
            </w:pPr>
            <w:r>
              <w:rPr>
                <w:rFonts w:hint="eastAsia" w:ascii="宋体" w:hAnsi="宋体" w:cs="宋体"/>
              </w:rPr>
              <w:t>质疑事项1：</w:t>
            </w:r>
            <w:r>
              <w:rPr>
                <w:rFonts w:hint="eastAsia" w:ascii="宋体" w:hAnsi="宋体" w:cs="宋体"/>
                <w:u w:val="dotted"/>
              </w:rPr>
              <w:t xml:space="preserve">                                         </w:t>
            </w:r>
          </w:p>
          <w:p>
            <w:pPr>
              <w:snapToGrid w:val="0"/>
              <w:spacing w:line="360" w:lineRule="auto"/>
              <w:rPr>
                <w:rFonts w:ascii="宋体" w:hAnsi="宋体" w:cs="宋体"/>
                <w:u w:val="dotted"/>
              </w:rPr>
            </w:pPr>
            <w:r>
              <w:rPr>
                <w:rFonts w:hint="eastAsia" w:ascii="宋体" w:hAnsi="宋体" w:cs="宋体"/>
              </w:rPr>
              <w:t>事实依据：</w:t>
            </w:r>
            <w:r>
              <w:rPr>
                <w:rFonts w:hint="eastAsia" w:ascii="宋体" w:hAnsi="宋体" w:cs="宋体"/>
                <w:u w:val="dotted"/>
              </w:rPr>
              <w:t xml:space="preserve">                                          </w:t>
            </w:r>
          </w:p>
          <w:p>
            <w:pPr>
              <w:snapToGrid w:val="0"/>
              <w:spacing w:line="360" w:lineRule="auto"/>
              <w:rPr>
                <w:rFonts w:ascii="宋体" w:hAnsi="宋体" w:cs="宋体"/>
              </w:rPr>
            </w:pPr>
            <w:r>
              <w:rPr>
                <w:rFonts w:hint="eastAsia" w:ascii="宋体" w:hAnsi="宋体" w:cs="宋体"/>
                <w:u w:val="dotted"/>
              </w:rPr>
              <w:t xml:space="preserve">                                                       </w:t>
            </w:r>
          </w:p>
          <w:p>
            <w:pPr>
              <w:snapToGrid w:val="0"/>
              <w:spacing w:line="360" w:lineRule="auto"/>
              <w:rPr>
                <w:rFonts w:ascii="宋体" w:hAnsi="宋体" w:cs="宋体"/>
                <w:u w:val="dotted"/>
              </w:rPr>
            </w:pPr>
            <w:r>
              <w:rPr>
                <w:rFonts w:hint="eastAsia" w:ascii="宋体" w:hAnsi="宋体" w:cs="宋体"/>
              </w:rPr>
              <w:t>法律依据：</w:t>
            </w:r>
            <w:r>
              <w:rPr>
                <w:rFonts w:hint="eastAsia" w:ascii="宋体" w:hAnsi="宋体" w:cs="宋体"/>
                <w:u w:val="dotted"/>
              </w:rPr>
              <w:t xml:space="preserve">                                          </w:t>
            </w:r>
          </w:p>
          <w:p>
            <w:pPr>
              <w:snapToGrid w:val="0"/>
              <w:spacing w:line="360" w:lineRule="auto"/>
              <w:rPr>
                <w:rFonts w:ascii="宋体" w:hAnsi="宋体" w:cs="宋体"/>
                <w:u w:val="dotted"/>
              </w:rPr>
            </w:pPr>
            <w:r>
              <w:rPr>
                <w:rFonts w:hint="eastAsia" w:ascii="宋体" w:hAnsi="宋体" w:cs="宋体"/>
                <w:u w:val="dotted"/>
              </w:rPr>
              <w:t xml:space="preserve">                                                     </w:t>
            </w:r>
          </w:p>
          <w:p>
            <w:pPr>
              <w:snapToGrid w:val="0"/>
              <w:spacing w:line="360" w:lineRule="auto"/>
              <w:rPr>
                <w:rFonts w:ascii="宋体" w:hAnsi="宋体" w:cs="宋体"/>
                <w:u w:val="dotted"/>
              </w:rPr>
            </w:pPr>
            <w:r>
              <w:rPr>
                <w:rFonts w:hint="eastAsia" w:ascii="宋体" w:hAnsi="宋体" w:cs="宋体"/>
              </w:rPr>
              <w:t>质疑事项2</w:t>
            </w:r>
          </w:p>
          <w:p>
            <w:pPr>
              <w:snapToGrid w:val="0"/>
              <w:spacing w:line="360" w:lineRule="auto"/>
              <w:rPr>
                <w:rFonts w:ascii="宋体" w:hAnsi="宋体" w:cs="宋体"/>
              </w:rPr>
            </w:pPr>
            <w:r>
              <w:rPr>
                <w:rFonts w:hint="eastAsia" w:ascii="宋体" w:hAnsi="宋体" w:cs="宋体"/>
              </w:rPr>
              <w:t>……</w:t>
            </w:r>
          </w:p>
          <w:p>
            <w:pPr>
              <w:snapToGrid w:val="0"/>
              <w:spacing w:line="360" w:lineRule="auto"/>
              <w:rPr>
                <w:rFonts w:ascii="宋体" w:hAnsi="宋体" w:cs="宋体"/>
                <w:bCs/>
              </w:rPr>
            </w:pPr>
            <w:r>
              <w:rPr>
                <w:rFonts w:hint="eastAsia" w:ascii="宋体" w:hAnsi="宋体" w:cs="宋体"/>
                <w:bCs/>
              </w:rPr>
              <w:t>四、与质疑事项相关的质疑请求</w:t>
            </w:r>
          </w:p>
          <w:p>
            <w:pPr>
              <w:snapToGrid w:val="0"/>
              <w:spacing w:line="360" w:lineRule="auto"/>
              <w:rPr>
                <w:rFonts w:ascii="宋体" w:hAnsi="宋体" w:cs="宋体"/>
                <w:u w:val="dotted"/>
              </w:rPr>
            </w:pPr>
            <w:r>
              <w:rPr>
                <w:rFonts w:hint="eastAsia" w:ascii="宋体" w:hAnsi="宋体" w:cs="宋体"/>
              </w:rPr>
              <w:t>请求：</w:t>
            </w:r>
            <w:r>
              <w:rPr>
                <w:rFonts w:hint="eastAsia" w:ascii="宋体" w:hAnsi="宋体" w:cs="宋体"/>
                <w:u w:val="dotted"/>
              </w:rPr>
              <w:t xml:space="preserve">                                               </w:t>
            </w:r>
          </w:p>
          <w:p>
            <w:pPr>
              <w:rPr>
                <w:rFonts w:ascii="宋体" w:hAnsi="宋体" w:cs="宋体"/>
              </w:rPr>
            </w:pPr>
            <w:r>
              <w:rPr>
                <w:rFonts w:hint="eastAsia" w:ascii="宋体" w:hAnsi="宋体" w:cs="宋体"/>
              </w:rPr>
              <w:t xml:space="preserve">签字(签章)：                   公章：                      </w:t>
            </w:r>
          </w:p>
          <w:p>
            <w:pPr>
              <w:rPr>
                <w:rFonts w:ascii="宋体" w:hAnsi="宋体" w:cs="宋体"/>
              </w:rPr>
            </w:pPr>
            <w:r>
              <w:rPr>
                <w:rFonts w:hint="eastAsia" w:ascii="宋体" w:hAnsi="宋体" w:cs="宋体"/>
              </w:rPr>
              <w:t xml:space="preserve">日期：    </w:t>
            </w:r>
          </w:p>
          <w:p>
            <w:pPr>
              <w:widowControl/>
              <w:snapToGrid w:val="0"/>
              <w:spacing w:line="400" w:lineRule="exact"/>
              <w:jc w:val="both"/>
              <w:textAlignment w:val="auto"/>
              <w:rPr>
                <w:rFonts w:ascii="宋体" w:hAnsi="宋体" w:cs="宋体"/>
                <w:bCs/>
                <w:kern w:val="20"/>
                <w:lang w:val="zh-CN"/>
              </w:rPr>
            </w:pPr>
          </w:p>
        </w:tc>
      </w:tr>
    </w:tbl>
    <w:p>
      <w:pPr>
        <w:widowControl/>
        <w:snapToGrid w:val="0"/>
        <w:spacing w:line="400" w:lineRule="exact"/>
        <w:ind w:firstLine="424" w:firstLineChars="176"/>
        <w:jc w:val="both"/>
        <w:textAlignment w:val="auto"/>
        <w:rPr>
          <w:rFonts w:ascii="宋体" w:hAnsi="宋体" w:cs="宋体"/>
          <w:b/>
          <w:bCs/>
          <w:kern w:val="20"/>
          <w:lang w:val="zh-CN"/>
        </w:rPr>
      </w:pPr>
      <w:r>
        <w:rPr>
          <w:rFonts w:hint="eastAsia" w:ascii="宋体" w:hAnsi="宋体" w:cs="宋体"/>
          <w:b/>
          <w:bCs/>
          <w:kern w:val="20"/>
          <w:lang w:val="zh-CN"/>
        </w:rPr>
        <w:t>36.质疑函的接收和处理</w:t>
      </w:r>
    </w:p>
    <w:p>
      <w:pPr>
        <w:widowControl/>
        <w:snapToGrid w:val="0"/>
        <w:spacing w:line="400" w:lineRule="exact"/>
        <w:ind w:firstLine="422" w:firstLineChars="176"/>
        <w:jc w:val="both"/>
        <w:textAlignment w:val="auto"/>
        <w:rPr>
          <w:rFonts w:ascii="宋体" w:hAnsi="宋体" w:cs="宋体"/>
          <w:bCs/>
          <w:kern w:val="20"/>
          <w:lang w:val="zh-CN"/>
        </w:rPr>
      </w:pPr>
      <w:r>
        <w:rPr>
          <w:rFonts w:hint="eastAsia" w:ascii="宋体" w:hAnsi="宋体" w:cs="宋体"/>
          <w:bCs/>
          <w:kern w:val="20"/>
          <w:lang w:val="zh-CN"/>
        </w:rPr>
        <w:t>36.1本项目质疑函的接收人和联系方式详见第一章投标邀请中的采购代理机构联系方式。</w:t>
      </w:r>
    </w:p>
    <w:p>
      <w:pPr>
        <w:widowControl/>
        <w:snapToGrid w:val="0"/>
        <w:spacing w:line="400" w:lineRule="exact"/>
        <w:ind w:firstLine="422" w:firstLineChars="176"/>
        <w:jc w:val="both"/>
        <w:textAlignment w:val="auto"/>
        <w:rPr>
          <w:rFonts w:ascii="宋体" w:hAnsi="宋体" w:cs="宋体"/>
          <w:bCs/>
          <w:kern w:val="20"/>
          <w:lang w:val="zh-CN"/>
        </w:rPr>
      </w:pPr>
      <w:r>
        <w:rPr>
          <w:rFonts w:hint="eastAsia" w:ascii="宋体" w:hAnsi="宋体" w:cs="宋体"/>
          <w:bCs/>
          <w:kern w:val="20"/>
          <w:lang w:val="zh-CN"/>
        </w:rPr>
        <w:t>36.2 采购代理机构将在收到质疑函后7个工作日内作出答复，并以书面形式通知质疑供应商和其他有关供应商。</w:t>
      </w:r>
    </w:p>
    <w:p>
      <w:pPr>
        <w:snapToGrid w:val="0"/>
        <w:spacing w:line="400" w:lineRule="exact"/>
        <w:ind w:firstLine="426" w:firstLineChars="177"/>
        <w:jc w:val="both"/>
        <w:textAlignment w:val="auto"/>
        <w:rPr>
          <w:rFonts w:ascii="宋体" w:hAnsi="宋体" w:cs="宋体"/>
          <w:b/>
          <w:bCs/>
        </w:rPr>
      </w:pPr>
    </w:p>
    <w:p>
      <w:pPr>
        <w:ind w:firstLine="600" w:firstLineChars="200"/>
        <w:rPr>
          <w:rFonts w:ascii="宋体" w:hAnsi="宋体" w:cs="宋体"/>
          <w:szCs w:val="21"/>
        </w:rPr>
      </w:pPr>
      <w:r>
        <w:rPr>
          <w:rFonts w:hint="eastAsia" w:ascii="宋体" w:hAnsi="宋体" w:cs="宋体"/>
          <w:sz w:val="30"/>
          <w:szCs w:val="30"/>
        </w:rPr>
        <w:br w:type="page"/>
      </w:r>
    </w:p>
    <w:p>
      <w:pPr>
        <w:pStyle w:val="3"/>
        <w:snapToGrid w:val="0"/>
        <w:spacing w:line="480" w:lineRule="exact"/>
        <w:rPr>
          <w:rFonts w:ascii="宋体" w:hAnsi="宋体" w:eastAsia="宋体" w:cs="宋体"/>
        </w:rPr>
      </w:pPr>
      <w:bookmarkStart w:id="18" w:name="_Toc5165"/>
      <w:r>
        <w:rPr>
          <w:rFonts w:hint="eastAsia" w:ascii="宋体" w:hAnsi="宋体" w:eastAsia="宋体" w:cs="宋体"/>
        </w:rPr>
        <w:t>第三章 采购需求</w:t>
      </w:r>
      <w:bookmarkEnd w:id="18"/>
    </w:p>
    <w:p>
      <w:pPr>
        <w:keepNext/>
        <w:keepLines/>
        <w:widowControl w:val="0"/>
        <w:tabs>
          <w:tab w:val="left" w:pos="720"/>
        </w:tabs>
        <w:autoSpaceDE w:val="0"/>
        <w:autoSpaceDN w:val="0"/>
        <w:adjustRightInd w:val="0"/>
        <w:spacing w:before="360" w:after="120" w:line="360" w:lineRule="auto"/>
        <w:ind w:firstLine="482" w:firstLineChars="200"/>
        <w:jc w:val="left"/>
        <w:outlineLvl w:val="2"/>
        <w:rPr>
          <w:rFonts w:ascii="Times New Roman" w:hAnsi="Times New Roman" w:eastAsia="宋体" w:cs="Times New Roman"/>
          <w:b/>
          <w:color w:val="000000"/>
          <w:kern w:val="0"/>
          <w:sz w:val="24"/>
          <w:szCs w:val="20"/>
          <w:u w:val="none"/>
          <w:lang w:val="en-US" w:eastAsia="zh-CN" w:bidi="ar-SA"/>
        </w:rPr>
      </w:pPr>
      <w:bookmarkStart w:id="19" w:name="_Toc88839301"/>
      <w:bookmarkStart w:id="20" w:name="_Toc101180592"/>
      <w:bookmarkStart w:id="21" w:name="_Hlk101192253"/>
      <w:bookmarkStart w:id="22" w:name="_Hlk101192312"/>
      <w:r>
        <w:rPr>
          <w:rFonts w:ascii="Times New Roman" w:hAnsi="Times New Roman" w:eastAsia="宋体" w:cs="Times New Roman"/>
          <w:b/>
          <w:color w:val="000000"/>
          <w:kern w:val="0"/>
          <w:sz w:val="24"/>
          <w:szCs w:val="20"/>
          <w:u w:val="none"/>
          <w:lang w:val="en-US" w:eastAsia="zh-CN" w:bidi="ar-SA"/>
        </w:rPr>
        <w:t>一．需求一览表</w:t>
      </w:r>
      <w:bookmarkEnd w:id="19"/>
    </w:p>
    <w:p>
      <w:pPr>
        <w:widowControl w:val="0"/>
        <w:autoSpaceDE w:val="0"/>
        <w:autoSpaceDN w:val="0"/>
        <w:adjustRightInd w:val="0"/>
        <w:ind w:firstLine="420"/>
        <w:jc w:val="left"/>
        <w:rPr>
          <w:rFonts w:ascii="宋体" w:hAnsi="Times New Roman" w:eastAsia="宋体" w:cs="Times New Roman"/>
          <w:kern w:val="0"/>
          <w:sz w:val="24"/>
          <w:szCs w:val="20"/>
          <w:lang w:val="en-US" w:eastAsia="zh-CN" w:bidi="ar-SA"/>
        </w:rPr>
      </w:pPr>
    </w:p>
    <w:tbl>
      <w:tblPr>
        <w:tblStyle w:val="26"/>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3"/>
        <w:gridCol w:w="1745"/>
        <w:gridCol w:w="4083"/>
        <w:gridCol w:w="1420"/>
        <w:gridCol w:w="14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63" w:type="dxa"/>
            <w:vAlign w:val="center"/>
          </w:tcPr>
          <w:p>
            <w:pPr>
              <w:adjustRightInd/>
              <w:spacing w:line="240" w:lineRule="auto"/>
              <w:jc w:val="both"/>
              <w:textAlignment w:val="auto"/>
              <w:rPr>
                <w:rFonts w:ascii="Times New Roman" w:hAnsi="Times New Roman" w:cs="Times New Roman"/>
                <w:b/>
                <w:color w:val="000000"/>
                <w:kern w:val="2"/>
                <w:sz w:val="24"/>
              </w:rPr>
            </w:pPr>
            <w:r>
              <w:rPr>
                <w:rFonts w:ascii="Times New Roman" w:hAnsi="Times New Roman" w:cs="Times New Roman"/>
                <w:b/>
                <w:color w:val="000000"/>
                <w:kern w:val="2"/>
                <w:sz w:val="24"/>
              </w:rPr>
              <w:t>包号</w:t>
            </w:r>
          </w:p>
        </w:tc>
        <w:tc>
          <w:tcPr>
            <w:tcW w:w="1745" w:type="dxa"/>
            <w:vAlign w:val="center"/>
          </w:tcPr>
          <w:p>
            <w:pPr>
              <w:adjustRightInd/>
              <w:spacing w:line="240" w:lineRule="auto"/>
              <w:ind w:left="420"/>
              <w:jc w:val="center"/>
              <w:textAlignment w:val="auto"/>
              <w:rPr>
                <w:rFonts w:ascii="Times New Roman" w:hAnsi="Times New Roman" w:cs="Times New Roman"/>
                <w:b/>
                <w:color w:val="000000"/>
                <w:kern w:val="2"/>
                <w:sz w:val="24"/>
              </w:rPr>
            </w:pPr>
            <w:r>
              <w:rPr>
                <w:rFonts w:hint="eastAsia" w:ascii="Times New Roman" w:hAnsi="Times New Roman" w:cs="Times New Roman"/>
                <w:b/>
                <w:color w:val="000000"/>
                <w:kern w:val="2"/>
                <w:sz w:val="24"/>
              </w:rPr>
              <w:t>项目名称</w:t>
            </w:r>
          </w:p>
        </w:tc>
        <w:tc>
          <w:tcPr>
            <w:tcW w:w="4083" w:type="dxa"/>
            <w:vAlign w:val="center"/>
          </w:tcPr>
          <w:p>
            <w:pPr>
              <w:adjustRightInd/>
              <w:spacing w:line="240" w:lineRule="auto"/>
              <w:ind w:left="420"/>
              <w:jc w:val="center"/>
              <w:textAlignment w:val="auto"/>
              <w:rPr>
                <w:rFonts w:ascii="Times New Roman" w:hAnsi="Times New Roman" w:cs="Times New Roman"/>
                <w:b/>
                <w:color w:val="000000"/>
                <w:kern w:val="2"/>
                <w:sz w:val="24"/>
              </w:rPr>
            </w:pPr>
            <w:r>
              <w:rPr>
                <w:rFonts w:hint="eastAsia" w:ascii="Times New Roman" w:hAnsi="Times New Roman" w:cs="Times New Roman"/>
                <w:b/>
                <w:color w:val="000000"/>
                <w:kern w:val="2"/>
                <w:sz w:val="24"/>
              </w:rPr>
              <w:t>明细</w:t>
            </w:r>
          </w:p>
        </w:tc>
        <w:tc>
          <w:tcPr>
            <w:tcW w:w="1420" w:type="dxa"/>
            <w:vAlign w:val="center"/>
          </w:tcPr>
          <w:p>
            <w:pPr>
              <w:adjustRightInd/>
              <w:spacing w:line="240" w:lineRule="auto"/>
              <w:ind w:left="420"/>
              <w:jc w:val="both"/>
              <w:textAlignment w:val="auto"/>
              <w:rPr>
                <w:rFonts w:ascii="Times New Roman" w:hAnsi="Times New Roman" w:cs="Times New Roman"/>
                <w:b/>
                <w:bCs w:val="0"/>
                <w:color w:val="000000"/>
                <w:kern w:val="2"/>
                <w:sz w:val="24"/>
              </w:rPr>
            </w:pPr>
            <w:r>
              <w:rPr>
                <w:rFonts w:ascii="Times New Roman" w:hAnsi="Times New Roman" w:cs="Times New Roman"/>
                <w:b/>
                <w:bCs w:val="0"/>
                <w:color w:val="000000"/>
                <w:kern w:val="2"/>
                <w:sz w:val="24"/>
              </w:rPr>
              <w:t>数量</w:t>
            </w:r>
          </w:p>
        </w:tc>
        <w:tc>
          <w:tcPr>
            <w:tcW w:w="1420" w:type="dxa"/>
            <w:vAlign w:val="center"/>
          </w:tcPr>
          <w:p>
            <w:pPr>
              <w:adjustRightInd/>
              <w:spacing w:line="240" w:lineRule="auto"/>
              <w:ind w:left="0"/>
              <w:jc w:val="center"/>
              <w:textAlignment w:val="auto"/>
              <w:rPr>
                <w:rFonts w:hint="default" w:ascii="Calibri" w:hAnsi="Calibri" w:eastAsia="宋体" w:cs="Calibri"/>
                <w:b/>
                <w:bCs w:val="0"/>
                <w:kern w:val="0"/>
                <w:sz w:val="24"/>
                <w:lang w:val="en-US" w:eastAsia="zh-CN"/>
              </w:rPr>
            </w:pPr>
            <w:r>
              <w:rPr>
                <w:rFonts w:hint="default" w:ascii="Calibri" w:hAnsi="Calibri" w:cs="Calibri"/>
                <w:b/>
                <w:bCs w:val="0"/>
                <w:kern w:val="0"/>
                <w:sz w:val="24"/>
                <w:lang w:val="en-US" w:eastAsia="zh-CN"/>
              </w:rPr>
              <w:t>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63" w:type="dxa"/>
            <w:vMerge w:val="restart"/>
            <w:vAlign w:val="center"/>
          </w:tcPr>
          <w:p>
            <w:pPr>
              <w:adjustRightInd/>
              <w:spacing w:line="360" w:lineRule="auto"/>
              <w:jc w:val="center"/>
              <w:textAlignment w:val="auto"/>
              <w:rPr>
                <w:rFonts w:ascii="Times New Roman" w:hAnsi="Times New Roman" w:cs="Times New Roman"/>
                <w:color w:val="000000"/>
                <w:kern w:val="2"/>
                <w:sz w:val="24"/>
                <w:lang w:val="zh-TW"/>
              </w:rPr>
            </w:pPr>
            <w:r>
              <w:rPr>
                <w:rFonts w:ascii="Times New Roman" w:hAnsi="Times New Roman" w:cs="Times New Roman"/>
                <w:color w:val="000000"/>
                <w:kern w:val="2"/>
                <w:sz w:val="24"/>
                <w:lang w:val="zh-TW"/>
              </w:rPr>
              <w:t>01</w:t>
            </w:r>
          </w:p>
        </w:tc>
        <w:tc>
          <w:tcPr>
            <w:tcW w:w="1745" w:type="dxa"/>
            <w:vMerge w:val="restart"/>
            <w:vAlign w:val="center"/>
          </w:tcPr>
          <w:p>
            <w:pPr>
              <w:adjustRightInd/>
              <w:spacing w:line="360" w:lineRule="auto"/>
              <w:jc w:val="center"/>
              <w:textAlignment w:val="auto"/>
              <w:rPr>
                <w:rFonts w:ascii="Times New Roman" w:hAnsi="Times New Roman" w:cs="Times New Roman"/>
                <w:kern w:val="2"/>
                <w:sz w:val="21"/>
              </w:rPr>
            </w:pPr>
            <w:r>
              <w:rPr>
                <w:rFonts w:hint="eastAsia" w:ascii="Times New Roman" w:hAnsi="Times New Roman" w:cs="Times New Roman"/>
                <w:kern w:val="2"/>
                <w:sz w:val="24"/>
              </w:rPr>
              <w:t>V</w:t>
            </w:r>
            <w:r>
              <w:rPr>
                <w:rFonts w:ascii="Times New Roman" w:hAnsi="Times New Roman" w:cs="Times New Roman"/>
                <w:kern w:val="2"/>
                <w:sz w:val="24"/>
              </w:rPr>
              <w:t>R</w:t>
            </w:r>
            <w:r>
              <w:rPr>
                <w:rFonts w:hint="eastAsia" w:ascii="Times New Roman" w:hAnsi="Times New Roman" w:cs="Times New Roman"/>
                <w:kern w:val="2"/>
                <w:sz w:val="24"/>
              </w:rPr>
              <w:t>沉浸式病理虚拟仿真教学系统</w:t>
            </w:r>
          </w:p>
        </w:tc>
        <w:tc>
          <w:tcPr>
            <w:tcW w:w="4083" w:type="dxa"/>
          </w:tcPr>
          <w:p>
            <w:pPr>
              <w:adjustRightInd/>
              <w:spacing w:line="360" w:lineRule="auto"/>
              <w:jc w:val="center"/>
              <w:textAlignment w:val="auto"/>
              <w:rPr>
                <w:rFonts w:ascii="Times New Roman" w:hAnsi="Times New Roman" w:cs="Times New Roman"/>
                <w:color w:val="000000"/>
                <w:kern w:val="2"/>
                <w:sz w:val="24"/>
              </w:rPr>
            </w:pPr>
            <w:r>
              <w:rPr>
                <w:rFonts w:hint="eastAsia" w:ascii="Times New Roman" w:hAnsi="Times New Roman" w:cs="Times New Roman"/>
                <w:kern w:val="2"/>
                <w:sz w:val="21"/>
              </w:rPr>
              <w:t>VR病理大体查询系统</w:t>
            </w:r>
          </w:p>
        </w:tc>
        <w:tc>
          <w:tcPr>
            <w:tcW w:w="1420" w:type="dxa"/>
            <w:vAlign w:val="center"/>
          </w:tcPr>
          <w:p>
            <w:pPr>
              <w:adjustRightInd/>
              <w:spacing w:line="360" w:lineRule="auto"/>
              <w:ind w:left="420"/>
              <w:jc w:val="both"/>
              <w:textAlignment w:val="auto"/>
              <w:rPr>
                <w:rFonts w:ascii="Times New Roman" w:hAnsi="Times New Roman" w:cs="Times New Roman"/>
                <w:color w:val="000000"/>
                <w:kern w:val="2"/>
                <w:sz w:val="24"/>
              </w:rPr>
            </w:pPr>
            <w:r>
              <w:rPr>
                <w:rFonts w:ascii="Times New Roman" w:hAnsi="Times New Roman" w:cs="Times New Roman"/>
                <w:color w:val="000000"/>
                <w:kern w:val="2"/>
                <w:sz w:val="24"/>
              </w:rPr>
              <w:t>33套</w:t>
            </w:r>
          </w:p>
        </w:tc>
        <w:tc>
          <w:tcPr>
            <w:tcW w:w="1420" w:type="dxa"/>
            <w:vAlign w:val="center"/>
          </w:tcPr>
          <w:p>
            <w:pPr>
              <w:adjustRightInd/>
              <w:spacing w:line="240" w:lineRule="auto"/>
              <w:ind w:left="0"/>
              <w:jc w:val="center"/>
              <w:textAlignment w:val="auto"/>
              <w:rPr>
                <w:rFonts w:ascii="Calibri" w:hAnsi="Calibri" w:cs="Calibri"/>
                <w:kern w:val="0"/>
                <w:sz w:val="24"/>
              </w:rPr>
            </w:pPr>
            <w:r>
              <w:rPr>
                <w:rFonts w:hint="default" w:ascii="Calibri" w:hAnsi="Calibri" w:cs="Calibri"/>
                <w:bCs w:val="0"/>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63" w:type="dxa"/>
            <w:vMerge w:val="continue"/>
            <w:vAlign w:val="center"/>
          </w:tcPr>
          <w:p>
            <w:pPr>
              <w:adjustRightInd/>
              <w:spacing w:line="360" w:lineRule="auto"/>
              <w:jc w:val="center"/>
              <w:textAlignment w:val="auto"/>
              <w:rPr>
                <w:rFonts w:ascii="Times New Roman" w:hAnsi="Times New Roman" w:cs="Times New Roman"/>
                <w:color w:val="000000"/>
                <w:kern w:val="2"/>
                <w:sz w:val="24"/>
                <w:lang w:val="zh-TW"/>
              </w:rPr>
            </w:pPr>
          </w:p>
        </w:tc>
        <w:tc>
          <w:tcPr>
            <w:tcW w:w="1745" w:type="dxa"/>
            <w:vMerge w:val="continue"/>
            <w:vAlign w:val="center"/>
          </w:tcPr>
          <w:p>
            <w:pPr>
              <w:adjustRightInd/>
              <w:spacing w:line="360" w:lineRule="auto"/>
              <w:jc w:val="center"/>
              <w:textAlignment w:val="auto"/>
              <w:rPr>
                <w:rFonts w:ascii="Times New Roman" w:hAnsi="Times New Roman" w:cs="Times New Roman"/>
                <w:kern w:val="2"/>
                <w:sz w:val="21"/>
              </w:rPr>
            </w:pPr>
          </w:p>
        </w:tc>
        <w:tc>
          <w:tcPr>
            <w:tcW w:w="4083" w:type="dxa"/>
          </w:tcPr>
          <w:p>
            <w:pPr>
              <w:adjustRightInd/>
              <w:spacing w:line="360" w:lineRule="auto"/>
              <w:jc w:val="center"/>
              <w:textAlignment w:val="auto"/>
              <w:rPr>
                <w:rFonts w:ascii="Times New Roman" w:hAnsi="Times New Roman" w:cs="Times New Roman"/>
                <w:color w:val="000000"/>
                <w:kern w:val="2"/>
                <w:sz w:val="24"/>
                <w:lang w:val="zh-TW"/>
              </w:rPr>
            </w:pPr>
            <w:r>
              <w:rPr>
                <w:rFonts w:hint="eastAsia" w:ascii="Times New Roman" w:hAnsi="Times New Roman" w:cs="Times New Roman"/>
                <w:kern w:val="2"/>
                <w:sz w:val="21"/>
              </w:rPr>
              <w:t>病理虚拟仿真实验操作/病理学虚拟仿真实验教学软件(服务器端）</w:t>
            </w:r>
          </w:p>
        </w:tc>
        <w:tc>
          <w:tcPr>
            <w:tcW w:w="1420" w:type="dxa"/>
            <w:vAlign w:val="center"/>
          </w:tcPr>
          <w:p>
            <w:pPr>
              <w:adjustRightInd/>
              <w:spacing w:line="360" w:lineRule="auto"/>
              <w:ind w:left="420"/>
              <w:jc w:val="both"/>
              <w:textAlignment w:val="auto"/>
              <w:rPr>
                <w:rFonts w:ascii="Times New Roman" w:hAnsi="Times New Roman" w:cs="Times New Roman"/>
                <w:color w:val="000000"/>
                <w:kern w:val="2"/>
                <w:sz w:val="24"/>
              </w:rPr>
            </w:pPr>
            <w:r>
              <w:rPr>
                <w:rFonts w:ascii="Times New Roman" w:hAnsi="Times New Roman" w:cs="Times New Roman"/>
                <w:color w:val="000000"/>
                <w:kern w:val="2"/>
                <w:sz w:val="24"/>
              </w:rPr>
              <w:t>1套</w:t>
            </w:r>
          </w:p>
        </w:tc>
        <w:tc>
          <w:tcPr>
            <w:tcW w:w="1420" w:type="dxa"/>
            <w:vAlign w:val="center"/>
          </w:tcPr>
          <w:p>
            <w:pPr>
              <w:adjustRightInd/>
              <w:spacing w:line="240" w:lineRule="auto"/>
              <w:ind w:left="0"/>
              <w:jc w:val="center"/>
              <w:textAlignment w:val="auto"/>
              <w:rPr>
                <w:rFonts w:ascii="Calibri" w:hAnsi="Calibri" w:cs="Calibri"/>
                <w:kern w:val="0"/>
                <w:sz w:val="24"/>
              </w:rPr>
            </w:pPr>
            <w:r>
              <w:rPr>
                <w:rFonts w:hint="default" w:ascii="Calibri" w:hAnsi="Calibri" w:cs="Calibri"/>
                <w:bCs w:val="0"/>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63" w:type="dxa"/>
            <w:vMerge w:val="continue"/>
            <w:vAlign w:val="center"/>
          </w:tcPr>
          <w:p>
            <w:pPr>
              <w:adjustRightInd/>
              <w:spacing w:line="360" w:lineRule="auto"/>
              <w:jc w:val="center"/>
              <w:textAlignment w:val="auto"/>
              <w:rPr>
                <w:rFonts w:ascii="Times New Roman" w:hAnsi="Times New Roman" w:cs="Times New Roman"/>
                <w:color w:val="000000"/>
                <w:kern w:val="2"/>
                <w:sz w:val="24"/>
                <w:lang w:val="zh-TW"/>
              </w:rPr>
            </w:pPr>
          </w:p>
        </w:tc>
        <w:tc>
          <w:tcPr>
            <w:tcW w:w="1745" w:type="dxa"/>
            <w:vMerge w:val="continue"/>
            <w:vAlign w:val="center"/>
          </w:tcPr>
          <w:p>
            <w:pPr>
              <w:adjustRightInd/>
              <w:spacing w:line="360" w:lineRule="auto"/>
              <w:jc w:val="center"/>
              <w:textAlignment w:val="auto"/>
              <w:rPr>
                <w:rFonts w:ascii="Times New Roman" w:hAnsi="Times New Roman" w:cs="Times New Roman"/>
                <w:kern w:val="2"/>
                <w:sz w:val="21"/>
              </w:rPr>
            </w:pPr>
          </w:p>
        </w:tc>
        <w:tc>
          <w:tcPr>
            <w:tcW w:w="4083" w:type="dxa"/>
          </w:tcPr>
          <w:p>
            <w:pPr>
              <w:adjustRightInd/>
              <w:spacing w:line="360" w:lineRule="auto"/>
              <w:jc w:val="center"/>
              <w:textAlignment w:val="auto"/>
              <w:rPr>
                <w:rFonts w:ascii="Times New Roman" w:hAnsi="Times New Roman" w:cs="Times New Roman"/>
                <w:color w:val="000000"/>
                <w:kern w:val="2"/>
                <w:sz w:val="24"/>
                <w:lang w:val="zh-TW"/>
              </w:rPr>
            </w:pPr>
            <w:r>
              <w:rPr>
                <w:rFonts w:hint="eastAsia" w:ascii="Times New Roman" w:hAnsi="Times New Roman" w:cs="Times New Roman"/>
                <w:kern w:val="2"/>
                <w:sz w:val="21"/>
              </w:rPr>
              <w:t>病理虚拟仿真实验操作/病理学虚拟仿真实验教学软件(学生端）</w:t>
            </w:r>
          </w:p>
        </w:tc>
        <w:tc>
          <w:tcPr>
            <w:tcW w:w="1420" w:type="dxa"/>
            <w:vAlign w:val="center"/>
          </w:tcPr>
          <w:p>
            <w:pPr>
              <w:adjustRightInd/>
              <w:spacing w:line="360" w:lineRule="auto"/>
              <w:ind w:left="420"/>
              <w:jc w:val="both"/>
              <w:textAlignment w:val="auto"/>
              <w:rPr>
                <w:rFonts w:ascii="Times New Roman" w:hAnsi="Times New Roman" w:cs="Times New Roman"/>
                <w:color w:val="000000"/>
                <w:kern w:val="2"/>
                <w:sz w:val="24"/>
              </w:rPr>
            </w:pPr>
            <w:r>
              <w:rPr>
                <w:rFonts w:ascii="Times New Roman" w:hAnsi="Times New Roman" w:cs="Times New Roman"/>
                <w:color w:val="000000"/>
                <w:kern w:val="2"/>
                <w:sz w:val="24"/>
              </w:rPr>
              <w:t>32套</w:t>
            </w:r>
          </w:p>
        </w:tc>
        <w:tc>
          <w:tcPr>
            <w:tcW w:w="1420" w:type="dxa"/>
            <w:vAlign w:val="center"/>
          </w:tcPr>
          <w:p>
            <w:pPr>
              <w:adjustRightInd/>
              <w:spacing w:line="240" w:lineRule="auto"/>
              <w:ind w:left="0"/>
              <w:jc w:val="center"/>
              <w:textAlignment w:val="auto"/>
              <w:rPr>
                <w:rFonts w:hint="default" w:ascii="Calibri" w:hAnsi="Calibri" w:eastAsia="宋体" w:cs="Calibri"/>
                <w:kern w:val="0"/>
                <w:sz w:val="24"/>
                <w:lang w:val="en-US" w:eastAsia="zh-CN"/>
              </w:rPr>
            </w:pPr>
            <w:r>
              <w:rPr>
                <w:rFonts w:hint="default" w:ascii="Calibri" w:hAnsi="Calibri" w:cs="Calibri"/>
                <w:kern w:val="0"/>
                <w:sz w:val="24"/>
                <w:lang w:val="en-US" w:eastAsia="zh-CN"/>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63" w:type="dxa"/>
            <w:vMerge w:val="continue"/>
            <w:vAlign w:val="center"/>
          </w:tcPr>
          <w:p>
            <w:pPr>
              <w:adjustRightInd/>
              <w:spacing w:line="360" w:lineRule="auto"/>
              <w:jc w:val="center"/>
              <w:textAlignment w:val="auto"/>
              <w:rPr>
                <w:rFonts w:ascii="Times New Roman" w:hAnsi="Times New Roman" w:cs="Times New Roman"/>
                <w:color w:val="000000"/>
                <w:kern w:val="2"/>
                <w:sz w:val="24"/>
                <w:lang w:val="zh-TW"/>
              </w:rPr>
            </w:pPr>
          </w:p>
        </w:tc>
        <w:tc>
          <w:tcPr>
            <w:tcW w:w="1745" w:type="dxa"/>
            <w:vMerge w:val="continue"/>
            <w:vAlign w:val="center"/>
          </w:tcPr>
          <w:p>
            <w:pPr>
              <w:adjustRightInd/>
              <w:spacing w:line="360" w:lineRule="auto"/>
              <w:jc w:val="center"/>
              <w:textAlignment w:val="auto"/>
              <w:rPr>
                <w:rFonts w:ascii="Times New Roman" w:hAnsi="Times New Roman" w:cs="Times New Roman"/>
                <w:kern w:val="2"/>
                <w:sz w:val="21"/>
              </w:rPr>
            </w:pPr>
          </w:p>
        </w:tc>
        <w:tc>
          <w:tcPr>
            <w:tcW w:w="4083" w:type="dxa"/>
          </w:tcPr>
          <w:p>
            <w:pPr>
              <w:adjustRightInd/>
              <w:spacing w:line="360" w:lineRule="auto"/>
              <w:jc w:val="center"/>
              <w:textAlignment w:val="auto"/>
              <w:rPr>
                <w:rFonts w:ascii="Times New Roman" w:hAnsi="Times New Roman" w:cs="Times New Roman"/>
                <w:color w:val="000000"/>
                <w:kern w:val="2"/>
                <w:sz w:val="22"/>
                <w:szCs w:val="22"/>
              </w:rPr>
            </w:pPr>
            <w:r>
              <w:rPr>
                <w:rFonts w:hint="eastAsia" w:ascii="Times New Roman" w:hAnsi="Times New Roman" w:cs="Times New Roman"/>
                <w:kern w:val="2"/>
                <w:sz w:val="21"/>
              </w:rPr>
              <w:t>3D胚胎发育VR示教系统</w:t>
            </w:r>
          </w:p>
        </w:tc>
        <w:tc>
          <w:tcPr>
            <w:tcW w:w="1420" w:type="dxa"/>
            <w:vAlign w:val="center"/>
          </w:tcPr>
          <w:p>
            <w:pPr>
              <w:adjustRightInd/>
              <w:spacing w:line="360" w:lineRule="auto"/>
              <w:ind w:left="420"/>
              <w:jc w:val="both"/>
              <w:textAlignment w:val="auto"/>
              <w:rPr>
                <w:rFonts w:ascii="Times New Roman" w:hAnsi="Times New Roman" w:cs="Times New Roman"/>
                <w:color w:val="000000"/>
                <w:kern w:val="2"/>
                <w:sz w:val="24"/>
              </w:rPr>
            </w:pPr>
            <w:r>
              <w:rPr>
                <w:rFonts w:ascii="Times New Roman" w:hAnsi="Times New Roman" w:cs="Times New Roman"/>
                <w:color w:val="000000"/>
                <w:kern w:val="2"/>
                <w:sz w:val="24"/>
              </w:rPr>
              <w:t>33套</w:t>
            </w:r>
          </w:p>
        </w:tc>
        <w:tc>
          <w:tcPr>
            <w:tcW w:w="1420" w:type="dxa"/>
            <w:vAlign w:val="center"/>
          </w:tcPr>
          <w:p>
            <w:pPr>
              <w:adjustRightInd/>
              <w:spacing w:line="240" w:lineRule="auto"/>
              <w:ind w:left="0"/>
              <w:jc w:val="center"/>
              <w:textAlignment w:val="auto"/>
              <w:rPr>
                <w:rFonts w:ascii="Calibri" w:hAnsi="Calibri" w:cs="Calibri"/>
                <w:kern w:val="0"/>
                <w:sz w:val="24"/>
              </w:rPr>
            </w:pPr>
            <w:r>
              <w:rPr>
                <w:rFonts w:hint="default" w:ascii="Calibri" w:hAnsi="Calibri" w:cs="Calibri"/>
                <w:bCs w:val="0"/>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63" w:type="dxa"/>
            <w:vMerge w:val="continue"/>
            <w:vAlign w:val="center"/>
          </w:tcPr>
          <w:p>
            <w:pPr>
              <w:adjustRightInd/>
              <w:spacing w:line="360" w:lineRule="auto"/>
              <w:jc w:val="center"/>
              <w:textAlignment w:val="auto"/>
              <w:rPr>
                <w:rFonts w:ascii="Times New Roman" w:hAnsi="Times New Roman" w:cs="Times New Roman"/>
                <w:color w:val="000000"/>
                <w:kern w:val="2"/>
                <w:sz w:val="24"/>
                <w:lang w:val="zh-TW"/>
              </w:rPr>
            </w:pPr>
          </w:p>
        </w:tc>
        <w:tc>
          <w:tcPr>
            <w:tcW w:w="1745" w:type="dxa"/>
            <w:vMerge w:val="continue"/>
            <w:vAlign w:val="center"/>
          </w:tcPr>
          <w:p>
            <w:pPr>
              <w:adjustRightInd/>
              <w:spacing w:line="360" w:lineRule="auto"/>
              <w:jc w:val="center"/>
              <w:textAlignment w:val="auto"/>
              <w:rPr>
                <w:rFonts w:ascii="Times New Roman" w:hAnsi="Times New Roman" w:cs="Times New Roman"/>
                <w:kern w:val="2"/>
                <w:sz w:val="21"/>
              </w:rPr>
            </w:pPr>
          </w:p>
        </w:tc>
        <w:tc>
          <w:tcPr>
            <w:tcW w:w="4083" w:type="dxa"/>
          </w:tcPr>
          <w:p>
            <w:pPr>
              <w:adjustRightInd/>
              <w:spacing w:line="360" w:lineRule="auto"/>
              <w:jc w:val="center"/>
              <w:textAlignment w:val="auto"/>
              <w:rPr>
                <w:rFonts w:hint="eastAsia" w:ascii="Times New Roman" w:hAnsi="Times New Roman" w:eastAsia="宋体" w:cs="Times New Roman"/>
                <w:color w:val="000000"/>
                <w:kern w:val="2"/>
                <w:sz w:val="22"/>
                <w:szCs w:val="22"/>
                <w:lang w:eastAsia="zh-CN"/>
              </w:rPr>
            </w:pPr>
            <w:r>
              <w:rPr>
                <w:rFonts w:hint="eastAsia" w:ascii="Times New Roman" w:hAnsi="Times New Roman" w:cs="Times New Roman"/>
                <w:kern w:val="2"/>
                <w:sz w:val="21"/>
                <w:lang w:eastAsia="zh-CN"/>
              </w:rPr>
              <w:t>AR云教材</w:t>
            </w:r>
          </w:p>
        </w:tc>
        <w:tc>
          <w:tcPr>
            <w:tcW w:w="1420" w:type="dxa"/>
            <w:vAlign w:val="center"/>
          </w:tcPr>
          <w:p>
            <w:pPr>
              <w:adjustRightInd/>
              <w:spacing w:line="360" w:lineRule="auto"/>
              <w:ind w:left="420"/>
              <w:jc w:val="both"/>
              <w:textAlignment w:val="auto"/>
              <w:rPr>
                <w:rFonts w:ascii="Times New Roman" w:hAnsi="Times New Roman" w:cs="Times New Roman"/>
                <w:color w:val="000000"/>
                <w:kern w:val="2"/>
                <w:sz w:val="24"/>
              </w:rPr>
            </w:pPr>
            <w:r>
              <w:rPr>
                <w:rFonts w:ascii="Times New Roman" w:hAnsi="Times New Roman" w:cs="Times New Roman"/>
                <w:color w:val="000000"/>
                <w:kern w:val="2"/>
                <w:sz w:val="24"/>
              </w:rPr>
              <w:t>1套</w:t>
            </w:r>
          </w:p>
        </w:tc>
        <w:tc>
          <w:tcPr>
            <w:tcW w:w="1420" w:type="dxa"/>
            <w:vAlign w:val="center"/>
          </w:tcPr>
          <w:p>
            <w:pPr>
              <w:adjustRightInd/>
              <w:spacing w:line="240" w:lineRule="auto"/>
              <w:ind w:left="0"/>
              <w:jc w:val="center"/>
              <w:textAlignment w:val="auto"/>
              <w:rPr>
                <w:rFonts w:ascii="Calibri" w:hAnsi="Calibri" w:cs="Calibri"/>
                <w:kern w:val="0"/>
                <w:sz w:val="24"/>
              </w:rPr>
            </w:pPr>
            <w:r>
              <w:rPr>
                <w:rFonts w:hint="default" w:ascii="Calibri" w:hAnsi="Calibri" w:cs="Calibri"/>
                <w:bCs w:val="0"/>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63" w:type="dxa"/>
            <w:vMerge w:val="continue"/>
            <w:vAlign w:val="center"/>
          </w:tcPr>
          <w:p>
            <w:pPr>
              <w:adjustRightInd/>
              <w:spacing w:line="360" w:lineRule="auto"/>
              <w:jc w:val="center"/>
              <w:textAlignment w:val="auto"/>
              <w:rPr>
                <w:rFonts w:ascii="Times New Roman" w:hAnsi="Times New Roman" w:cs="Times New Roman"/>
                <w:color w:val="000000"/>
                <w:kern w:val="2"/>
                <w:sz w:val="24"/>
                <w:lang w:val="zh-TW"/>
              </w:rPr>
            </w:pPr>
          </w:p>
        </w:tc>
        <w:tc>
          <w:tcPr>
            <w:tcW w:w="1745" w:type="dxa"/>
            <w:vMerge w:val="continue"/>
            <w:vAlign w:val="center"/>
          </w:tcPr>
          <w:p>
            <w:pPr>
              <w:adjustRightInd/>
              <w:spacing w:line="360" w:lineRule="auto"/>
              <w:jc w:val="center"/>
              <w:textAlignment w:val="auto"/>
              <w:rPr>
                <w:rFonts w:ascii="Times New Roman" w:hAnsi="Times New Roman" w:cs="Times New Roman"/>
                <w:kern w:val="2"/>
                <w:sz w:val="21"/>
              </w:rPr>
            </w:pPr>
          </w:p>
        </w:tc>
        <w:tc>
          <w:tcPr>
            <w:tcW w:w="4083" w:type="dxa"/>
          </w:tcPr>
          <w:p>
            <w:pPr>
              <w:adjustRightInd/>
              <w:spacing w:line="360" w:lineRule="auto"/>
              <w:jc w:val="center"/>
              <w:textAlignment w:val="auto"/>
              <w:rPr>
                <w:rFonts w:ascii="Times New Roman" w:hAnsi="Times New Roman" w:cs="Times New Roman"/>
                <w:color w:val="000000"/>
                <w:kern w:val="2"/>
                <w:sz w:val="22"/>
                <w:szCs w:val="22"/>
              </w:rPr>
            </w:pPr>
            <w:r>
              <w:rPr>
                <w:rFonts w:hint="eastAsia" w:ascii="Times New Roman" w:hAnsi="Times New Roman" w:cs="Times New Roman"/>
                <w:kern w:val="2"/>
                <w:sz w:val="21"/>
              </w:rPr>
              <w:t>沉浸式VR大屏交互显示系统</w:t>
            </w:r>
          </w:p>
        </w:tc>
        <w:tc>
          <w:tcPr>
            <w:tcW w:w="1420" w:type="dxa"/>
            <w:vAlign w:val="center"/>
          </w:tcPr>
          <w:p>
            <w:pPr>
              <w:adjustRightInd/>
              <w:spacing w:line="360" w:lineRule="auto"/>
              <w:ind w:left="420"/>
              <w:jc w:val="both"/>
              <w:textAlignment w:val="auto"/>
              <w:rPr>
                <w:rFonts w:ascii="Times New Roman" w:hAnsi="Times New Roman" w:cs="Times New Roman"/>
                <w:color w:val="000000"/>
                <w:kern w:val="2"/>
                <w:sz w:val="24"/>
              </w:rPr>
            </w:pPr>
            <w:r>
              <w:rPr>
                <w:rFonts w:ascii="Times New Roman" w:hAnsi="Times New Roman" w:cs="Times New Roman"/>
                <w:color w:val="000000"/>
                <w:kern w:val="2"/>
                <w:sz w:val="24"/>
              </w:rPr>
              <w:t>1套</w:t>
            </w:r>
          </w:p>
        </w:tc>
        <w:tc>
          <w:tcPr>
            <w:tcW w:w="1420" w:type="dxa"/>
            <w:vAlign w:val="center"/>
          </w:tcPr>
          <w:p>
            <w:pPr>
              <w:adjustRightInd/>
              <w:spacing w:line="240" w:lineRule="auto"/>
              <w:ind w:left="0"/>
              <w:jc w:val="center"/>
              <w:textAlignment w:val="auto"/>
              <w:rPr>
                <w:rFonts w:ascii="Calibri" w:hAnsi="Calibri" w:cs="Calibri"/>
                <w:kern w:val="0"/>
                <w:sz w:val="24"/>
              </w:rPr>
            </w:pPr>
            <w:r>
              <w:rPr>
                <w:rFonts w:hint="default" w:ascii="Calibri" w:hAnsi="Calibri" w:cs="Calibri"/>
                <w:kern w:val="0"/>
                <w:sz w:val="24"/>
                <w:lang w:val="en-US" w:eastAsia="zh-CN"/>
              </w:rPr>
              <w:t>工业</w:t>
            </w:r>
          </w:p>
        </w:tc>
      </w:tr>
    </w:tbl>
    <w:p>
      <w:pPr>
        <w:adjustRightInd/>
        <w:spacing w:line="360" w:lineRule="auto"/>
        <w:jc w:val="both"/>
        <w:textAlignment w:val="auto"/>
        <w:rPr>
          <w:rFonts w:ascii="Times New Roman" w:hAnsi="Times New Roman" w:cs="Times New Roman"/>
          <w:color w:val="000000"/>
          <w:kern w:val="2"/>
          <w:sz w:val="24"/>
        </w:rPr>
      </w:pPr>
    </w:p>
    <w:p>
      <w:pPr>
        <w:adjustRightInd/>
        <w:spacing w:line="360" w:lineRule="auto"/>
        <w:jc w:val="both"/>
        <w:textAlignment w:val="auto"/>
        <w:rPr>
          <w:rFonts w:ascii="Times New Roman" w:hAnsi="Times New Roman" w:cs="Times New Roman"/>
          <w:color w:val="000000"/>
          <w:kern w:val="2"/>
          <w:sz w:val="24"/>
        </w:rPr>
      </w:pPr>
      <w:r>
        <w:rPr>
          <w:rFonts w:ascii="Times New Roman" w:hAnsi="Times New Roman" w:cs="Times New Roman"/>
          <w:color w:val="000000"/>
          <w:kern w:val="2"/>
          <w:sz w:val="24"/>
        </w:rPr>
        <w:t xml:space="preserve">    </w:t>
      </w:r>
      <w:r>
        <w:rPr>
          <w:rFonts w:hint="eastAsia" w:ascii="Times New Roman" w:hAnsi="Times New Roman" w:cs="Times New Roman"/>
          <w:color w:val="000000"/>
          <w:kern w:val="2"/>
          <w:sz w:val="24"/>
        </w:rPr>
        <w:t xml:space="preserve"> </w:t>
      </w:r>
      <w:r>
        <w:rPr>
          <w:rFonts w:ascii="Times New Roman" w:hAnsi="Times New Roman" w:cs="Times New Roman"/>
          <w:color w:val="000000"/>
          <w:kern w:val="2"/>
          <w:sz w:val="24"/>
        </w:rPr>
        <w:t>1.1非单一货物采购项目，核心产品为</w:t>
      </w:r>
      <w:r>
        <w:rPr>
          <w:rFonts w:hint="eastAsia" w:ascii="Times New Roman" w:hAnsi="Times New Roman" w:cs="Times New Roman"/>
          <w:color w:val="000000"/>
          <w:kern w:val="2"/>
          <w:sz w:val="24"/>
        </w:rPr>
        <w:t>病理虚拟仿真实验操作(服务器端）</w:t>
      </w:r>
      <w:r>
        <w:rPr>
          <w:rFonts w:ascii="Times New Roman" w:hAnsi="Times New Roman" w:cs="Times New Roman"/>
          <w:color w:val="000000"/>
          <w:kern w:val="2"/>
          <w:sz w:val="24"/>
        </w:rPr>
        <w:t>。</w:t>
      </w:r>
    </w:p>
    <w:p>
      <w:pPr>
        <w:keepNext/>
        <w:keepLines/>
        <w:widowControl w:val="0"/>
        <w:tabs>
          <w:tab w:val="left" w:pos="720"/>
        </w:tabs>
        <w:autoSpaceDE w:val="0"/>
        <w:autoSpaceDN w:val="0"/>
        <w:adjustRightInd w:val="0"/>
        <w:spacing w:before="360" w:after="120" w:line="360" w:lineRule="auto"/>
        <w:ind w:firstLine="482" w:firstLineChars="200"/>
        <w:jc w:val="left"/>
        <w:outlineLvl w:val="2"/>
        <w:rPr>
          <w:rFonts w:ascii="Times New Roman" w:hAnsi="Times New Roman" w:eastAsia="宋体" w:cs="Times New Roman"/>
          <w:b/>
          <w:color w:val="000000"/>
          <w:kern w:val="0"/>
          <w:sz w:val="24"/>
          <w:szCs w:val="20"/>
          <w:u w:val="none"/>
          <w:lang w:val="en-US" w:eastAsia="zh-CN" w:bidi="ar-SA"/>
        </w:rPr>
      </w:pPr>
      <w:bookmarkStart w:id="23" w:name="_Toc88839302"/>
      <w:r>
        <w:rPr>
          <w:rFonts w:ascii="Times New Roman" w:hAnsi="Times New Roman" w:eastAsia="宋体" w:cs="Times New Roman"/>
          <w:b/>
          <w:color w:val="000000"/>
          <w:kern w:val="0"/>
          <w:sz w:val="24"/>
          <w:szCs w:val="20"/>
          <w:u w:val="none"/>
          <w:lang w:val="en-US" w:eastAsia="zh-CN" w:bidi="ar-SA"/>
        </w:rPr>
        <w:t>二．技术规格</w:t>
      </w:r>
      <w:bookmarkEnd w:id="23"/>
    </w:p>
    <w:p>
      <w:pPr>
        <w:keepNext/>
        <w:keepLines/>
        <w:widowControl w:val="0"/>
        <w:tabs>
          <w:tab w:val="left" w:pos="720"/>
        </w:tabs>
        <w:autoSpaceDE w:val="0"/>
        <w:autoSpaceDN w:val="0"/>
        <w:adjustRightInd w:val="0"/>
        <w:spacing w:before="360" w:after="120"/>
        <w:ind w:firstLine="482" w:firstLineChars="200"/>
        <w:jc w:val="left"/>
        <w:outlineLvl w:val="2"/>
        <w:rPr>
          <w:rFonts w:ascii="Times New Roman" w:hAnsi="Times New Roman" w:eastAsia="宋体" w:cs="Times New Roman"/>
          <w:b/>
          <w:kern w:val="0"/>
          <w:sz w:val="24"/>
          <w:szCs w:val="20"/>
          <w:u w:val="none"/>
          <w:lang w:val="en-US" w:eastAsia="zh-CN" w:bidi="ar-SA"/>
        </w:rPr>
      </w:pPr>
      <w:bookmarkStart w:id="24" w:name="_Toc88839303"/>
      <w:r>
        <w:rPr>
          <w:rFonts w:ascii="Times New Roman" w:hAnsi="Times New Roman" w:eastAsia="宋体" w:cs="Times New Roman"/>
          <w:b/>
          <w:kern w:val="0"/>
          <w:sz w:val="24"/>
          <w:szCs w:val="20"/>
          <w:u w:val="none"/>
          <w:lang w:val="en-US" w:eastAsia="zh-CN" w:bidi="ar-SA"/>
        </w:rPr>
        <w:t>1．用途</w:t>
      </w:r>
      <w:bookmarkEnd w:id="24"/>
    </w:p>
    <w:p>
      <w:pPr>
        <w:adjustRightInd/>
        <w:spacing w:line="360" w:lineRule="auto"/>
        <w:ind w:left="410" w:leftChars="171" w:firstLine="480" w:firstLineChars="200"/>
        <w:jc w:val="both"/>
        <w:textAlignment w:val="auto"/>
        <w:rPr>
          <w:rFonts w:ascii="Times New Roman" w:hAnsi="Times New Roman" w:cs="Times New Roman"/>
          <w:kern w:val="2"/>
          <w:sz w:val="24"/>
        </w:rPr>
      </w:pPr>
      <w:r>
        <w:rPr>
          <w:rFonts w:ascii="Times New Roman" w:hAnsi="Times New Roman" w:cs="Times New Roman"/>
          <w:kern w:val="2"/>
          <w:sz w:val="24"/>
        </w:rPr>
        <w:t>主要用于</w:t>
      </w:r>
      <w:r>
        <w:rPr>
          <w:rFonts w:hint="eastAsia" w:ascii="Times New Roman" w:hAnsi="Times New Roman" w:cs="Times New Roman"/>
          <w:kern w:val="2"/>
          <w:sz w:val="24"/>
        </w:rPr>
        <w:t>病理学仿真虚拟实验教学、课程开发，住院医师规范化培训，校外克隆班教学培训。</w:t>
      </w:r>
    </w:p>
    <w:p>
      <w:pPr>
        <w:keepNext/>
        <w:keepLines/>
        <w:widowControl w:val="0"/>
        <w:tabs>
          <w:tab w:val="left" w:pos="720"/>
        </w:tabs>
        <w:autoSpaceDE w:val="0"/>
        <w:autoSpaceDN w:val="0"/>
        <w:adjustRightInd w:val="0"/>
        <w:spacing w:before="360" w:after="120"/>
        <w:ind w:firstLine="482" w:firstLineChars="200"/>
        <w:jc w:val="left"/>
        <w:outlineLvl w:val="2"/>
        <w:rPr>
          <w:rFonts w:ascii="Times New Roman" w:hAnsi="Times New Roman" w:eastAsia="宋体" w:cs="Times New Roman"/>
          <w:b/>
          <w:color w:val="000000"/>
          <w:kern w:val="0"/>
          <w:sz w:val="24"/>
          <w:szCs w:val="20"/>
          <w:u w:val="single"/>
          <w:lang w:val="en-US" w:eastAsia="zh-CN" w:bidi="ar-SA"/>
        </w:rPr>
      </w:pPr>
      <w:bookmarkStart w:id="25" w:name="_Toc88839304"/>
      <w:r>
        <w:rPr>
          <w:rFonts w:ascii="Times New Roman" w:hAnsi="Times New Roman" w:eastAsia="宋体" w:cs="Times New Roman"/>
          <w:b/>
          <w:color w:val="000000"/>
          <w:kern w:val="0"/>
          <w:sz w:val="24"/>
          <w:szCs w:val="20"/>
          <w:u w:val="none"/>
          <w:lang w:val="en-US" w:eastAsia="zh-CN" w:bidi="ar-SA"/>
        </w:rPr>
        <w:t>2．工作条件</w:t>
      </w:r>
      <w:bookmarkEnd w:id="25"/>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ascii="Times New Roman" w:hAnsi="Times New Roman" w:cs="Times New Roman"/>
          <w:color w:val="000000"/>
          <w:kern w:val="2"/>
          <w:position w:val="-20"/>
          <w:sz w:val="24"/>
        </w:rPr>
        <w:t>2.1工作温度和湿度：</w:t>
      </w:r>
      <w:r>
        <w:rPr>
          <w:rFonts w:hint="eastAsia" w:ascii="Times New Roman" w:hAnsi="Times New Roman" w:cs="Times New Roman"/>
          <w:color w:val="000000"/>
          <w:kern w:val="2"/>
          <w:position w:val="-20"/>
          <w:sz w:val="24"/>
        </w:rPr>
        <w:t>-10℃~70℃，存储温度为-30℃~70℃，湿度无要求</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8.传输角度：360°±5%</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ascii="Times New Roman" w:hAnsi="Times New Roman" w:cs="Times New Roman"/>
          <w:color w:val="000000"/>
          <w:kern w:val="2"/>
          <w:position w:val="-20"/>
          <w:sz w:val="24"/>
        </w:rPr>
        <w:t>2.2 电力要求：</w:t>
      </w:r>
      <w:r>
        <w:rPr>
          <w:rFonts w:hint="eastAsia" w:ascii="Times New Roman" w:hAnsi="Times New Roman" w:cs="Times New Roman"/>
          <w:color w:val="000000"/>
          <w:kern w:val="2"/>
          <w:position w:val="-20"/>
          <w:sz w:val="24"/>
        </w:rPr>
        <w:t>1</w:t>
      </w:r>
      <w:r>
        <w:rPr>
          <w:rFonts w:ascii="Times New Roman" w:hAnsi="Times New Roman" w:cs="Times New Roman"/>
          <w:color w:val="000000"/>
          <w:kern w:val="2"/>
          <w:position w:val="-20"/>
          <w:sz w:val="24"/>
        </w:rPr>
        <w:t>0KW(</w:t>
      </w:r>
      <w:r>
        <w:rPr>
          <w:rFonts w:hint="eastAsia" w:ascii="Times New Roman" w:hAnsi="Times New Roman" w:cs="Times New Roman"/>
          <w:color w:val="000000"/>
          <w:kern w:val="2"/>
          <w:position w:val="-20"/>
          <w:sz w:val="24"/>
        </w:rPr>
        <w:t>两路2</w:t>
      </w:r>
      <w:r>
        <w:rPr>
          <w:rFonts w:ascii="Times New Roman" w:hAnsi="Times New Roman" w:cs="Times New Roman"/>
          <w:color w:val="000000"/>
          <w:kern w:val="2"/>
          <w:position w:val="-20"/>
          <w:sz w:val="24"/>
        </w:rPr>
        <w:t>20V)</w:t>
      </w:r>
    </w:p>
    <w:p>
      <w:pPr>
        <w:adjustRightInd/>
        <w:spacing w:line="360" w:lineRule="auto"/>
        <w:ind w:left="648" w:leftChars="270"/>
        <w:jc w:val="both"/>
        <w:textAlignment w:val="auto"/>
        <w:rPr>
          <w:rFonts w:ascii="Times New Roman" w:hAnsi="Times New Roman" w:cs="Times New Roman"/>
          <w:color w:val="000000"/>
          <w:kern w:val="2"/>
          <w:position w:val="-16"/>
          <w:sz w:val="24"/>
        </w:rPr>
      </w:pPr>
      <w:r>
        <w:rPr>
          <w:rFonts w:ascii="Times New Roman" w:hAnsi="Times New Roman" w:cs="Times New Roman"/>
          <w:color w:val="000000"/>
          <w:kern w:val="2"/>
          <w:position w:val="-16"/>
          <w:sz w:val="24"/>
        </w:rPr>
        <w:t>2.3 场地要求：</w:t>
      </w:r>
      <w:r>
        <w:rPr>
          <w:rFonts w:hint="eastAsia" w:ascii="Times New Roman" w:hAnsi="Times New Roman" w:cs="Times New Roman"/>
          <w:color w:val="000000"/>
          <w:kern w:val="2"/>
          <w:position w:val="-16"/>
          <w:sz w:val="24"/>
        </w:rPr>
        <w:t>实验室，建议面积不少于9</w:t>
      </w:r>
      <w:r>
        <w:rPr>
          <w:rFonts w:ascii="Times New Roman" w:hAnsi="Times New Roman" w:cs="Times New Roman"/>
          <w:color w:val="000000"/>
          <w:kern w:val="2"/>
          <w:position w:val="-16"/>
          <w:sz w:val="24"/>
        </w:rPr>
        <w:t>0</w:t>
      </w:r>
      <w:r>
        <w:rPr>
          <w:rFonts w:hint="eastAsia" w:ascii="Times New Roman" w:hAnsi="Times New Roman" w:cs="Times New Roman"/>
          <w:color w:val="000000"/>
          <w:kern w:val="2"/>
          <w:position w:val="-16"/>
          <w:sz w:val="24"/>
        </w:rPr>
        <w:t>平米。实验室墙面前后宽度不少于5米，高不少于2.</w:t>
      </w:r>
      <w:r>
        <w:rPr>
          <w:rFonts w:ascii="Times New Roman" w:hAnsi="Times New Roman" w:cs="Times New Roman"/>
          <w:color w:val="000000"/>
          <w:kern w:val="2"/>
          <w:position w:val="-16"/>
          <w:sz w:val="24"/>
        </w:rPr>
        <w:t>6</w:t>
      </w:r>
      <w:r>
        <w:rPr>
          <w:rFonts w:hint="eastAsia" w:ascii="Times New Roman" w:hAnsi="Times New Roman" w:cs="Times New Roman"/>
          <w:color w:val="000000"/>
          <w:kern w:val="2"/>
          <w:position w:val="-16"/>
          <w:sz w:val="24"/>
        </w:rPr>
        <w:t>米。</w:t>
      </w:r>
    </w:p>
    <w:p>
      <w:pPr>
        <w:keepNext/>
        <w:keepLines/>
        <w:widowControl w:val="0"/>
        <w:tabs>
          <w:tab w:val="left" w:pos="720"/>
        </w:tabs>
        <w:autoSpaceDE w:val="0"/>
        <w:autoSpaceDN w:val="0"/>
        <w:adjustRightInd w:val="0"/>
        <w:spacing w:before="360" w:after="120"/>
        <w:ind w:firstLine="482" w:firstLineChars="200"/>
        <w:jc w:val="left"/>
        <w:outlineLvl w:val="2"/>
        <w:rPr>
          <w:rFonts w:ascii="Times New Roman" w:hAnsi="Times New Roman" w:eastAsia="宋体" w:cs="Times New Roman"/>
          <w:b/>
          <w:color w:val="000000"/>
          <w:kern w:val="0"/>
          <w:sz w:val="24"/>
          <w:szCs w:val="20"/>
          <w:u w:val="none"/>
          <w:lang w:val="en-US" w:eastAsia="zh-CN" w:bidi="ar-SA"/>
        </w:rPr>
      </w:pPr>
      <w:bookmarkStart w:id="26" w:name="_Toc88839305"/>
      <w:r>
        <w:rPr>
          <w:rFonts w:ascii="Times New Roman" w:hAnsi="Times New Roman" w:eastAsia="宋体" w:cs="Times New Roman"/>
          <w:b/>
          <w:color w:val="000000"/>
          <w:kern w:val="0"/>
          <w:sz w:val="24"/>
          <w:szCs w:val="20"/>
          <w:u w:val="none"/>
          <w:lang w:val="en-US" w:eastAsia="zh-CN" w:bidi="ar-SA"/>
        </w:rPr>
        <w:t>3．配置要求</w:t>
      </w:r>
      <w:bookmarkEnd w:id="26"/>
    </w:p>
    <w:p>
      <w:pPr>
        <w:adjustRightInd/>
        <w:spacing w:line="360" w:lineRule="auto"/>
        <w:ind w:left="648" w:leftChars="270"/>
        <w:jc w:val="both"/>
        <w:textAlignment w:val="auto"/>
        <w:rPr>
          <w:rFonts w:hint="eastAsia"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VR病理大体查询系统3</w:t>
      </w:r>
      <w:r>
        <w:rPr>
          <w:rFonts w:ascii="Times New Roman" w:hAnsi="Times New Roman" w:cs="Times New Roman"/>
          <w:color w:val="000000"/>
          <w:kern w:val="2"/>
          <w:position w:val="-20"/>
          <w:sz w:val="24"/>
        </w:rPr>
        <w:t>3</w:t>
      </w:r>
      <w:r>
        <w:rPr>
          <w:rFonts w:hint="eastAsia" w:ascii="Times New Roman" w:hAnsi="Times New Roman" w:cs="Times New Roman"/>
          <w:color w:val="000000"/>
          <w:kern w:val="2"/>
          <w:position w:val="-20"/>
          <w:sz w:val="24"/>
        </w:rPr>
        <w:t>套</w:t>
      </w:r>
    </w:p>
    <w:p>
      <w:pPr>
        <w:adjustRightInd/>
        <w:spacing w:line="360" w:lineRule="auto"/>
        <w:ind w:left="648" w:leftChars="270"/>
        <w:jc w:val="both"/>
        <w:textAlignment w:val="auto"/>
        <w:rPr>
          <w:rFonts w:hint="eastAsia"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病理虚拟仿真实验操作/病理学虚拟仿真实验教学软件(服务器端）1套</w:t>
      </w:r>
    </w:p>
    <w:p>
      <w:pPr>
        <w:adjustRightInd/>
        <w:spacing w:line="360" w:lineRule="auto"/>
        <w:ind w:left="648" w:leftChars="270"/>
        <w:jc w:val="both"/>
        <w:textAlignment w:val="auto"/>
        <w:rPr>
          <w:rFonts w:hint="eastAsia"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病理虚拟仿真实验操作/病理学虚拟仿真实验教学软件(学生端）3</w:t>
      </w:r>
      <w:r>
        <w:rPr>
          <w:rFonts w:ascii="Times New Roman" w:hAnsi="Times New Roman" w:cs="Times New Roman"/>
          <w:color w:val="000000"/>
          <w:kern w:val="2"/>
          <w:position w:val="-20"/>
          <w:sz w:val="24"/>
        </w:rPr>
        <w:t>2</w:t>
      </w:r>
      <w:r>
        <w:rPr>
          <w:rFonts w:hint="eastAsia" w:ascii="Times New Roman" w:hAnsi="Times New Roman" w:cs="Times New Roman"/>
          <w:color w:val="000000"/>
          <w:kern w:val="2"/>
          <w:position w:val="-20"/>
          <w:sz w:val="24"/>
        </w:rPr>
        <w:t>套</w:t>
      </w:r>
    </w:p>
    <w:p>
      <w:pPr>
        <w:adjustRightInd/>
        <w:spacing w:line="360" w:lineRule="auto"/>
        <w:ind w:left="648" w:leftChars="270"/>
        <w:jc w:val="both"/>
        <w:textAlignment w:val="auto"/>
        <w:rPr>
          <w:rFonts w:hint="eastAsia"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3D胚胎发育VR示教系统3</w:t>
      </w:r>
      <w:r>
        <w:rPr>
          <w:rFonts w:ascii="Times New Roman" w:hAnsi="Times New Roman" w:cs="Times New Roman"/>
          <w:color w:val="000000"/>
          <w:kern w:val="2"/>
          <w:position w:val="-20"/>
          <w:sz w:val="24"/>
        </w:rPr>
        <w:t>3</w:t>
      </w:r>
      <w:r>
        <w:rPr>
          <w:rFonts w:hint="eastAsia" w:ascii="Times New Roman" w:hAnsi="Times New Roman" w:cs="Times New Roman"/>
          <w:color w:val="000000"/>
          <w:kern w:val="2"/>
          <w:position w:val="-20"/>
          <w:sz w:val="24"/>
        </w:rPr>
        <w:t>套</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lang w:eastAsia="zh-CN"/>
        </w:rPr>
        <w:t>AR云教材</w:t>
      </w:r>
      <w:r>
        <w:rPr>
          <w:rFonts w:ascii="Times New Roman" w:hAnsi="Times New Roman" w:cs="Times New Roman"/>
          <w:color w:val="000000"/>
          <w:kern w:val="2"/>
          <w:position w:val="-20"/>
          <w:sz w:val="24"/>
        </w:rPr>
        <w:t xml:space="preserve"> 1</w:t>
      </w:r>
      <w:r>
        <w:rPr>
          <w:rFonts w:hint="eastAsia" w:ascii="Times New Roman" w:hAnsi="Times New Roman" w:cs="Times New Roman"/>
          <w:color w:val="000000"/>
          <w:kern w:val="2"/>
          <w:position w:val="-20"/>
          <w:sz w:val="24"/>
        </w:rPr>
        <w:t>套</w:t>
      </w:r>
    </w:p>
    <w:p>
      <w:pPr>
        <w:widowControl w:val="0"/>
        <w:autoSpaceDE w:val="0"/>
        <w:autoSpaceDN w:val="0"/>
        <w:adjustRightInd w:val="0"/>
        <w:ind w:firstLine="420"/>
        <w:jc w:val="left"/>
        <w:rPr>
          <w:rFonts w:ascii="宋体" w:hAnsi="Times New Roman" w:eastAsia="宋体" w:cs="Times New Roman"/>
          <w:kern w:val="0"/>
          <w:sz w:val="24"/>
          <w:szCs w:val="20"/>
          <w:lang w:val="en-US" w:eastAsia="zh-CN" w:bidi="ar-SA"/>
        </w:rPr>
      </w:pPr>
    </w:p>
    <w:p>
      <w:pPr>
        <w:keepNext/>
        <w:keepLines/>
        <w:widowControl w:val="0"/>
        <w:tabs>
          <w:tab w:val="left" w:pos="720"/>
        </w:tabs>
        <w:autoSpaceDE w:val="0"/>
        <w:autoSpaceDN w:val="0"/>
        <w:adjustRightInd w:val="0"/>
        <w:spacing w:before="360" w:after="120"/>
        <w:ind w:firstLine="482" w:firstLineChars="200"/>
        <w:jc w:val="left"/>
        <w:outlineLvl w:val="2"/>
        <w:rPr>
          <w:rFonts w:ascii="Times New Roman" w:hAnsi="Times New Roman" w:eastAsia="宋体" w:cs="Times New Roman"/>
          <w:b/>
          <w:color w:val="000000"/>
          <w:kern w:val="0"/>
          <w:sz w:val="24"/>
          <w:szCs w:val="20"/>
          <w:u w:val="none"/>
          <w:lang w:val="en-US" w:eastAsia="zh-CN" w:bidi="ar-SA"/>
        </w:rPr>
      </w:pPr>
      <w:bookmarkStart w:id="27" w:name="_Toc88839306"/>
      <w:r>
        <w:rPr>
          <w:rFonts w:ascii="Times New Roman" w:hAnsi="Times New Roman" w:eastAsia="宋体" w:cs="Times New Roman"/>
          <w:b/>
          <w:color w:val="000000"/>
          <w:kern w:val="0"/>
          <w:sz w:val="24"/>
          <w:szCs w:val="20"/>
          <w:u w:val="none"/>
          <w:lang w:val="en-US" w:eastAsia="zh-CN" w:bidi="ar-SA"/>
        </w:rPr>
        <w:t>4．技术要求</w:t>
      </w:r>
      <w:bookmarkEnd w:id="27"/>
    </w:p>
    <w:p>
      <w:pPr>
        <w:adjustRightInd/>
        <w:spacing w:line="360" w:lineRule="auto"/>
        <w:ind w:left="648" w:leftChars="270"/>
        <w:jc w:val="both"/>
        <w:textAlignment w:val="auto"/>
        <w:rPr>
          <w:rFonts w:ascii="Times New Roman" w:hAnsi="Times New Roman" w:cs="Times New Roman"/>
          <w:b/>
          <w:bCs/>
          <w:color w:val="000000"/>
          <w:kern w:val="2"/>
          <w:position w:val="-20"/>
          <w:sz w:val="24"/>
        </w:rPr>
      </w:pPr>
      <w:r>
        <w:rPr>
          <w:rFonts w:ascii="Times New Roman" w:hAnsi="Times New Roman" w:cs="Times New Roman"/>
          <w:b/>
          <w:bCs/>
          <w:color w:val="000000"/>
          <w:kern w:val="2"/>
          <w:position w:val="-20"/>
          <w:sz w:val="24"/>
        </w:rPr>
        <w:t xml:space="preserve">4.1 </w:t>
      </w:r>
      <w:r>
        <w:rPr>
          <w:rFonts w:hint="eastAsia" w:ascii="Times New Roman" w:hAnsi="Times New Roman" w:cs="Times New Roman"/>
          <w:b/>
          <w:bCs/>
          <w:color w:val="000000"/>
          <w:kern w:val="2"/>
          <w:position w:val="-20"/>
          <w:sz w:val="24"/>
        </w:rPr>
        <w:t>VR病理大体查询系统</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系统包括：骨骼疾病、软组织疾病、皮肤疾病、损伤中毒、免疫疾病、循环系统疾病、呼吸系统疾病、消化系统疾病、泌尿系统疾病、生殖系统疾病、神经系统疾病、血液及造血器官疾病、感染性疾病（提供产品截图证明文件并加盖生产厂商公章）。</w:t>
      </w:r>
    </w:p>
    <w:p>
      <w:pPr>
        <w:adjustRightInd/>
        <w:spacing w:line="360" w:lineRule="auto"/>
        <w:ind w:left="648" w:leftChars="270"/>
        <w:jc w:val="both"/>
        <w:textAlignment w:val="auto"/>
        <w:rPr>
          <w:rFonts w:ascii="Times New Roman" w:hAnsi="Times New Roman" w:cs="Times New Roman"/>
          <w:color w:val="000000"/>
          <w:kern w:val="2"/>
          <w:position w:val="-20"/>
          <w:sz w:val="24"/>
        </w:rPr>
      </w:pPr>
      <w:bookmarkStart w:id="28" w:name="_Hlk119669049"/>
      <w:r>
        <w:rPr>
          <w:rFonts w:hint="eastAsia" w:ascii="Times New Roman" w:hAnsi="Times New Roman" w:cs="Times New Roman"/>
          <w:color w:val="000000"/>
          <w:kern w:val="2"/>
          <w:position w:val="-20"/>
          <w:sz w:val="24"/>
        </w:rPr>
        <w:t>▲2.系统包括VR资源不少于500件。支持3D/VR两种模式的观察，支持出屏模式。模型观察支持</w:t>
      </w:r>
      <w:r>
        <w:rPr>
          <w:rFonts w:ascii="Times New Roman" w:hAnsi="Times New Roman" w:cs="Times New Roman"/>
          <w:color w:val="000000"/>
          <w:kern w:val="2"/>
          <w:position w:val="-20"/>
          <w:sz w:val="24"/>
        </w:rPr>
        <w:t>360</w:t>
      </w:r>
      <w:r>
        <w:rPr>
          <w:rFonts w:hint="eastAsia" w:ascii="Times New Roman" w:hAnsi="Times New Roman" w:cs="Times New Roman"/>
          <w:color w:val="000000"/>
          <w:kern w:val="2"/>
          <w:position w:val="-20"/>
          <w:sz w:val="24"/>
        </w:rPr>
        <w:t>°旋转，支持复位、旋转播放、VR投屏。(投标人需提供U盘演示视频证明，系统支持V</w:t>
      </w:r>
      <w:r>
        <w:rPr>
          <w:rFonts w:ascii="Times New Roman" w:hAnsi="Times New Roman" w:cs="Times New Roman"/>
          <w:color w:val="000000"/>
          <w:kern w:val="2"/>
          <w:position w:val="-20"/>
          <w:sz w:val="24"/>
        </w:rPr>
        <w:t>R</w:t>
      </w:r>
      <w:r>
        <w:rPr>
          <w:rFonts w:hint="eastAsia" w:ascii="Times New Roman" w:hAnsi="Times New Roman" w:cs="Times New Roman"/>
          <w:color w:val="000000"/>
          <w:kern w:val="2"/>
          <w:position w:val="-20"/>
          <w:sz w:val="24"/>
        </w:rPr>
        <w:t>模式，并充分展示V</w:t>
      </w:r>
      <w:r>
        <w:rPr>
          <w:rFonts w:ascii="Times New Roman" w:hAnsi="Times New Roman" w:cs="Times New Roman"/>
          <w:color w:val="000000"/>
          <w:kern w:val="2"/>
          <w:position w:val="-20"/>
          <w:sz w:val="24"/>
        </w:rPr>
        <w:t>R</w:t>
      </w:r>
      <w:r>
        <w:rPr>
          <w:rFonts w:hint="eastAsia" w:ascii="Times New Roman" w:hAnsi="Times New Roman" w:cs="Times New Roman"/>
          <w:color w:val="000000"/>
          <w:kern w:val="2"/>
          <w:position w:val="-20"/>
          <w:sz w:val="24"/>
        </w:rPr>
        <w:t>效果及出屏效果，并支持3D/VR两种模式得快速切换）。</w:t>
      </w:r>
    </w:p>
    <w:bookmarkEnd w:id="28"/>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■3.VR模式下支持触屏效果，支持追踪，3D/VR动态切换时间≤1s。VR跟踪眼镜自动匹配，即拿即用，无需人为设置，不用担心眼镜交叉混配。</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ascii="Times New Roman" w:hAnsi="Times New Roman" w:cs="Times New Roman"/>
          <w:color w:val="000000"/>
          <w:kern w:val="2"/>
          <w:position w:val="-20"/>
          <w:sz w:val="24"/>
        </w:rPr>
        <w:t>4</w:t>
      </w:r>
      <w:r>
        <w:rPr>
          <w:rFonts w:hint="eastAsia" w:ascii="Times New Roman" w:hAnsi="Times New Roman" w:cs="Times New Roman"/>
          <w:color w:val="000000"/>
          <w:kern w:val="2"/>
          <w:position w:val="-20"/>
          <w:sz w:val="24"/>
        </w:rPr>
        <w:t>标本可旋转观察，720°无死角。</w:t>
      </w:r>
    </w:p>
    <w:p>
      <w:pPr>
        <w:adjustRightInd/>
        <w:spacing w:line="360" w:lineRule="auto"/>
        <w:ind w:left="648" w:leftChars="270"/>
        <w:jc w:val="both"/>
        <w:textAlignment w:val="auto"/>
        <w:rPr>
          <w:rFonts w:ascii="Times New Roman" w:hAnsi="Times New Roman" w:cs="Times New Roman"/>
          <w:color w:val="000000"/>
          <w:kern w:val="2"/>
          <w:position w:val="-20"/>
          <w:sz w:val="24"/>
        </w:rPr>
      </w:pPr>
      <w:bookmarkStart w:id="29" w:name="_Hlk119669058"/>
      <w:r>
        <w:rPr>
          <w:rFonts w:hint="eastAsia" w:ascii="Times New Roman" w:hAnsi="Times New Roman" w:cs="Times New Roman"/>
          <w:color w:val="000000"/>
          <w:kern w:val="2"/>
          <w:position w:val="-20"/>
          <w:sz w:val="24"/>
        </w:rPr>
        <w:t>▲</w:t>
      </w:r>
      <w:r>
        <w:rPr>
          <w:rFonts w:ascii="Times New Roman" w:hAnsi="Times New Roman" w:cs="Times New Roman"/>
          <w:color w:val="000000"/>
          <w:kern w:val="2"/>
          <w:position w:val="-20"/>
          <w:sz w:val="24"/>
        </w:rPr>
        <w:t>5</w:t>
      </w:r>
      <w:r>
        <w:rPr>
          <w:rFonts w:hint="eastAsia" w:ascii="Times New Roman" w:hAnsi="Times New Roman" w:cs="Times New Roman"/>
          <w:color w:val="000000"/>
          <w:kern w:val="2"/>
          <w:position w:val="-20"/>
          <w:sz w:val="24"/>
        </w:rPr>
        <w:t>．病理学习题库：共题1000题，支持后续添加。教学视频内容包括： 1）癌的淋巴道转移 2）动脉粥样硬化形成过程、3）高血压左心室肥厚的机制4）高血压发病机制5）解密心肌梗死6）慢性肺源性心脏病形成机制7）慢性阻塞性肺气肿形成机制8）胃溃疡那点事9）你知道什么是血栓形成么？(投标人需提供U盘演示视频证明，证明教学视频完整）。</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w:t>
      </w:r>
      <w:r>
        <w:rPr>
          <w:rFonts w:ascii="Times New Roman" w:hAnsi="Times New Roman" w:cs="Times New Roman"/>
          <w:color w:val="000000"/>
          <w:kern w:val="2"/>
          <w:position w:val="-20"/>
          <w:sz w:val="24"/>
        </w:rPr>
        <w:t>6</w:t>
      </w:r>
      <w:r>
        <w:rPr>
          <w:rFonts w:hint="eastAsia" w:ascii="Times New Roman" w:hAnsi="Times New Roman" w:cs="Times New Roman"/>
          <w:color w:val="000000"/>
          <w:kern w:val="2"/>
          <w:position w:val="-20"/>
          <w:sz w:val="24"/>
        </w:rPr>
        <w:t>.产品涉及学科为国家级出版社提供技术支持，并具有软件著作（提供证明文件和软著著作权并加盖生产厂商公章）。</w:t>
      </w:r>
    </w:p>
    <w:bookmarkEnd w:id="29"/>
    <w:p>
      <w:pPr>
        <w:adjustRightInd/>
        <w:spacing w:line="360" w:lineRule="auto"/>
        <w:ind w:left="648" w:leftChars="270"/>
        <w:jc w:val="both"/>
        <w:textAlignment w:val="auto"/>
        <w:rPr>
          <w:rFonts w:ascii="Times New Roman" w:hAnsi="Times New Roman" w:cs="Times New Roman"/>
          <w:color w:val="000000"/>
          <w:kern w:val="2"/>
          <w:position w:val="-20"/>
          <w:sz w:val="24"/>
        </w:rPr>
      </w:pPr>
    </w:p>
    <w:p>
      <w:pPr>
        <w:adjustRightInd/>
        <w:spacing w:line="360" w:lineRule="auto"/>
        <w:ind w:left="648" w:leftChars="270"/>
        <w:jc w:val="both"/>
        <w:textAlignment w:val="auto"/>
        <w:rPr>
          <w:rFonts w:ascii="Times New Roman" w:hAnsi="Times New Roman" w:cs="Times New Roman"/>
          <w:b/>
          <w:bCs/>
          <w:color w:val="000000"/>
          <w:kern w:val="2"/>
          <w:position w:val="-20"/>
          <w:sz w:val="24"/>
        </w:rPr>
      </w:pPr>
      <w:r>
        <w:rPr>
          <w:rFonts w:hint="eastAsia" w:ascii="Times New Roman" w:hAnsi="Times New Roman" w:cs="Times New Roman"/>
          <w:b/>
          <w:bCs/>
          <w:color w:val="000000"/>
          <w:kern w:val="2"/>
          <w:position w:val="-20"/>
          <w:sz w:val="24"/>
        </w:rPr>
        <w:t>4</w:t>
      </w:r>
      <w:r>
        <w:rPr>
          <w:rFonts w:ascii="Times New Roman" w:hAnsi="Times New Roman" w:cs="Times New Roman"/>
          <w:b/>
          <w:bCs/>
          <w:color w:val="000000"/>
          <w:kern w:val="2"/>
          <w:position w:val="-20"/>
          <w:sz w:val="24"/>
        </w:rPr>
        <w:t xml:space="preserve">.2 </w:t>
      </w:r>
      <w:r>
        <w:rPr>
          <w:rFonts w:hint="eastAsia" w:ascii="Times New Roman" w:hAnsi="Times New Roman" w:cs="Times New Roman"/>
          <w:b/>
          <w:bCs/>
          <w:color w:val="000000"/>
          <w:kern w:val="2"/>
          <w:position w:val="-20"/>
          <w:sz w:val="24"/>
        </w:rPr>
        <w:t>病理虚拟仿真实验操作/病理学虚拟仿真实验教学软件(服务器端）</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目前，恶性肿瘤已经成为严重威胁我国人群健康的主要公共卫生问题之一，其发病死亡均呈持续上升态势。其中，消化系统常见肿瘤发病率、死亡率极高，是当前基础医学研究的重大课题之一，也是本科教学中的重点和难点内容，掌握消化系统常见肿瘤的诊断方法极其重要。在恶性肿瘤诊断过程中，病理诊断是最为可靠的一种诊断依据。《病理学》是医学专业必修专业基础课，属于医学形态学科，在医学各专业课程体系中，占据半壁江山，基础医学专业基础实验室建设薄弱，将不利于临床医学各专业学科的发展。特别是常规病理诊断需要经过大体观察、取材、蜡块制作、切片制作、染色、显微镜下观察等程序，技术繁琐，难以在基础病理教学中完整呈现病理诊断过程。该实验运用Unity3D等虚拟仿真技术搭建虚拟仿真实验场景，包括实验前准备、实验过程、实验器材、实验结果等真实还原了常规病理诊断全过程。</w:t>
      </w:r>
    </w:p>
    <w:p>
      <w:pPr>
        <w:adjustRightInd/>
        <w:spacing w:line="360" w:lineRule="auto"/>
        <w:ind w:left="648" w:leftChars="270"/>
        <w:jc w:val="both"/>
        <w:textAlignment w:val="auto"/>
        <w:rPr>
          <w:rFonts w:ascii="Times New Roman" w:hAnsi="Times New Roman" w:cs="Times New Roman"/>
          <w:color w:val="000000"/>
          <w:kern w:val="2"/>
          <w:position w:val="-20"/>
          <w:sz w:val="24"/>
        </w:rPr>
      </w:pPr>
      <w:bookmarkStart w:id="30" w:name="_Hlk119669066"/>
      <w:r>
        <w:rPr>
          <w:rFonts w:hint="eastAsia" w:ascii="Times New Roman" w:hAnsi="Times New Roman" w:cs="Times New Roman"/>
          <w:color w:val="000000"/>
          <w:kern w:val="2"/>
          <w:position w:val="-20"/>
          <w:sz w:val="24"/>
        </w:rPr>
        <w:t>▲一、该系统为系统通过账号密码登录涵盖了3D/VR实训教学操作资源，该虚拟仿真实验操作系统将基础与临床、理论与实践、虚拟与现实有机融合，解决了常规病理诊断教学过程繁琐的痛点，极大提高操作者的学习兴趣，加深操作者对常见肿瘤相关疾病病理知识点的理解和掌握。该系统采用5G推流技术，适用于PC端等设备，如亲临其境，方便学习者反复学习，以下9项为具体实验内容：1）肝水样变性与肝脂肪变性的鉴别诊断,</w:t>
      </w:r>
      <w:r>
        <w:rPr>
          <w:rFonts w:ascii="Times New Roman" w:hAnsi="Times New Roman" w:cs="Times New Roman"/>
          <w:color w:val="000000"/>
          <w:kern w:val="2"/>
          <w:position w:val="-20"/>
          <w:sz w:val="24"/>
        </w:rPr>
        <w:t xml:space="preserve"> </w:t>
      </w:r>
      <w:r>
        <w:rPr>
          <w:rFonts w:hint="eastAsia" w:ascii="Times New Roman" w:hAnsi="Times New Roman" w:cs="Times New Roman"/>
          <w:color w:val="000000"/>
          <w:kern w:val="2"/>
          <w:position w:val="-20"/>
          <w:sz w:val="24"/>
        </w:rPr>
        <w:t>2）慢性肝淤血（槟郎肝）与肝脂肪变性的鉴别诊断,</w:t>
      </w:r>
      <w:r>
        <w:rPr>
          <w:rFonts w:ascii="Times New Roman" w:hAnsi="Times New Roman" w:cs="Times New Roman"/>
          <w:color w:val="000000"/>
          <w:kern w:val="2"/>
          <w:position w:val="-20"/>
          <w:sz w:val="24"/>
        </w:rPr>
        <w:t xml:space="preserve"> </w:t>
      </w:r>
      <w:r>
        <w:rPr>
          <w:rFonts w:hint="eastAsia" w:ascii="Times New Roman" w:hAnsi="Times New Roman" w:cs="Times New Roman"/>
          <w:color w:val="000000"/>
          <w:kern w:val="2"/>
          <w:position w:val="-20"/>
          <w:sz w:val="24"/>
        </w:rPr>
        <w:t>3）心肌萎缩与心肌肥大的鉴别诊断心肌梗死与病毒性心肌炎的鉴别诊断,4）异物肉芽肿虚拟实验操作,</w:t>
      </w:r>
      <w:r>
        <w:rPr>
          <w:rFonts w:ascii="Times New Roman" w:hAnsi="Times New Roman" w:cs="Times New Roman"/>
          <w:color w:val="000000"/>
          <w:kern w:val="2"/>
          <w:position w:val="-20"/>
          <w:sz w:val="24"/>
        </w:rPr>
        <w:t xml:space="preserve"> </w:t>
      </w:r>
      <w:r>
        <w:rPr>
          <w:rFonts w:hint="eastAsia" w:ascii="Times New Roman" w:hAnsi="Times New Roman" w:cs="Times New Roman"/>
          <w:color w:val="000000"/>
          <w:kern w:val="2"/>
          <w:position w:val="-20"/>
          <w:sz w:val="24"/>
        </w:rPr>
        <w:t>5）胃溃疡与溃疡性胃癌的鉴别诊断,</w:t>
      </w:r>
      <w:r>
        <w:rPr>
          <w:rFonts w:ascii="Times New Roman" w:hAnsi="Times New Roman" w:cs="Times New Roman"/>
          <w:color w:val="000000"/>
          <w:kern w:val="2"/>
          <w:position w:val="-20"/>
          <w:sz w:val="24"/>
        </w:rPr>
        <w:t xml:space="preserve"> </w:t>
      </w:r>
      <w:r>
        <w:rPr>
          <w:rFonts w:hint="eastAsia" w:ascii="Times New Roman" w:hAnsi="Times New Roman" w:cs="Times New Roman"/>
          <w:color w:val="000000"/>
          <w:kern w:val="2"/>
          <w:position w:val="-20"/>
          <w:sz w:val="24"/>
        </w:rPr>
        <w:t>6）流行性脑脊髓膜炎与流行性乙型脑炎的鉴别诊断,</w:t>
      </w:r>
      <w:r>
        <w:rPr>
          <w:rFonts w:ascii="Times New Roman" w:hAnsi="Times New Roman" w:cs="Times New Roman"/>
          <w:color w:val="000000"/>
          <w:kern w:val="2"/>
          <w:position w:val="-20"/>
          <w:sz w:val="24"/>
        </w:rPr>
        <w:t xml:space="preserve"> </w:t>
      </w:r>
      <w:r>
        <w:rPr>
          <w:rFonts w:hint="eastAsia" w:ascii="Times New Roman" w:hAnsi="Times New Roman" w:cs="Times New Roman"/>
          <w:color w:val="000000"/>
          <w:kern w:val="2"/>
          <w:position w:val="-20"/>
          <w:sz w:val="24"/>
        </w:rPr>
        <w:t>7）细菌性痢疾、肠伤寒、肠结核的鉴别诊断,</w:t>
      </w:r>
      <w:r>
        <w:rPr>
          <w:rFonts w:ascii="Times New Roman" w:hAnsi="Times New Roman" w:cs="Times New Roman"/>
          <w:color w:val="000000"/>
          <w:kern w:val="2"/>
          <w:position w:val="-20"/>
          <w:sz w:val="24"/>
        </w:rPr>
        <w:t xml:space="preserve"> </w:t>
      </w:r>
      <w:r>
        <w:rPr>
          <w:rFonts w:hint="eastAsia" w:ascii="Times New Roman" w:hAnsi="Times New Roman" w:cs="Times New Roman"/>
          <w:color w:val="000000"/>
          <w:kern w:val="2"/>
          <w:position w:val="-20"/>
          <w:sz w:val="24"/>
        </w:rPr>
        <w:t>8）急性病毒性肝炎、慢性病毒性肝炎、亚急性重症肝炎、肝硬化、肝癌的演变,</w:t>
      </w:r>
      <w:r>
        <w:rPr>
          <w:rFonts w:ascii="Times New Roman" w:hAnsi="Times New Roman" w:cs="Times New Roman"/>
          <w:color w:val="000000"/>
          <w:kern w:val="2"/>
          <w:position w:val="-20"/>
          <w:sz w:val="24"/>
        </w:rPr>
        <w:t xml:space="preserve"> </w:t>
      </w:r>
      <w:r>
        <w:rPr>
          <w:rFonts w:hint="eastAsia" w:ascii="Times New Roman" w:hAnsi="Times New Roman" w:cs="Times New Roman"/>
          <w:color w:val="000000"/>
          <w:kern w:val="2"/>
          <w:position w:val="-20"/>
          <w:sz w:val="24"/>
        </w:rPr>
        <w:t>9）急性肾小球肾炎、新月体性肾小球肾炎、慢性肾小球肾炎的鉴别诊断</w:t>
      </w:r>
      <w:r>
        <w:rPr>
          <w:rFonts w:ascii="Times New Roman" w:hAnsi="Times New Roman" w:cs="Times New Roman"/>
          <w:color w:val="000000"/>
          <w:kern w:val="2"/>
          <w:position w:val="-20"/>
          <w:sz w:val="24"/>
        </w:rPr>
        <w:t xml:space="preserve"> </w:t>
      </w:r>
      <w:r>
        <w:rPr>
          <w:rFonts w:hint="eastAsia" w:ascii="Times New Roman" w:hAnsi="Times New Roman" w:cs="Times New Roman"/>
          <w:color w:val="000000"/>
          <w:kern w:val="2"/>
          <w:position w:val="-20"/>
          <w:sz w:val="24"/>
        </w:rPr>
        <w:t>(投标人需提供U盘演示视频证明，以上实验实训内容流程完整无</w:t>
      </w:r>
      <w:bookmarkStart w:id="31" w:name="_Hlk118883307"/>
      <w:r>
        <w:rPr>
          <w:rFonts w:hint="eastAsia" w:ascii="Times New Roman" w:hAnsi="Times New Roman" w:cs="Times New Roman"/>
          <w:color w:val="000000"/>
          <w:kern w:val="2"/>
          <w:position w:val="-20"/>
          <w:sz w:val="24"/>
        </w:rPr>
        <w:t>损符合教学实训要求</w:t>
      </w:r>
      <w:bookmarkEnd w:id="31"/>
      <w:r>
        <w:rPr>
          <w:rFonts w:hint="eastAsia" w:ascii="Times New Roman" w:hAnsi="Times New Roman" w:cs="Times New Roman"/>
          <w:color w:val="000000"/>
          <w:kern w:val="2"/>
          <w:position w:val="-20"/>
          <w:sz w:val="24"/>
        </w:rPr>
        <w:t>）。</w:t>
      </w:r>
    </w:p>
    <w:bookmarkEnd w:id="30"/>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二、系统功能概述</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采用当前先进的临床病理实验室流程为参考，真实完整还原实验室全貌。严格按照临床病理实验室流程，点击任一实验可进入操作系统，显示3D立体病理实验中心鸟瞰图，包括污染区，半污染区，清洁区，淋浴间，不同的区域以不同颜色进行区分标记。(投标人需提供U盘演示视频证明，以上流程完整无损，符合临床病理要求）</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w:t>
      </w:r>
      <w:r>
        <w:rPr>
          <w:rFonts w:ascii="Times New Roman" w:hAnsi="Times New Roman" w:cs="Times New Roman"/>
          <w:color w:val="000000"/>
          <w:kern w:val="2"/>
          <w:position w:val="-20"/>
          <w:sz w:val="24"/>
        </w:rPr>
        <w:t>2</w:t>
      </w:r>
      <w:r>
        <w:rPr>
          <w:rFonts w:hint="eastAsia" w:ascii="Times New Roman" w:hAnsi="Times New Roman" w:cs="Times New Roman"/>
          <w:color w:val="000000"/>
          <w:kern w:val="2"/>
          <w:position w:val="-20"/>
          <w:sz w:val="24"/>
        </w:rPr>
        <w:t>、点击继续可主动视角进入更衣室，选择正确的更衣后进入下一步。进入巨检室后显示器材选择页面，选择正确的器材后继续实验，可进行全选，确定，对于不正确的给予提醒。进入标本取材界面，取材界面标本必须是真实标本。操作界面包括工具箱，学习资料（PPT和测试题），报告（包括病理检查申请单和病理检查报告单），支持截图，支持实验步骤提醒，学习者或操作者可按操作步骤提醒完成整个虚拟实验操作。病理检查申请单与临床病理检验申请单保持一致，包括病理号，病人基本信息，住院信息，临床诊断，送检样本，送检医生，病理摘要。(投标人需提供U盘演示视频证明，以上流程完整无损，符合临床病理要求）</w:t>
      </w:r>
    </w:p>
    <w:p>
      <w:pPr>
        <w:adjustRightInd/>
        <w:spacing w:line="360" w:lineRule="auto"/>
        <w:ind w:left="648" w:leftChars="270"/>
        <w:jc w:val="both"/>
        <w:textAlignment w:val="auto"/>
        <w:rPr>
          <w:rFonts w:ascii="Times New Roman" w:hAnsi="Times New Roman" w:cs="Times New Roman"/>
          <w:color w:val="000000"/>
          <w:kern w:val="2"/>
          <w:position w:val="-20"/>
          <w:sz w:val="24"/>
        </w:rPr>
      </w:pPr>
      <w:bookmarkStart w:id="32" w:name="_Hlk119669073"/>
      <w:r>
        <w:rPr>
          <w:rFonts w:hint="eastAsia" w:ascii="Times New Roman" w:hAnsi="Times New Roman" w:cs="Times New Roman"/>
          <w:color w:val="000000"/>
          <w:kern w:val="2"/>
          <w:position w:val="-20"/>
          <w:sz w:val="24"/>
        </w:rPr>
        <w:t>▲</w:t>
      </w:r>
      <w:r>
        <w:rPr>
          <w:rFonts w:ascii="Times New Roman" w:hAnsi="Times New Roman" w:cs="Times New Roman"/>
          <w:color w:val="000000"/>
          <w:kern w:val="2"/>
          <w:position w:val="-20"/>
          <w:sz w:val="24"/>
        </w:rPr>
        <w:t>4</w:t>
      </w:r>
      <w:r>
        <w:rPr>
          <w:rFonts w:hint="eastAsia" w:ascii="Times New Roman" w:hAnsi="Times New Roman" w:cs="Times New Roman"/>
          <w:color w:val="000000"/>
          <w:kern w:val="2"/>
          <w:position w:val="-20"/>
          <w:sz w:val="24"/>
        </w:rPr>
        <w:t>、PPT包括肠的病理取材规范、肝脏的病理取材规范、脑的病理取材规范、肾脏的病理取材规范、胃的病理取材规范、心的病理取材规范等。以肝脏的病理取材规范为例PPT必须包括肝脏常见疾病及标本类型，标本观察要点，标本描述示例，取材规范，肝脏肉眼所见等内容(投标人需提供U盘演示视频证明，以上流程完整无损符合教学实训要求）</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w:t>
      </w:r>
      <w:r>
        <w:rPr>
          <w:rFonts w:ascii="Times New Roman" w:hAnsi="Times New Roman" w:cs="Times New Roman"/>
          <w:color w:val="000000"/>
          <w:kern w:val="2"/>
          <w:position w:val="-20"/>
          <w:sz w:val="24"/>
        </w:rPr>
        <w:t>5</w:t>
      </w:r>
      <w:r>
        <w:rPr>
          <w:rFonts w:hint="eastAsia" w:ascii="Times New Roman" w:hAnsi="Times New Roman" w:cs="Times New Roman"/>
          <w:color w:val="000000"/>
          <w:kern w:val="2"/>
          <w:position w:val="-20"/>
          <w:sz w:val="24"/>
        </w:rPr>
        <w:t>、虚拟仿真实验流程包括组织取材、固定，脱水，透明，浸蜡，包埋，切片和贴片，染色，封固，切片观察，镜下诊断，书写诊断报告。(投标人需提供U盘演示视频证明，以上流程完整无损，符合教学实训要求）</w:t>
      </w:r>
    </w:p>
    <w:bookmarkEnd w:id="32"/>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w:t>
      </w:r>
      <w:r>
        <w:rPr>
          <w:rFonts w:ascii="Times New Roman" w:hAnsi="Times New Roman" w:cs="Times New Roman"/>
          <w:color w:val="000000"/>
          <w:kern w:val="2"/>
          <w:position w:val="-20"/>
          <w:sz w:val="24"/>
        </w:rPr>
        <w:t>6</w:t>
      </w:r>
      <w:r>
        <w:rPr>
          <w:rFonts w:hint="eastAsia" w:ascii="Times New Roman" w:hAnsi="Times New Roman" w:cs="Times New Roman"/>
          <w:color w:val="000000"/>
          <w:kern w:val="2"/>
          <w:position w:val="-20"/>
          <w:sz w:val="24"/>
        </w:rPr>
        <w:t>、提供软件著作权复印件加盖生产厂商公章。</w:t>
      </w:r>
    </w:p>
    <w:p>
      <w:pPr>
        <w:adjustRightInd/>
        <w:spacing w:line="360" w:lineRule="auto"/>
        <w:ind w:left="648" w:leftChars="270"/>
        <w:jc w:val="both"/>
        <w:textAlignment w:val="auto"/>
        <w:rPr>
          <w:rFonts w:ascii="Times New Roman" w:hAnsi="Times New Roman" w:cs="Times New Roman"/>
          <w:color w:val="000000"/>
          <w:kern w:val="2"/>
          <w:position w:val="-20"/>
          <w:sz w:val="24"/>
        </w:rPr>
      </w:pPr>
    </w:p>
    <w:p>
      <w:pPr>
        <w:adjustRightInd/>
        <w:spacing w:line="360" w:lineRule="auto"/>
        <w:ind w:left="648" w:leftChars="270"/>
        <w:jc w:val="both"/>
        <w:textAlignment w:val="auto"/>
        <w:rPr>
          <w:rFonts w:ascii="Times New Roman" w:hAnsi="Times New Roman" w:cs="Times New Roman"/>
          <w:b/>
          <w:bCs/>
          <w:color w:val="000000"/>
          <w:kern w:val="2"/>
          <w:position w:val="-20"/>
          <w:sz w:val="24"/>
        </w:rPr>
      </w:pPr>
      <w:r>
        <w:rPr>
          <w:rFonts w:hint="eastAsia" w:ascii="Times New Roman" w:hAnsi="Times New Roman" w:cs="Times New Roman"/>
          <w:b/>
          <w:bCs/>
          <w:color w:val="000000"/>
          <w:kern w:val="2"/>
          <w:position w:val="-20"/>
          <w:sz w:val="24"/>
        </w:rPr>
        <w:t>4</w:t>
      </w:r>
      <w:r>
        <w:rPr>
          <w:rFonts w:ascii="Times New Roman" w:hAnsi="Times New Roman" w:cs="Times New Roman"/>
          <w:b/>
          <w:bCs/>
          <w:color w:val="000000"/>
          <w:kern w:val="2"/>
          <w:position w:val="-20"/>
          <w:sz w:val="24"/>
        </w:rPr>
        <w:t>.3</w:t>
      </w:r>
      <w:r>
        <w:rPr>
          <w:rFonts w:hint="eastAsia" w:ascii="Times New Roman" w:hAnsi="Times New Roman" w:cs="Times New Roman"/>
          <w:b/>
          <w:bCs/>
          <w:color w:val="000000"/>
          <w:kern w:val="2"/>
          <w:position w:val="-20"/>
          <w:sz w:val="24"/>
        </w:rPr>
        <w:t>病理虚拟仿真实验操作/病理学虚拟仿真实验教学软件(学生端）</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一、该系统为系统通过账号密码登录涵盖了3D/VR实训教学操作资源，该虚拟仿真实验操作系统将基础与临床、理论与实践、虚拟与现实有机融合，解决了常规病理诊断教学过程繁琐的痛点，极大提高操作者的学习兴趣，加深操作者对常见肿瘤相关疾病病理知识点的理解和掌握。该系统采用5G推流技术，适用于PC端设备，如亲临其境，方便学习者反复学习，以下9项为具体实验内容：1）肝水样变性与肝脂肪变性的鉴别诊断,</w:t>
      </w:r>
      <w:r>
        <w:rPr>
          <w:rFonts w:ascii="Times New Roman" w:hAnsi="Times New Roman" w:cs="Times New Roman"/>
          <w:color w:val="000000"/>
          <w:kern w:val="2"/>
          <w:position w:val="-20"/>
          <w:sz w:val="24"/>
        </w:rPr>
        <w:t xml:space="preserve"> </w:t>
      </w:r>
      <w:r>
        <w:rPr>
          <w:rFonts w:hint="eastAsia" w:ascii="Times New Roman" w:hAnsi="Times New Roman" w:cs="Times New Roman"/>
          <w:color w:val="000000"/>
          <w:kern w:val="2"/>
          <w:position w:val="-20"/>
          <w:sz w:val="24"/>
        </w:rPr>
        <w:t>2）慢性肝淤血（槟郎肝）与肝脂肪变性的鉴别诊断,</w:t>
      </w:r>
      <w:r>
        <w:rPr>
          <w:rFonts w:ascii="Times New Roman" w:hAnsi="Times New Roman" w:cs="Times New Roman"/>
          <w:color w:val="000000"/>
          <w:kern w:val="2"/>
          <w:position w:val="-20"/>
          <w:sz w:val="24"/>
        </w:rPr>
        <w:t xml:space="preserve"> </w:t>
      </w:r>
      <w:r>
        <w:rPr>
          <w:rFonts w:hint="eastAsia" w:ascii="Times New Roman" w:hAnsi="Times New Roman" w:cs="Times New Roman"/>
          <w:color w:val="000000"/>
          <w:kern w:val="2"/>
          <w:position w:val="-20"/>
          <w:sz w:val="24"/>
        </w:rPr>
        <w:t>3）心肌萎缩与心肌肥大的鉴别诊断心肌梗死与病毒性心肌炎的鉴别诊断,4）异物肉芽肿虚拟实验操作,</w:t>
      </w:r>
      <w:r>
        <w:rPr>
          <w:rFonts w:ascii="Times New Roman" w:hAnsi="Times New Roman" w:cs="Times New Roman"/>
          <w:color w:val="000000"/>
          <w:kern w:val="2"/>
          <w:position w:val="-20"/>
          <w:sz w:val="24"/>
        </w:rPr>
        <w:t xml:space="preserve"> </w:t>
      </w:r>
      <w:r>
        <w:rPr>
          <w:rFonts w:hint="eastAsia" w:ascii="Times New Roman" w:hAnsi="Times New Roman" w:cs="Times New Roman"/>
          <w:color w:val="000000"/>
          <w:kern w:val="2"/>
          <w:position w:val="-20"/>
          <w:sz w:val="24"/>
        </w:rPr>
        <w:t>5）胃溃疡与溃疡性胃癌的鉴别诊断,</w:t>
      </w:r>
      <w:r>
        <w:rPr>
          <w:rFonts w:ascii="Times New Roman" w:hAnsi="Times New Roman" w:cs="Times New Roman"/>
          <w:color w:val="000000"/>
          <w:kern w:val="2"/>
          <w:position w:val="-20"/>
          <w:sz w:val="24"/>
        </w:rPr>
        <w:t xml:space="preserve"> </w:t>
      </w:r>
      <w:r>
        <w:rPr>
          <w:rFonts w:hint="eastAsia" w:ascii="Times New Roman" w:hAnsi="Times New Roman" w:cs="Times New Roman"/>
          <w:color w:val="000000"/>
          <w:kern w:val="2"/>
          <w:position w:val="-20"/>
          <w:sz w:val="24"/>
        </w:rPr>
        <w:t>6）流行性脑脊髓膜炎与流行性乙型脑炎的鉴别诊断,</w:t>
      </w:r>
      <w:r>
        <w:rPr>
          <w:rFonts w:ascii="Times New Roman" w:hAnsi="Times New Roman" w:cs="Times New Roman"/>
          <w:color w:val="000000"/>
          <w:kern w:val="2"/>
          <w:position w:val="-20"/>
          <w:sz w:val="24"/>
        </w:rPr>
        <w:t xml:space="preserve"> </w:t>
      </w:r>
      <w:r>
        <w:rPr>
          <w:rFonts w:hint="eastAsia" w:ascii="Times New Roman" w:hAnsi="Times New Roman" w:cs="Times New Roman"/>
          <w:color w:val="000000"/>
          <w:kern w:val="2"/>
          <w:position w:val="-20"/>
          <w:sz w:val="24"/>
        </w:rPr>
        <w:t>7）细菌性痢疾、肠伤寒、肠结核的鉴别诊断,</w:t>
      </w:r>
      <w:r>
        <w:rPr>
          <w:rFonts w:ascii="Times New Roman" w:hAnsi="Times New Roman" w:cs="Times New Roman"/>
          <w:color w:val="000000"/>
          <w:kern w:val="2"/>
          <w:position w:val="-20"/>
          <w:sz w:val="24"/>
        </w:rPr>
        <w:t xml:space="preserve"> </w:t>
      </w:r>
      <w:r>
        <w:rPr>
          <w:rFonts w:hint="eastAsia" w:ascii="Times New Roman" w:hAnsi="Times New Roman" w:cs="Times New Roman"/>
          <w:color w:val="000000"/>
          <w:kern w:val="2"/>
          <w:position w:val="-20"/>
          <w:sz w:val="24"/>
        </w:rPr>
        <w:t>8）急性病毒性肝炎、慢性病毒性肝炎、亚急性重症肝炎、肝硬化、肝癌的演变,</w:t>
      </w:r>
      <w:r>
        <w:rPr>
          <w:rFonts w:ascii="Times New Roman" w:hAnsi="Times New Roman" w:cs="Times New Roman"/>
          <w:color w:val="000000"/>
          <w:kern w:val="2"/>
          <w:position w:val="-20"/>
          <w:sz w:val="24"/>
        </w:rPr>
        <w:t xml:space="preserve"> </w:t>
      </w:r>
      <w:r>
        <w:rPr>
          <w:rFonts w:hint="eastAsia" w:ascii="Times New Roman" w:hAnsi="Times New Roman" w:cs="Times New Roman"/>
          <w:color w:val="000000"/>
          <w:kern w:val="2"/>
          <w:position w:val="-20"/>
          <w:sz w:val="24"/>
        </w:rPr>
        <w:t>9）急性肾小球肾炎、新月体性肾小球肾炎、慢性肾小球肾炎的鉴别诊断</w:t>
      </w:r>
      <w:r>
        <w:rPr>
          <w:rFonts w:ascii="Times New Roman" w:hAnsi="Times New Roman" w:cs="Times New Roman"/>
          <w:color w:val="000000"/>
          <w:kern w:val="2"/>
          <w:position w:val="-20"/>
          <w:sz w:val="24"/>
        </w:rPr>
        <w:t xml:space="preserve"> </w:t>
      </w:r>
      <w:r>
        <w:rPr>
          <w:rFonts w:hint="eastAsia" w:ascii="Times New Roman" w:hAnsi="Times New Roman" w:cs="Times New Roman"/>
          <w:color w:val="000000"/>
          <w:kern w:val="2"/>
          <w:position w:val="-20"/>
          <w:sz w:val="24"/>
        </w:rPr>
        <w:t>(投标人需提供U盘演示视频证明，以上实验实训内容流程完整无损符合教学实训要求）。</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二、系统功能概述</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■1、采用当前先进的临床病理实验室流程为参考，真实完整还原实验室全貌。（提供软件证明截图）</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2、严格按照临床病理实验室流程，学生点击任一实验可进入操作系统，显示3D立体模型病理实验中心鸟瞰图，包括污染区，半污染区，清洁区，淋浴间，不同的区域以不同颜色进行区分标记。（提供软件证明截图）</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3、学生点击继续可主动视角进入更衣室，选择正确的更衣后进入下一步。</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4、学生以第一视角进入巨检室后显示器材选择页面，选择正确的器材后继续实验，可进行全选，确定，对于不正确的给予提醒。学生以第一视角进入标本取材界面，取材界面标本必须是真实标本。操作界面包括工具箱，学习资料（PPT和测试题），报告（包括病理检查申请单和病理检查报告单），支持截图，支持实验步骤提醒，学习者或操作者可按操作步骤提醒完成整个虚拟实验操作。病理检查申请单与临床病理检验申请单保持一致，包括病理号，病人基本信息，住院信息，临床诊断，送检样本，送检医生，病理摘要。（提供软件证明截图）</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w:t>
      </w:r>
      <w:r>
        <w:rPr>
          <w:rFonts w:ascii="Times New Roman" w:hAnsi="Times New Roman" w:cs="Times New Roman"/>
          <w:color w:val="000000"/>
          <w:kern w:val="2"/>
          <w:position w:val="-20"/>
          <w:sz w:val="24"/>
        </w:rPr>
        <w:t>5</w:t>
      </w:r>
      <w:r>
        <w:rPr>
          <w:rFonts w:hint="eastAsia" w:ascii="Times New Roman" w:hAnsi="Times New Roman" w:cs="Times New Roman"/>
          <w:color w:val="000000"/>
          <w:kern w:val="2"/>
          <w:position w:val="-20"/>
          <w:sz w:val="24"/>
        </w:rPr>
        <w:t>、PPT包括肠的病理取材规范、肝脏的病理取材规范、脑的病理取材规范、肾脏的病理取材规范、胃的病理取材规范、心的病理取材规范等。以肝脏的病理取材规范为例PPT不少于16页必须包括肝脏常见疾病及标本类型，标本观察要点，标本描述示例，取材规范，肝脏肉眼所见等内容(投标人需提供U盘演示视频证明，以上流程完整无损符合教学实训要求）</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9、虚拟仿真实验流程包括组织取材、固定，脱水，透明，浸蜡，包埋，切片和贴片，染色，封固，切片观察，镜下诊断，书写诊断报告。(投标人需提供U盘演示视频证明，以上流程完整无损，符合教学实训要求）</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三、桌面式VR成像一体机设备：</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■1.设备桌面一体式设计，底座可左右旋转，上下调节，转换不同方向，方便观看者观察3D影像及场景，外观可见不少四组红外传感模组，水平均匀分布YF</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■2.4个红外光源阵列，均匀分布保证光照亮度。</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■3.4个红外传感器并排放置，保证视野范围。</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4.支持3D姿态动态调节，光学追踪系统可准确判断眼睛所在位置，根据视角的不同转换不同视角下的显示内容。</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5.光学跟踪使能具有手动及自动切换功能，支持立体信号输入，支持固件远程升级。</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■6.至少提供OpenGL、Unity3D、UE4等常用三维引擎的SDK开发包，SDK支持≥两支空间交互笔。</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7.≥同一台一体机上支持两支空间交互笔接入，支持两支交互笔同时在一个三维场景使用，并观看场景3D立体效果。</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■8.两支交互笔可以在一台设备上通过虚拟射线同时对虚拟场景中的模型进行移动和旋转操作。(提供具有CMA认证的第三方检测机构出具的满足以上参数的检测报告复印件加盖厂商公章)。</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9.支持3D视差调节，支持投屏副屏场景视角不改变。</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10.2D/3D显示动态切换时间≤1s。</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11.3D跟踪眼镜一副，主动式红外接收，具备5个光学反光标志物，自动匹配，即拿即用，无需人为设置，不用担心眼镜交叉混配。</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12.3D观看眼镜一副，主动式红外接收，自动匹配，即拿即用，无需人为设置，不用担心眼镜交叉混配。</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■13.跟踪眼镜与观看眼镜接受红外同步信号，红外3D眼镜的透光率大于35%。(提供具有CMA认证的第三方检测机构出具检测报告复印件加盖厂商公章)</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14.支持外部信号输入，接入外部信号无须物理按键切换即可实现自动信号源切换。</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■15.一体机性能：CPU≥Intel I5 7400、内存≥8GB、硬盘≥512 GB SSD、缓存GTX 4GB内存或以上独立显卡。实际显示物理不小于27英寸，有效的物理显示面积不小于590mm×330mm，分辨率为1920*1080p ，图形刷新率为120Hz，可视角度不低于170°。</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w:t>
      </w:r>
      <w:r>
        <w:rPr>
          <w:rFonts w:ascii="Times New Roman" w:hAnsi="Times New Roman" w:cs="Times New Roman"/>
          <w:color w:val="000000"/>
          <w:kern w:val="2"/>
          <w:position w:val="-20"/>
          <w:sz w:val="24"/>
        </w:rPr>
        <w:t>6</w:t>
      </w:r>
      <w:r>
        <w:rPr>
          <w:rFonts w:hint="eastAsia" w:ascii="Times New Roman" w:hAnsi="Times New Roman" w:cs="Times New Roman"/>
          <w:color w:val="000000"/>
          <w:kern w:val="2"/>
          <w:position w:val="-20"/>
          <w:sz w:val="24"/>
        </w:rPr>
        <w:t>.一体机背面具有上下至少两套散热结构；具有不少于6个USB接口、1个Type C接口、1个USB B型接口。</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w:t>
      </w:r>
      <w:r>
        <w:rPr>
          <w:rFonts w:ascii="Times New Roman" w:hAnsi="Times New Roman" w:cs="Times New Roman"/>
          <w:color w:val="000000"/>
          <w:kern w:val="2"/>
          <w:position w:val="-20"/>
          <w:sz w:val="24"/>
        </w:rPr>
        <w:t>7</w:t>
      </w:r>
      <w:r>
        <w:rPr>
          <w:rFonts w:hint="eastAsia" w:ascii="Times New Roman" w:hAnsi="Times New Roman" w:cs="Times New Roman"/>
          <w:color w:val="000000"/>
          <w:kern w:val="2"/>
          <w:position w:val="-20"/>
          <w:sz w:val="24"/>
        </w:rPr>
        <w:t xml:space="preserve">.具有至少上下两套防尘式多列竖形散热结构，长度不小于450mm，开口小于2.5mm以保证一体机散热性能；支持底座可自由上下、左右、倾斜调整 </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w:t>
      </w:r>
      <w:r>
        <w:rPr>
          <w:rFonts w:ascii="Times New Roman" w:hAnsi="Times New Roman" w:cs="Times New Roman"/>
          <w:color w:val="000000"/>
          <w:kern w:val="2"/>
          <w:position w:val="-20"/>
          <w:sz w:val="24"/>
        </w:rPr>
        <w:t>8</w:t>
      </w:r>
      <w:r>
        <w:rPr>
          <w:rFonts w:hint="eastAsia" w:ascii="Times New Roman" w:hAnsi="Times New Roman" w:cs="Times New Roman"/>
          <w:color w:val="000000"/>
          <w:kern w:val="2"/>
          <w:position w:val="-20"/>
          <w:sz w:val="24"/>
        </w:rPr>
        <w:t>.为保证使用便捷性，全息光学跟踪系统内置于一体机内，无外部连接线路；具有内置扬声器数量2个。</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w:t>
      </w:r>
      <w:r>
        <w:rPr>
          <w:rFonts w:ascii="Times New Roman" w:hAnsi="Times New Roman" w:cs="Times New Roman"/>
          <w:color w:val="000000"/>
          <w:kern w:val="2"/>
          <w:position w:val="-20"/>
          <w:sz w:val="24"/>
        </w:rPr>
        <w:t>19</w:t>
      </w:r>
      <w:r>
        <w:rPr>
          <w:rFonts w:hint="eastAsia" w:ascii="Times New Roman" w:hAnsi="Times New Roman" w:cs="Times New Roman"/>
          <w:color w:val="000000"/>
          <w:kern w:val="2"/>
          <w:position w:val="-20"/>
          <w:sz w:val="24"/>
        </w:rPr>
        <w:t>.支持以太网连接，支持802.11a/b/g/n高速无线传输、支持蓝牙4.0。</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■2</w:t>
      </w:r>
      <w:r>
        <w:rPr>
          <w:rFonts w:ascii="Times New Roman" w:hAnsi="Times New Roman" w:cs="Times New Roman"/>
          <w:color w:val="000000"/>
          <w:kern w:val="2"/>
          <w:position w:val="-20"/>
          <w:sz w:val="24"/>
        </w:rPr>
        <w:t>0</w:t>
      </w:r>
      <w:r>
        <w:rPr>
          <w:rFonts w:hint="eastAsia" w:ascii="Times New Roman" w:hAnsi="Times New Roman" w:cs="Times New Roman"/>
          <w:color w:val="000000"/>
          <w:kern w:val="2"/>
          <w:position w:val="-20"/>
          <w:sz w:val="24"/>
        </w:rPr>
        <w:t>.至少提供USB 2.0 x2、USB 3.0 x2、Mic-In x1、Line-out x1、HDMI x1、DP x1接口。</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■2</w:t>
      </w:r>
      <w:r>
        <w:rPr>
          <w:rFonts w:ascii="Times New Roman" w:hAnsi="Times New Roman" w:cs="Times New Roman"/>
          <w:color w:val="000000"/>
          <w:kern w:val="2"/>
          <w:position w:val="-20"/>
          <w:sz w:val="24"/>
        </w:rPr>
        <w:t>1</w:t>
      </w:r>
      <w:r>
        <w:rPr>
          <w:rFonts w:hint="eastAsia" w:ascii="Times New Roman" w:hAnsi="Times New Roman" w:cs="Times New Roman"/>
          <w:color w:val="000000"/>
          <w:kern w:val="2"/>
          <w:position w:val="-20"/>
          <w:sz w:val="24"/>
        </w:rPr>
        <w:t>.内置式3D-SYN同步信号发射口，内置AR相机固定接口螺丝，无须外置三脚架等固定设备即可完成AR摄像设备架设。</w:t>
      </w:r>
    </w:p>
    <w:p>
      <w:pPr>
        <w:adjustRightInd/>
        <w:spacing w:line="360" w:lineRule="auto"/>
        <w:ind w:left="648" w:leftChars="270"/>
        <w:jc w:val="both"/>
        <w:textAlignment w:val="auto"/>
        <w:rPr>
          <w:rFonts w:ascii="Times New Roman" w:hAnsi="Times New Roman" w:cs="Times New Roman"/>
          <w:color w:val="000000"/>
          <w:kern w:val="2"/>
          <w:position w:val="-20"/>
          <w:sz w:val="24"/>
        </w:rPr>
      </w:pPr>
      <w:bookmarkStart w:id="33" w:name="_Hlk119669084"/>
      <w:r>
        <w:rPr>
          <w:rFonts w:hint="eastAsia" w:ascii="Times New Roman" w:hAnsi="Times New Roman" w:cs="Times New Roman"/>
          <w:color w:val="000000"/>
          <w:kern w:val="2"/>
          <w:position w:val="-20"/>
          <w:sz w:val="24"/>
        </w:rPr>
        <w:t>▲2</w:t>
      </w:r>
      <w:r>
        <w:rPr>
          <w:rFonts w:ascii="Times New Roman" w:hAnsi="Times New Roman" w:cs="Times New Roman"/>
          <w:color w:val="000000"/>
          <w:kern w:val="2"/>
          <w:position w:val="-20"/>
          <w:sz w:val="24"/>
        </w:rPr>
        <w:t>2</w:t>
      </w:r>
      <w:r>
        <w:rPr>
          <w:rFonts w:hint="eastAsia" w:ascii="Times New Roman" w:hAnsi="Times New Roman" w:cs="Times New Roman"/>
          <w:color w:val="000000"/>
          <w:kern w:val="2"/>
          <w:position w:val="-20"/>
          <w:sz w:val="24"/>
        </w:rPr>
        <w:t>.交互笔支持含一根USB线缆，无电池，不需要充电；具有至少三个逻辑操作按键；具备至少3个自由度坐标轴移动、3个自由度坐标轴转动。旋转精度：≤1°；定位精度±2mm；解析度≤2mm</w:t>
      </w:r>
      <w:r>
        <w:rPr>
          <w:rFonts w:ascii="Times New Roman" w:hAnsi="Times New Roman" w:cs="Times New Roman"/>
          <w:color w:val="000000"/>
          <w:kern w:val="2"/>
          <w:position w:val="-20"/>
          <w:sz w:val="24"/>
        </w:rPr>
        <w:t xml:space="preserve"> </w:t>
      </w:r>
      <w:r>
        <w:rPr>
          <w:rFonts w:hint="eastAsia" w:ascii="Times New Roman" w:hAnsi="Times New Roman" w:cs="Times New Roman"/>
          <w:color w:val="000000"/>
          <w:kern w:val="2"/>
          <w:position w:val="-20"/>
          <w:sz w:val="24"/>
        </w:rPr>
        <w:t>(提供具有CMA认证的第三方检测机构出具检测报告复印件加盖厂商公章)。</w:t>
      </w:r>
    </w:p>
    <w:bookmarkEnd w:id="33"/>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2</w:t>
      </w:r>
      <w:r>
        <w:rPr>
          <w:rFonts w:ascii="Times New Roman" w:hAnsi="Times New Roman" w:cs="Times New Roman"/>
          <w:color w:val="000000"/>
          <w:kern w:val="2"/>
          <w:position w:val="-20"/>
          <w:sz w:val="24"/>
        </w:rPr>
        <w:t>3</w:t>
      </w:r>
      <w:r>
        <w:rPr>
          <w:rFonts w:hint="eastAsia" w:ascii="Times New Roman" w:hAnsi="Times New Roman" w:cs="Times New Roman"/>
          <w:color w:val="000000"/>
          <w:kern w:val="2"/>
          <w:position w:val="-20"/>
          <w:sz w:val="24"/>
        </w:rPr>
        <w:t>.具有多人协同操作核心功能，在局域网内支持至少 2 台设备协同操作，并观看场景 3D 立体效果。</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■2</w:t>
      </w:r>
      <w:r>
        <w:rPr>
          <w:rFonts w:ascii="Times New Roman" w:hAnsi="Times New Roman" w:cs="Times New Roman"/>
          <w:color w:val="000000"/>
          <w:kern w:val="2"/>
          <w:position w:val="-20"/>
          <w:sz w:val="24"/>
        </w:rPr>
        <w:t>4</w:t>
      </w:r>
      <w:r>
        <w:rPr>
          <w:rFonts w:hint="eastAsia" w:ascii="Times New Roman" w:hAnsi="Times New Roman" w:cs="Times New Roman"/>
          <w:color w:val="000000"/>
          <w:kern w:val="2"/>
          <w:position w:val="-20"/>
          <w:sz w:val="24"/>
        </w:rPr>
        <w:t>.协同操作至少包括2台设备对应用场景的同一个模型进行操作；持动态调节0-6cm视差范围。（提供具有CMA认证的第三方检测机构出具检测报告复印件加盖供应商公章）</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■2</w:t>
      </w:r>
      <w:r>
        <w:rPr>
          <w:rFonts w:ascii="Times New Roman" w:hAnsi="Times New Roman" w:cs="Times New Roman"/>
          <w:color w:val="000000"/>
          <w:kern w:val="2"/>
          <w:position w:val="-20"/>
          <w:sz w:val="24"/>
        </w:rPr>
        <w:t>5</w:t>
      </w:r>
      <w:r>
        <w:rPr>
          <w:rFonts w:hint="eastAsia" w:ascii="Times New Roman" w:hAnsi="Times New Roman" w:cs="Times New Roman"/>
          <w:color w:val="000000"/>
          <w:kern w:val="2"/>
          <w:position w:val="-20"/>
          <w:sz w:val="24"/>
        </w:rPr>
        <w:t>.支持通过投屏专用软件一键投屏，复制模式、上下模式、左右模式投屏观看3D效果，可适配3D投影机、3D偏振式大屏，裸眼3D显示器;通过AR分享软件一键投屏分享，用增强现实的模式多角度分享虚拟场景内容。</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■2</w:t>
      </w:r>
      <w:r>
        <w:rPr>
          <w:rFonts w:ascii="Times New Roman" w:hAnsi="Times New Roman" w:cs="Times New Roman"/>
          <w:color w:val="000000"/>
          <w:kern w:val="2"/>
          <w:position w:val="-20"/>
          <w:sz w:val="24"/>
        </w:rPr>
        <w:t>6</w:t>
      </w:r>
      <w:r>
        <w:rPr>
          <w:rFonts w:hint="eastAsia" w:ascii="Times New Roman" w:hAnsi="Times New Roman" w:cs="Times New Roman"/>
          <w:color w:val="000000"/>
          <w:kern w:val="2"/>
          <w:position w:val="-20"/>
          <w:sz w:val="24"/>
        </w:rPr>
        <w:t>.支持H.264 MVC编码器、左右、上下、帧连续等常见3D格式、支持左右替换，支持开启3D文件获取信息、支持行交错、列交错、实景立体、包括红蓝绿纯色算法内的至少10种算法；支持控制视频、字幕及播放的控制：至少提供古典乐在内的15种音效；支持对亮度、对比度、饱和度、颜色控制；支持包括Segoe UI、Verdana等超过100种字体的变换；支持5秒为单元的快进搜索及跳转。支持内置设置固定位置最小化、自动旋转画面到图像的水平和垂直尺寸；支持搜索信息：解码器类型，输入输出格式、尺寸、音频解码、采样率等。</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■2</w:t>
      </w:r>
      <w:r>
        <w:rPr>
          <w:rFonts w:ascii="Times New Roman" w:hAnsi="Times New Roman" w:cs="Times New Roman"/>
          <w:color w:val="000000"/>
          <w:kern w:val="2"/>
          <w:position w:val="-20"/>
          <w:sz w:val="24"/>
        </w:rPr>
        <w:t>7</w:t>
      </w:r>
      <w:r>
        <w:rPr>
          <w:rFonts w:hint="eastAsia" w:ascii="Times New Roman" w:hAnsi="Times New Roman" w:cs="Times New Roman"/>
          <w:color w:val="000000"/>
          <w:kern w:val="2"/>
          <w:position w:val="-20"/>
          <w:sz w:val="24"/>
        </w:rPr>
        <w:t>.具有可优化自检系统，支持实时监控VR软件硬件运行装调，至少支持10项关键数据并以不同颜色绘制在同一张表格中；支持设置1秒、2秒、5秒等至少10项监测间隔；支持本地USB协议、tcp/ip协议、串口232/485、http协议提示及报送预警及监测信息；支持本地报告数据保存；支持现实Max最大值及实时数值；支持设置系统自动启动。</w:t>
      </w:r>
    </w:p>
    <w:p>
      <w:pPr>
        <w:adjustRightInd/>
        <w:spacing w:line="360" w:lineRule="auto"/>
        <w:ind w:left="648" w:leftChars="270"/>
        <w:jc w:val="both"/>
        <w:textAlignment w:val="auto"/>
        <w:rPr>
          <w:rFonts w:ascii="Times New Roman" w:hAnsi="Times New Roman" w:cs="Times New Roman"/>
          <w:color w:val="000000"/>
          <w:kern w:val="2"/>
          <w:position w:val="-20"/>
          <w:sz w:val="24"/>
        </w:rPr>
      </w:pPr>
    </w:p>
    <w:p>
      <w:pPr>
        <w:adjustRightInd/>
        <w:spacing w:line="360" w:lineRule="auto"/>
        <w:ind w:left="648" w:leftChars="270"/>
        <w:jc w:val="both"/>
        <w:textAlignment w:val="auto"/>
        <w:rPr>
          <w:rFonts w:ascii="Times New Roman" w:hAnsi="Times New Roman" w:cs="Times New Roman"/>
          <w:b/>
          <w:bCs/>
          <w:color w:val="000000"/>
          <w:kern w:val="2"/>
          <w:position w:val="-20"/>
          <w:sz w:val="24"/>
        </w:rPr>
      </w:pPr>
      <w:r>
        <w:rPr>
          <w:rFonts w:ascii="Times New Roman" w:hAnsi="Times New Roman" w:cs="Times New Roman"/>
          <w:b/>
          <w:bCs/>
          <w:color w:val="000000"/>
          <w:kern w:val="2"/>
          <w:position w:val="-20"/>
          <w:sz w:val="24"/>
        </w:rPr>
        <w:t xml:space="preserve">4.4 </w:t>
      </w:r>
      <w:r>
        <w:rPr>
          <w:rFonts w:hint="eastAsia" w:ascii="Times New Roman" w:hAnsi="Times New Roman" w:cs="Times New Roman"/>
          <w:b/>
          <w:bCs/>
          <w:color w:val="000000"/>
          <w:kern w:val="2"/>
          <w:position w:val="-20"/>
          <w:sz w:val="24"/>
        </w:rPr>
        <w:t>3D胚胎发育VR示教系统</w:t>
      </w:r>
      <w:r>
        <w:rPr>
          <w:rFonts w:ascii="Times New Roman" w:hAnsi="Times New Roman" w:cs="Times New Roman"/>
          <w:b/>
          <w:bCs/>
          <w:color w:val="000000"/>
          <w:kern w:val="2"/>
          <w:position w:val="-20"/>
          <w:sz w:val="24"/>
        </w:rPr>
        <w:t>(</w:t>
      </w:r>
      <w:r>
        <w:rPr>
          <w:rFonts w:hint="eastAsia" w:ascii="Times New Roman" w:hAnsi="Times New Roman" w:cs="Times New Roman"/>
          <w:b/>
          <w:bCs/>
          <w:color w:val="000000"/>
          <w:kern w:val="2"/>
          <w:position w:val="-20"/>
          <w:sz w:val="24"/>
        </w:rPr>
        <w:t>又称：人体胚胎学VR教学软件)</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一、该系统为系统通过账号密码登录涵盖了3D/VR虚拟仿真教学资源。</w:t>
      </w:r>
    </w:p>
    <w:p>
      <w:pPr>
        <w:adjustRightInd/>
        <w:spacing w:line="360" w:lineRule="auto"/>
        <w:ind w:left="648" w:leftChars="270"/>
        <w:jc w:val="both"/>
        <w:textAlignment w:val="auto"/>
        <w:rPr>
          <w:rFonts w:ascii="Times New Roman" w:hAnsi="Times New Roman" w:cs="Times New Roman"/>
          <w:color w:val="000000"/>
          <w:kern w:val="2"/>
          <w:position w:val="-20"/>
          <w:sz w:val="24"/>
        </w:rPr>
      </w:pPr>
      <w:bookmarkStart w:id="34" w:name="_Hlk119669103"/>
      <w:r>
        <w:rPr>
          <w:rFonts w:hint="eastAsia" w:ascii="Times New Roman" w:hAnsi="Times New Roman" w:cs="Times New Roman"/>
          <w:color w:val="000000"/>
          <w:kern w:val="2"/>
          <w:position w:val="-20"/>
          <w:sz w:val="24"/>
        </w:rPr>
        <w:t>▲1.内容包含人体胚胎早期发生发育篇（总论）、人体胚胎器官系统的发生（各论）内容、先天畸形三个模块。分为八大章节：胚胎发生总论、颜面和四肢的发生、消化系统和呼吸系统的发生、泌尿系统的生殖系统的发生、心血管系统的发生、神经系统的发生、眼和耳的发生、先天畸形。(投标人需提供U盘演示视频证明，以上章节内容完整）</w:t>
      </w:r>
    </w:p>
    <w:bookmarkEnd w:id="34"/>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2.人体胚胎早期发生发育篇（总论）容需与教材同步包括章节概述，章节设置为生殖细胞和受精（雌原核与雄原核的形成、雌原核与雄原核靠近、雌原核融合并开始卵裂等），胚泡形成和植入（2细胞前、4细胞期、8细胞期、桑葚胚、早期胚泡、胚泡），胚层的形成（第20天人胚、第23天人胚等），三胚层的分化及胚体的形成（三胚层的分化、胎儿的发育等），胎膜和胎盘（胎膜的演变、胚体的演变），胚胎各期外形特征和胚胎龄的推算（分为第5-6周、第8-9周、第12-13周、第17-18周、第25-26周、第29-30周、第34-35周、第38-39周、胚胎发育历程的演示），双胎、多胎和联胎（连体儿、足月胎儿、双胎畸形、双胎联腹、多胎等）。（提供产品截图证明其功能完整）</w:t>
      </w:r>
    </w:p>
    <w:p>
      <w:pPr>
        <w:adjustRightInd/>
        <w:spacing w:line="360" w:lineRule="auto"/>
        <w:ind w:left="648" w:leftChars="270"/>
        <w:jc w:val="both"/>
        <w:textAlignment w:val="auto"/>
        <w:rPr>
          <w:rFonts w:ascii="Times New Roman" w:hAnsi="Times New Roman" w:cs="Times New Roman"/>
          <w:color w:val="000000"/>
          <w:kern w:val="2"/>
          <w:position w:val="-20"/>
          <w:sz w:val="24"/>
        </w:rPr>
      </w:pPr>
      <w:bookmarkStart w:id="35" w:name="_Hlk119669109"/>
      <w:r>
        <w:rPr>
          <w:rFonts w:hint="eastAsia" w:ascii="Times New Roman" w:hAnsi="Times New Roman" w:cs="Times New Roman"/>
          <w:color w:val="000000"/>
          <w:kern w:val="2"/>
          <w:position w:val="-20"/>
          <w:sz w:val="24"/>
        </w:rPr>
        <w:t>▲3.人体胚胎器官系统的发生（各论）包括章节概述，章节设置为颜面和四肢的发生系统包括3D模型(人胚头部、牙的发生（6月）、牙的发生（18月）、手的变化（不少于3个模型的形态展示）、鳃弓和咽囊器（不少于3个模型的形态展示）、面部第四周、面部第五周、面部第六周、面部第八周、侧腭突的发育、侧腭突的融合、腭（不少于4个模型的形态展示）、舌的发育（第三周）、舌的发育（第四周）、舌的发育（第五周）、舌的发育（第六周）。（投标人需提供U盘演示视频证明，以上内容完整）</w:t>
      </w:r>
    </w:p>
    <w:bookmarkEnd w:id="35"/>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3.1系统包括教学视频8个，不少于12分钟。动画包括面部发育动画、腭的发育、舌的发生、四肢的发生、面部的发生。课件包括颜面和四肢的发生不少于17页。消化系统和呼吸系统的发生包括章节概述，3D模型不少于14件，包括肺的发生、胃的发生、中肠袢的旋转。包括教学视频10个，动画11个，章节课件1个不少于20页。泌尿和生殖系统的发生包括章节概述，3D模型不少于2件，包括教学视频13个，动画2个，章节课件1个不少于32页。（提供产品截图证明其功能完整）</w:t>
      </w:r>
    </w:p>
    <w:p>
      <w:pPr>
        <w:adjustRightInd/>
        <w:spacing w:line="360" w:lineRule="auto"/>
        <w:ind w:left="648" w:leftChars="270"/>
        <w:jc w:val="both"/>
        <w:textAlignment w:val="auto"/>
        <w:rPr>
          <w:rFonts w:ascii="Times New Roman" w:hAnsi="Times New Roman" w:cs="Times New Roman"/>
          <w:color w:val="000000"/>
          <w:kern w:val="2"/>
          <w:position w:val="-20"/>
          <w:sz w:val="24"/>
        </w:rPr>
      </w:pPr>
      <w:bookmarkStart w:id="36" w:name="_Hlk119669114"/>
      <w:r>
        <w:rPr>
          <w:rFonts w:hint="eastAsia" w:ascii="Times New Roman" w:hAnsi="Times New Roman" w:cs="Times New Roman"/>
          <w:color w:val="000000"/>
          <w:kern w:val="2"/>
          <w:position w:val="-20"/>
          <w:sz w:val="24"/>
        </w:rPr>
        <w:t>▲</w:t>
      </w:r>
      <w:r>
        <w:rPr>
          <w:rFonts w:ascii="Times New Roman" w:hAnsi="Times New Roman" w:cs="Times New Roman"/>
          <w:color w:val="000000"/>
          <w:kern w:val="2"/>
          <w:position w:val="-20"/>
          <w:sz w:val="24"/>
        </w:rPr>
        <w:t>4</w:t>
      </w:r>
      <w:r>
        <w:rPr>
          <w:rFonts w:hint="eastAsia" w:ascii="Times New Roman" w:hAnsi="Times New Roman" w:cs="Times New Roman"/>
          <w:color w:val="000000"/>
          <w:kern w:val="2"/>
          <w:position w:val="-20"/>
          <w:sz w:val="24"/>
        </w:rPr>
        <w:t>.心血管系统的发生包括章节概述，3D模型不少于5件，包括教学视频9个，动画3个，章节课件1个不少于36页，重点内容包括原始心血管系统的建立，心脏的发生，血管系统的建立，胎儿血液循环等。（提供软件功能及内容证明图加盖生产厂商公章）</w:t>
      </w:r>
    </w:p>
    <w:bookmarkEnd w:id="36"/>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w:t>
      </w:r>
      <w:r>
        <w:rPr>
          <w:rFonts w:ascii="Times New Roman" w:hAnsi="Times New Roman" w:cs="Times New Roman"/>
          <w:color w:val="000000"/>
          <w:kern w:val="2"/>
          <w:position w:val="-20"/>
          <w:sz w:val="24"/>
        </w:rPr>
        <w:t>5</w:t>
      </w:r>
      <w:r>
        <w:rPr>
          <w:rFonts w:hint="eastAsia" w:ascii="Times New Roman" w:hAnsi="Times New Roman" w:cs="Times New Roman"/>
          <w:color w:val="000000"/>
          <w:kern w:val="2"/>
          <w:position w:val="-20"/>
          <w:sz w:val="24"/>
        </w:rPr>
        <w:t>.神经系统的发生包括章节概述，3D模型不少于2件，包括教学视频6个，动画1个，章节课件1个不少于27页，重点内容包括神经组织的发生、脑的发生、脊髓的发生等。眼和耳的发生包括章节概述，3D模型不少于4件，包括教学视频3个，动画2个，章节课件1个不少于17页；畸形章节包括概述，（1、先天畸形概述2、颜面的发育畸形3、四肢发育畸形4、消化系统和呼吸系统的发育畸形5、泌尿系统的发育畸形6、生殖系统的发育畸形7、心血管系统畸形、8、神经系统发育畸形9、眼和耳的发育畸形）</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w:t>
      </w:r>
      <w:r>
        <w:rPr>
          <w:rFonts w:ascii="Times New Roman" w:hAnsi="Times New Roman" w:cs="Times New Roman"/>
          <w:color w:val="000000"/>
          <w:kern w:val="2"/>
          <w:position w:val="-20"/>
          <w:sz w:val="24"/>
        </w:rPr>
        <w:t>6</w:t>
      </w:r>
      <w:r>
        <w:rPr>
          <w:rFonts w:hint="eastAsia" w:ascii="Times New Roman" w:hAnsi="Times New Roman" w:cs="Times New Roman"/>
          <w:color w:val="000000"/>
          <w:kern w:val="2"/>
          <w:position w:val="-20"/>
          <w:sz w:val="24"/>
        </w:rPr>
        <w:t>.模型观察支持720°旋转，部分重点模型支持矢状面观察，支持复位、旋转播放、注释（含语音讲解）、VR投屏。(投标人需提供U盘演示视频证明，系统支持V</w:t>
      </w:r>
      <w:r>
        <w:rPr>
          <w:rFonts w:ascii="Times New Roman" w:hAnsi="Times New Roman" w:cs="Times New Roman"/>
          <w:color w:val="000000"/>
          <w:kern w:val="2"/>
          <w:position w:val="-20"/>
          <w:sz w:val="24"/>
        </w:rPr>
        <w:t>R</w:t>
      </w:r>
      <w:r>
        <w:rPr>
          <w:rFonts w:hint="eastAsia" w:ascii="Times New Roman" w:hAnsi="Times New Roman" w:cs="Times New Roman"/>
          <w:color w:val="000000"/>
          <w:kern w:val="2"/>
          <w:position w:val="-20"/>
          <w:sz w:val="24"/>
        </w:rPr>
        <w:t>模式，并充分展示V</w:t>
      </w:r>
      <w:r>
        <w:rPr>
          <w:rFonts w:ascii="Times New Roman" w:hAnsi="Times New Roman" w:cs="Times New Roman"/>
          <w:color w:val="000000"/>
          <w:kern w:val="2"/>
          <w:position w:val="-20"/>
          <w:sz w:val="24"/>
        </w:rPr>
        <w:t>R</w:t>
      </w:r>
      <w:r>
        <w:rPr>
          <w:rFonts w:hint="eastAsia" w:ascii="Times New Roman" w:hAnsi="Times New Roman" w:cs="Times New Roman"/>
          <w:color w:val="000000"/>
          <w:kern w:val="2"/>
          <w:position w:val="-20"/>
          <w:sz w:val="24"/>
        </w:rPr>
        <w:t>效果及出屏效果，并支持D/VR两种模式得快速切换）。</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ascii="Times New Roman" w:hAnsi="Times New Roman" w:cs="Times New Roman"/>
          <w:color w:val="000000"/>
          <w:kern w:val="2"/>
          <w:position w:val="-20"/>
          <w:sz w:val="24"/>
        </w:rPr>
        <w:t>7</w:t>
      </w:r>
      <w:r>
        <w:rPr>
          <w:rFonts w:hint="eastAsia" w:ascii="Times New Roman" w:hAnsi="Times New Roman" w:cs="Times New Roman"/>
          <w:color w:val="000000"/>
          <w:kern w:val="2"/>
          <w:position w:val="-20"/>
          <w:sz w:val="24"/>
        </w:rPr>
        <w:t>．VR模式下支持触屏效果，支持追踪，3D/VR动态切换时间≤1s。VR跟踪眼镜自动匹配，即拿即用，无需人为设置，不用担心眼镜交叉混配。</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w:t>
      </w:r>
      <w:r>
        <w:rPr>
          <w:rFonts w:ascii="Times New Roman" w:hAnsi="Times New Roman" w:cs="Times New Roman"/>
          <w:color w:val="000000"/>
          <w:kern w:val="2"/>
          <w:position w:val="-20"/>
          <w:sz w:val="24"/>
        </w:rPr>
        <w:t>8</w:t>
      </w:r>
      <w:r>
        <w:rPr>
          <w:rFonts w:hint="eastAsia" w:ascii="Times New Roman" w:hAnsi="Times New Roman" w:cs="Times New Roman"/>
          <w:color w:val="000000"/>
          <w:kern w:val="2"/>
          <w:position w:val="-20"/>
          <w:sz w:val="24"/>
        </w:rPr>
        <w:t>.软件著作权加盖厂商公章（投标人提供复印件加盖生产厂商公章）。</w:t>
      </w:r>
    </w:p>
    <w:p>
      <w:pPr>
        <w:adjustRightInd/>
        <w:spacing w:line="360" w:lineRule="auto"/>
        <w:ind w:left="648" w:leftChars="270"/>
        <w:jc w:val="both"/>
        <w:textAlignment w:val="auto"/>
        <w:rPr>
          <w:rFonts w:ascii="Times New Roman" w:hAnsi="Times New Roman" w:cs="Times New Roman"/>
          <w:color w:val="000000"/>
          <w:kern w:val="2"/>
          <w:position w:val="-20"/>
          <w:sz w:val="24"/>
        </w:rPr>
      </w:pPr>
    </w:p>
    <w:p>
      <w:pPr>
        <w:adjustRightInd/>
        <w:spacing w:line="360" w:lineRule="auto"/>
        <w:ind w:left="648" w:leftChars="270"/>
        <w:jc w:val="both"/>
        <w:textAlignment w:val="auto"/>
        <w:rPr>
          <w:rFonts w:hint="eastAsia" w:ascii="Times New Roman" w:hAnsi="Times New Roman" w:eastAsia="宋体" w:cs="Times New Roman"/>
          <w:b/>
          <w:bCs/>
          <w:color w:val="000000"/>
          <w:kern w:val="2"/>
          <w:position w:val="-20"/>
          <w:sz w:val="24"/>
          <w:lang w:eastAsia="zh-CN"/>
        </w:rPr>
      </w:pPr>
      <w:r>
        <w:rPr>
          <w:rFonts w:hint="eastAsia" w:ascii="Times New Roman" w:hAnsi="Times New Roman" w:cs="Times New Roman"/>
          <w:b/>
          <w:bCs/>
          <w:color w:val="000000"/>
          <w:kern w:val="2"/>
          <w:position w:val="-20"/>
          <w:sz w:val="24"/>
        </w:rPr>
        <w:t>4</w:t>
      </w:r>
      <w:r>
        <w:rPr>
          <w:rFonts w:ascii="Times New Roman" w:hAnsi="Times New Roman" w:cs="Times New Roman"/>
          <w:b/>
          <w:bCs/>
          <w:color w:val="000000"/>
          <w:kern w:val="2"/>
          <w:position w:val="-20"/>
          <w:sz w:val="24"/>
        </w:rPr>
        <w:t xml:space="preserve">.5 </w:t>
      </w:r>
      <w:r>
        <w:rPr>
          <w:rFonts w:hint="eastAsia" w:ascii="Times New Roman" w:hAnsi="Times New Roman" w:cs="Times New Roman"/>
          <w:b/>
          <w:bCs/>
          <w:color w:val="000000"/>
          <w:kern w:val="2"/>
          <w:position w:val="-20"/>
          <w:sz w:val="24"/>
          <w:lang w:eastAsia="zh-CN"/>
        </w:rPr>
        <w:t>AR云教材</w:t>
      </w:r>
    </w:p>
    <w:p>
      <w:pPr>
        <w:adjustRightInd/>
        <w:spacing w:line="360" w:lineRule="auto"/>
        <w:ind w:left="648" w:leftChars="270"/>
        <w:jc w:val="both"/>
        <w:textAlignment w:val="auto"/>
        <w:rPr>
          <w:rFonts w:ascii="Times New Roman" w:hAnsi="Times New Roman" w:cs="Times New Roman"/>
          <w:color w:val="000000"/>
          <w:kern w:val="2"/>
          <w:position w:val="-20"/>
          <w:sz w:val="24"/>
        </w:rPr>
      </w:pPr>
      <w:bookmarkStart w:id="37" w:name="_Hlk119669120"/>
      <w:r>
        <w:rPr>
          <w:rFonts w:hint="eastAsia" w:ascii="Times New Roman" w:hAnsi="Times New Roman" w:cs="Times New Roman"/>
          <w:color w:val="000000"/>
          <w:kern w:val="2"/>
          <w:position w:val="-20"/>
          <w:sz w:val="24"/>
        </w:rPr>
        <w:t>▲1.该资源系统为定制资源系统：1.含30件典型病理3D资源，该资源经过超高清三维建模扫描，支持手机端APP直接扫描标本图片和二维码扫描两种观察模式，手机端APP直接扫描标本图片可观察3D标本模型，可放大缩小察看，支持360度观察，支持视频播放，支持考试做题。二维码扫描观看标本模型，可放大缩小察看，支持360度观察。（投标人需提供U盘演示视频证明，以上功能完整）</w:t>
      </w:r>
    </w:p>
    <w:bookmarkEnd w:id="37"/>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2.按系统疾病选取典型案例，包括讲解视频不少于20个。完成标本的高清三维建模及后期3D素材的制作后，标本可实现随意旋转，全角度自由观看。3D标本采用MAYA模型，制作成逼真、放大、缩小不失真的高清数字标本。3D模型贴图：像素不低于2048*2048，DPI不低于72，采用图像识别技术制作。</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w:t>
      </w:r>
      <w:r>
        <w:rPr>
          <w:rFonts w:ascii="Times New Roman" w:hAnsi="Times New Roman" w:cs="Times New Roman"/>
          <w:color w:val="000000"/>
          <w:kern w:val="2"/>
          <w:position w:val="-20"/>
          <w:sz w:val="24"/>
        </w:rPr>
        <w:t>4</w:t>
      </w:r>
      <w:r>
        <w:rPr>
          <w:rFonts w:hint="eastAsia" w:ascii="Times New Roman" w:hAnsi="Times New Roman" w:cs="Times New Roman"/>
          <w:color w:val="000000"/>
          <w:kern w:val="2"/>
          <w:position w:val="-20"/>
          <w:sz w:val="24"/>
        </w:rPr>
        <w:t>.可支持数字化标本通过</w:t>
      </w:r>
      <w:r>
        <w:rPr>
          <w:rFonts w:hint="eastAsia" w:ascii="Times New Roman" w:hAnsi="Times New Roman" w:cs="Times New Roman"/>
          <w:color w:val="000000"/>
          <w:kern w:val="2"/>
          <w:position w:val="-20"/>
          <w:sz w:val="24"/>
          <w:lang w:eastAsia="zh-CN"/>
        </w:rPr>
        <w:t>AR云教材</w:t>
      </w:r>
      <w:r>
        <w:rPr>
          <w:rFonts w:hint="eastAsia" w:ascii="Times New Roman" w:hAnsi="Times New Roman" w:cs="Times New Roman"/>
          <w:color w:val="000000"/>
          <w:kern w:val="2"/>
          <w:position w:val="-20"/>
          <w:sz w:val="24"/>
        </w:rPr>
        <w:t>系统展示,呈现AR效果，虚拟现实一体化。数字化标本可180~540度旋转，移动，随意放大或缩小进行观察。</w:t>
      </w:r>
    </w:p>
    <w:p>
      <w:pPr>
        <w:adjustRightInd/>
        <w:spacing w:line="360" w:lineRule="auto"/>
        <w:ind w:left="648" w:leftChars="270"/>
        <w:jc w:val="both"/>
        <w:textAlignment w:val="auto"/>
        <w:rPr>
          <w:rFonts w:ascii="Times New Roman" w:hAnsi="Times New Roman" w:cs="Times New Roman"/>
          <w:color w:val="000000"/>
          <w:kern w:val="2"/>
          <w:position w:val="-20"/>
          <w:sz w:val="24"/>
        </w:rPr>
      </w:pPr>
      <w:bookmarkStart w:id="38" w:name="_Hlk119669125"/>
      <w:r>
        <w:rPr>
          <w:rFonts w:hint="eastAsia" w:ascii="Times New Roman" w:hAnsi="Times New Roman" w:cs="Times New Roman"/>
          <w:color w:val="000000"/>
          <w:kern w:val="2"/>
          <w:position w:val="-20"/>
          <w:sz w:val="24"/>
        </w:rPr>
        <w:t>▲</w:t>
      </w:r>
      <w:r>
        <w:rPr>
          <w:rFonts w:ascii="Times New Roman" w:hAnsi="Times New Roman" w:cs="Times New Roman"/>
          <w:color w:val="000000"/>
          <w:kern w:val="2"/>
          <w:position w:val="-20"/>
          <w:sz w:val="24"/>
        </w:rPr>
        <w:t>5</w:t>
      </w:r>
      <w:r>
        <w:rPr>
          <w:rFonts w:hint="eastAsia" w:ascii="Times New Roman" w:hAnsi="Times New Roman" w:cs="Times New Roman"/>
          <w:color w:val="000000"/>
          <w:kern w:val="2"/>
          <w:position w:val="-20"/>
          <w:sz w:val="24"/>
        </w:rPr>
        <w:t>.定制文化氛围设计，要求突出学科特色，融入学校文化及元素。（投标人提供详细设计图及细节设计图，并说明设计思路与设计细节。）</w:t>
      </w:r>
    </w:p>
    <w:bookmarkEnd w:id="38"/>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ascii="Times New Roman" w:hAnsi="Times New Roman" w:cs="Times New Roman"/>
          <w:color w:val="000000"/>
          <w:kern w:val="2"/>
          <w:position w:val="-20"/>
          <w:sz w:val="24"/>
        </w:rPr>
        <w:t>6</w:t>
      </w:r>
      <w:r>
        <w:rPr>
          <w:rFonts w:hint="eastAsia" w:ascii="Times New Roman" w:hAnsi="Times New Roman" w:cs="Times New Roman"/>
          <w:color w:val="000000"/>
          <w:kern w:val="2"/>
          <w:position w:val="-20"/>
          <w:sz w:val="24"/>
        </w:rPr>
        <w:t>.印刷与施工安装与培训。</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w:t>
      </w:r>
      <w:r>
        <w:rPr>
          <w:rFonts w:ascii="Times New Roman" w:hAnsi="Times New Roman" w:cs="Times New Roman"/>
          <w:color w:val="000000"/>
          <w:kern w:val="2"/>
          <w:position w:val="-20"/>
          <w:sz w:val="24"/>
        </w:rPr>
        <w:t>7</w:t>
      </w:r>
      <w:r>
        <w:rPr>
          <w:rFonts w:hint="eastAsia" w:ascii="Times New Roman" w:hAnsi="Times New Roman" w:cs="Times New Roman"/>
          <w:color w:val="000000"/>
          <w:kern w:val="2"/>
          <w:position w:val="-20"/>
          <w:sz w:val="24"/>
        </w:rPr>
        <w:t>.提供软件著作权加盖生产厂商公章（投标人需提供软件著作权复印件加盖生产厂商公章）。</w:t>
      </w:r>
    </w:p>
    <w:p>
      <w:pPr>
        <w:adjustRightInd/>
        <w:spacing w:line="360" w:lineRule="auto"/>
        <w:ind w:left="648" w:leftChars="270"/>
        <w:jc w:val="both"/>
        <w:textAlignment w:val="auto"/>
        <w:rPr>
          <w:rFonts w:ascii="Times New Roman" w:hAnsi="Times New Roman" w:cs="Times New Roman"/>
          <w:b/>
          <w:bCs/>
          <w:color w:val="000000"/>
          <w:kern w:val="2"/>
          <w:position w:val="-20"/>
          <w:sz w:val="24"/>
        </w:rPr>
      </w:pPr>
    </w:p>
    <w:p>
      <w:pPr>
        <w:adjustRightInd/>
        <w:spacing w:line="360" w:lineRule="auto"/>
        <w:ind w:left="648" w:leftChars="270"/>
        <w:jc w:val="both"/>
        <w:textAlignment w:val="auto"/>
        <w:rPr>
          <w:rFonts w:ascii="Times New Roman" w:hAnsi="Times New Roman" w:cs="Times New Roman"/>
          <w:b/>
          <w:bCs/>
          <w:kern w:val="2"/>
          <w:position w:val="-20"/>
          <w:sz w:val="24"/>
        </w:rPr>
      </w:pPr>
      <w:r>
        <w:rPr>
          <w:rFonts w:hint="eastAsia" w:ascii="Times New Roman" w:hAnsi="Times New Roman" w:cs="Times New Roman"/>
          <w:b/>
          <w:bCs/>
          <w:kern w:val="2"/>
          <w:position w:val="-20"/>
          <w:sz w:val="24"/>
        </w:rPr>
        <w:t>4</w:t>
      </w:r>
      <w:r>
        <w:rPr>
          <w:rFonts w:ascii="Times New Roman" w:hAnsi="Times New Roman" w:cs="Times New Roman"/>
          <w:b/>
          <w:bCs/>
          <w:kern w:val="2"/>
          <w:position w:val="-20"/>
          <w:sz w:val="24"/>
        </w:rPr>
        <w:t>.6</w:t>
      </w:r>
      <w:r>
        <w:rPr>
          <w:rFonts w:hint="eastAsia" w:ascii="Times New Roman" w:hAnsi="Times New Roman" w:cs="Times New Roman"/>
          <w:b/>
          <w:bCs/>
          <w:kern w:val="2"/>
          <w:position w:val="-20"/>
          <w:sz w:val="24"/>
        </w:rPr>
        <w:t>沉浸式VR大屏交互显示系统</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一、虚拟现实内容管理服务器</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■1.CPU：≥I7-10700K 8核 16线程；内存：≥DDR4 3200 32GB; 内置图形卡要求：具备DP接口≥4；内置图形卡显存容量：≥16GB；内置图形卡显存带宽：≥448GB/S；内置图形卡处理核心数：≥3072；内置图形卡支持分辨率：≥7680*4320；硬盘：≥256G SSD+2TB SATA；需提供原装键鼠一套；需预装正版Windows10操作系统。</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二、位置追踪系统硬件</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 系统需支持追踪体验者的头部及手部运动，以支持沉浸式体验效果。需提供眼镜和手柄以及可穿戴追踪摄像头结合边框标记点满足追踪使用。</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■2、 系统需提供1套手持式无线设备--追踪手柄，且手柄满足以下参数：</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（1）手持式无线设备支持可操作部件进行交互，其中包括：摇杆、按键等；</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（2）手持式无线设备支持状态指示灯进行状态提示</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（3）手持式无线设备为双手柄；</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（4）手持式无线设备需具备与摄像头连接的接口，具备给摄像头供电及接收数据能力；</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■3、 系统需提供2套带主动追踪功能的眼镜，且眼镜满足以下参数：</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（1）眼镜工作模式为液晶快门式，透过率:40±2%（TYP.），对比度1000：1</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（2）供电方式：充电型眼镜，电池类型为3.7V锂电池；容量≥300mAh;</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（3）眼镜需支持状态指示灯进行状态提示；</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（4）眼镜需具备与摄像头连接的接口，具备给摄像头供电及接收数据能力；</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■4、系统需支持多种大型沉浸式显示系统，如多通道投影、LED拼接屏、洞穴式显示系统。</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■5、为保证系统稳定性及追踪精度，需在边框设置红外光标记点。</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■6、系统需配备3颗追踪摄像头用于与手柄及眼镜配合使用。                                                                                                  （1）摄像头模组需内置光学镜头，图像处理单元，惯性传感器，MCU等用于图像处理及保证亚毫米级定位精度和2ms的低延时；惯性传感器刷新率可达2000HZ;                                                                                                                                （2）摄像头供电方式：通过外接供电，供电电压为3.0V;</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（3）摄像头尺寸≤16 × 16 × 21 mm；重量≤11g;</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（4）摄像头需具备与外部连接的供电及数据传输接口，接口类型为POGO PIN的方式；</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（5）摄像头需支持状态指示灯进行状态提示：设备处于连接状态中：指示灯白色；设备处于正常使用状态中：指示灯绿色；</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（6）为保证系统的追踪范围，摄像头需满足：摄像头视场角：水平视场角≥230度，垂直视场角≥180度，最远追踪距离≥5m。</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软件参数：</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■1、软件需提供中国计算机软件著作权登记证书复印件（加盖投标人公章）。</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2、为保证系统的易用性，系统需支持保存功能，能够保存节点设置数据、VRPN数据，以便程序启动后无需多次设置。</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3、为了系统算法处理器的稳定性，系统要求采用C/S架构。</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4、为了适应不同场景不同案例对房间坐标系的要求，要求系统无需校准。</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5、要求系统支持节点设置，包含追踪环境节点、右手柄节点、左手柄节点。</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6、要求追踪环境节点需支持对硬件型号选择。</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7、要求左右两手柄节点需支持调整按键映射，包含扳机键、菜单键、系统键、抓握键等。</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8、为了方便查看当前追踪信息，系统需支持显示3D视图，3D视图显示追踪场景的三维房间坐标系，界面实时及同时显示3个追踪设备在场景中6自由度运动信息。</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三、虚拟现实现实设备</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■1.像素间距≤1.9mm，屏幕尺寸≥7.29㎡，刷新频率：（Hz）≥2880，换帧频率：（Hz）≥60，需要支持主动立体3D显示（快门），(需要提供设备3C认证证书复印件)。</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ascii="Times New Roman" w:hAnsi="Times New Roman" w:cs="Times New Roman"/>
          <w:color w:val="000000"/>
          <w:kern w:val="2"/>
          <w:position w:val="-20"/>
          <w:sz w:val="24"/>
        </w:rPr>
        <w:t>2</w:t>
      </w:r>
      <w:r>
        <w:rPr>
          <w:rFonts w:hint="eastAsia" w:ascii="Times New Roman" w:hAnsi="Times New Roman" w:cs="Times New Roman"/>
          <w:color w:val="000000"/>
          <w:kern w:val="2"/>
          <w:position w:val="-20"/>
          <w:sz w:val="24"/>
        </w:rPr>
        <w:t>.需提供满足使用的配套发送卡，需支持无线传屏，通过无线网络将电脑屏幕共享。</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3</w:t>
      </w:r>
      <w:r>
        <w:rPr>
          <w:rFonts w:ascii="Times New Roman" w:hAnsi="Times New Roman" w:cs="Times New Roman"/>
          <w:color w:val="000000"/>
          <w:kern w:val="2"/>
          <w:position w:val="-20"/>
          <w:sz w:val="24"/>
        </w:rPr>
        <w:t>.</w:t>
      </w:r>
      <w:r>
        <w:rPr>
          <w:rFonts w:hint="eastAsia" w:ascii="Times New Roman" w:hAnsi="Times New Roman" w:cs="Times New Roman"/>
          <w:color w:val="000000"/>
          <w:kern w:val="2"/>
          <w:position w:val="-20"/>
          <w:sz w:val="24"/>
        </w:rPr>
        <w:t>最大白平衡亮度（nit）≥650，色温 3000-9600K可调，驱动方式：1/58扫，灰度等级（bit）：≥12，对比度：3000:1，显示均匀性-亮度：≥97%，显示均匀性-色彩 △（Cx，Cy）≤0.003，视角（水平/垂直）：±80°/±60°，使用寿命（H）≥80000，最大带载分辨率1920×1200@60hz，可自定义分辨率。输入端口：1x SL-DVI输入，1xHDMI 1.3接口，Audio音频输入接口。输出端口：4xRJ45千兆网口，单路最大带载65万像素点，支持网口间冗余。支持两路UART控制接口，可级联多台进行统一控制。支持一路光探头接口。支持逐点亮色度校正。额定功耗：6.6W。</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■四、4KVR场景管理器</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 需自带嵌入式触摸屏，提供设备信息查看功能，提供一键开关LED屏设备功能，提供一间翻转左右眼功能，提供至少8种显示模式切换。</w:t>
      </w:r>
    </w:p>
    <w:p>
      <w:pPr>
        <w:adjustRightInd/>
        <w:spacing w:line="360" w:lineRule="auto"/>
        <w:ind w:left="648" w:leftChars="270"/>
        <w:jc w:val="both"/>
        <w:textAlignment w:val="auto"/>
        <w:rPr>
          <w:rFonts w:ascii="Times New Roman" w:hAnsi="Times New Roman" w:cs="Times New Roman"/>
          <w:color w:val="000000"/>
          <w:kern w:val="2"/>
          <w:position w:val="-20"/>
          <w:sz w:val="24"/>
        </w:rPr>
      </w:pPr>
      <w:bookmarkStart w:id="39" w:name="_Hlk119669132"/>
      <w:r>
        <w:rPr>
          <w:rFonts w:hint="eastAsia" w:ascii="Times New Roman" w:hAnsi="Times New Roman" w:cs="Times New Roman"/>
          <w:color w:val="000000"/>
          <w:kern w:val="2"/>
          <w:position w:val="-20"/>
          <w:sz w:val="24"/>
        </w:rPr>
        <w:t>▲2.需提供该设备由CNAS机构（中国合格评定国家认可委员会）认可的检验报告。（需提供第三方检测报告功能部分的证明截图，并加盖投标人公章）</w:t>
      </w:r>
    </w:p>
    <w:bookmarkEnd w:id="39"/>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■3. 需支持2D、3D场景一键切换。方便在多个预设场景之间自由切换，图形化启发的操作界面，能对多路图像信号进行拉伸、缩放、任意位置拖动、窗口操作等灵活设置。</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■4. 需支持快速便捷部署，单台设备支持对多组屏同时控制，不同组分辨率可不相同。</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■5. 单卡同时支持HDMI 2.0及DP 1.2 4K@60Hz信号源输入，单接口支持3840x2160@60Hz信号处理，支持HDCP 2.2;单卡同时支持DL-DVI和DP 4K@30Hz 信号输入; 单卡同时支持2路 DP 4K@30Hz信号同时具有VESA 3D 信号输入。</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■6. 支持SDI、HDMI、VGA、CVBS、YPbPr、IP、DVI、HDBaseT等信号的混合输入，DVI-M输入卡，单张输入卡可同时支持HDMI/DVI/VGA/YPbPr/Cvbs所有标准输入，支持3G SDI 60Hz输入，输出支持DVI、HDMI、VGA、Dual-link DVI、SDI、HDBaseT等信号。</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■7. 支持单接口1920x1200@120Hz 、 3840x1200@120Hz 等分辨率主动立体信号输入。</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■8. 需支持系统全同步、非同步和内部源同步模式；具有单独板卡支持VESA、 BNC 3D 信号输入输出。</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9. 输入输出接口分辨率可自定义为非标准分辨率；支持在线修改EDID，无需第三方工具；自定义输出有效范围达到4096x4096，支持奇数水平像数输出(比如1921x1080),有效输出区域完全可自定义。支持输入输出图像裁剪，实现图像切边、局部放大等功能。</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10. 需支持全屏信号源预监、大屏图像回显功能。</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11. 需具备电信级的背板交换架构，背板为每路高清信号单独提供6.25Gbps 串行带宽，单输入板25Gbps带宽，单输出板50Gbps带宽，背板总带宽大于2T。</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12. 触控面板图形化需显示设备IP地址，设备型号，支持大屏开关机，立体切换功能。</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13. 需同时支持B/S和C/S两种控制方式。双串口控制方式，支持串口环通。</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五、3D立体信号发射器</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1.频率：2.45G+-500MHz，发射功率：0.3W MAX，传输速度： 100KHz峰值功率：0.3W，工作电流：≤100mA，天线增益：2DB 5DB 8DB 12DB 14DB 可选，工作温度：-10℃~70℃，传输角度：360°±5%，传输距离：正向不大于110米 反向不大于90米。</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■六、3D主动立体眼镜40副</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光学特性：工作模式为液晶快门式，透过率:40±2%（TYP.），对比度1000：1 ，场频：96-480Hz，供电方式：充电型眼镜，电池类型为3.7V锂电池；容量≥45Mah，连续工作时间：≥60小时，响应时间：≤1.5ms，额定工作电流：≤0.8mA，充电时间：2小时以内，射频传输特性：接收距离≥80M （配合立体信号发射器使用），温度特性：工作温度为0℃~50℃，存储温度为-30℃~70℃，待机时间：≥45天，轻量级眼镜 重量：≤40g。</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■七、虚拟现实框架结构</w:t>
      </w:r>
    </w:p>
    <w:p>
      <w:pPr>
        <w:widowControl w:val="0"/>
        <w:numPr>
          <w:ilvl w:val="0"/>
          <w:numId w:val="5"/>
        </w:numPr>
        <w:spacing w:line="360" w:lineRule="auto"/>
        <w:ind w:left="987" w:hanging="420" w:firstLineChars="0"/>
        <w:jc w:val="both"/>
        <w:rPr>
          <w:rFonts w:ascii="Times New Roman" w:hAnsi="Times New Roman" w:eastAsia="宋体" w:cs="Times New Roman"/>
          <w:color w:val="000000"/>
          <w:kern w:val="2"/>
          <w:position w:val="-20"/>
          <w:sz w:val="24"/>
          <w:szCs w:val="24"/>
          <w:lang w:val="en-US" w:eastAsia="zh-CN" w:bidi="ar-SA"/>
        </w:rPr>
      </w:pPr>
      <w:r>
        <w:rPr>
          <w:rFonts w:hint="eastAsia" w:ascii="Times New Roman" w:hAnsi="Times New Roman" w:eastAsia="宋体" w:cs="Times New Roman"/>
          <w:color w:val="000000"/>
          <w:kern w:val="2"/>
          <w:position w:val="-20"/>
          <w:sz w:val="24"/>
          <w:szCs w:val="24"/>
          <w:lang w:val="en-US" w:eastAsia="zh-CN" w:bidi="ar-SA"/>
        </w:rPr>
        <w:t>需采用奥氏体不锈钢拉丝材料，黑色无指纹高档包边，板材面平整光滑，内外结构均匀，强度高；</w:t>
      </w:r>
    </w:p>
    <w:p>
      <w:pPr>
        <w:widowControl w:val="0"/>
        <w:numPr>
          <w:ilvl w:val="0"/>
          <w:numId w:val="5"/>
        </w:numPr>
        <w:spacing w:line="360" w:lineRule="auto"/>
        <w:ind w:left="987" w:hanging="420" w:firstLineChars="0"/>
        <w:jc w:val="both"/>
        <w:rPr>
          <w:rFonts w:ascii="Times New Roman" w:hAnsi="Times New Roman" w:eastAsia="宋体" w:cs="Times New Roman"/>
          <w:color w:val="000000"/>
          <w:kern w:val="2"/>
          <w:position w:val="-20"/>
          <w:sz w:val="24"/>
          <w:szCs w:val="24"/>
          <w:lang w:val="en-US" w:eastAsia="zh-CN" w:bidi="ar-SA"/>
        </w:rPr>
      </w:pPr>
      <w:r>
        <w:rPr>
          <w:rFonts w:hint="eastAsia" w:ascii="Times New Roman" w:hAnsi="Times New Roman" w:eastAsia="宋体" w:cs="Times New Roman"/>
          <w:color w:val="000000"/>
          <w:kern w:val="2"/>
          <w:position w:val="-20"/>
          <w:sz w:val="24"/>
          <w:szCs w:val="24"/>
          <w:lang w:val="en-US" w:eastAsia="zh-CN" w:bidi="ar-SA"/>
        </w:rPr>
        <w:t>需采用钢琴烤漆工艺，三遍底漆+面漆组合，水砂纸和磨布抛光，抗裂，耐磨防刮，耐腐蚀， 防水易清洁，边框保护效果更好；</w:t>
      </w:r>
    </w:p>
    <w:p>
      <w:pPr>
        <w:widowControl w:val="0"/>
        <w:numPr>
          <w:ilvl w:val="0"/>
          <w:numId w:val="5"/>
        </w:numPr>
        <w:spacing w:line="360" w:lineRule="auto"/>
        <w:ind w:left="987" w:hanging="420" w:firstLineChars="0"/>
        <w:jc w:val="both"/>
        <w:rPr>
          <w:rFonts w:ascii="Times New Roman" w:hAnsi="Times New Roman" w:eastAsia="宋体" w:cs="Times New Roman"/>
          <w:color w:val="000000"/>
          <w:kern w:val="2"/>
          <w:position w:val="-20"/>
          <w:sz w:val="24"/>
          <w:szCs w:val="24"/>
          <w:lang w:val="en-US" w:eastAsia="zh-CN" w:bidi="ar-SA"/>
        </w:rPr>
      </w:pPr>
      <w:r>
        <w:rPr>
          <w:rFonts w:hint="eastAsia" w:ascii="Times New Roman" w:hAnsi="Times New Roman" w:eastAsia="宋体" w:cs="Times New Roman"/>
          <w:color w:val="000000"/>
          <w:kern w:val="2"/>
          <w:position w:val="-20"/>
          <w:sz w:val="24"/>
          <w:szCs w:val="24"/>
          <w:lang w:val="en-US" w:eastAsia="zh-CN" w:bidi="ar-SA"/>
        </w:rPr>
        <w:t>专业机械设计结构，需采用一体化结构设计，经久耐用，可现场快速安装；</w:t>
      </w:r>
    </w:p>
    <w:p>
      <w:pPr>
        <w:widowControl w:val="0"/>
        <w:numPr>
          <w:ilvl w:val="0"/>
          <w:numId w:val="5"/>
        </w:numPr>
        <w:spacing w:line="360" w:lineRule="auto"/>
        <w:ind w:left="987" w:hanging="420" w:firstLineChars="0"/>
        <w:jc w:val="both"/>
        <w:rPr>
          <w:rFonts w:ascii="Times New Roman" w:hAnsi="Times New Roman" w:eastAsia="宋体" w:cs="Times New Roman"/>
          <w:color w:val="000000"/>
          <w:kern w:val="2"/>
          <w:position w:val="-20"/>
          <w:sz w:val="24"/>
          <w:szCs w:val="24"/>
          <w:lang w:val="en-US" w:eastAsia="zh-CN" w:bidi="ar-SA"/>
        </w:rPr>
      </w:pPr>
      <w:r>
        <w:rPr>
          <w:rFonts w:hint="eastAsia" w:ascii="Times New Roman" w:hAnsi="Times New Roman" w:eastAsia="宋体" w:cs="Times New Roman"/>
          <w:color w:val="000000"/>
          <w:kern w:val="2"/>
          <w:position w:val="-20"/>
          <w:sz w:val="24"/>
          <w:szCs w:val="24"/>
          <w:lang w:val="en-US" w:eastAsia="zh-CN" w:bidi="ar-SA"/>
        </w:rPr>
        <w:t>专业的找平校准机制，确保安装大幅面屏幕的平整性，精确度更高；</w:t>
      </w:r>
    </w:p>
    <w:p>
      <w:pPr>
        <w:widowControl w:val="0"/>
        <w:numPr>
          <w:ilvl w:val="0"/>
          <w:numId w:val="5"/>
        </w:numPr>
        <w:spacing w:line="360" w:lineRule="auto"/>
        <w:ind w:left="987" w:hanging="420" w:firstLineChars="0"/>
        <w:jc w:val="both"/>
        <w:rPr>
          <w:rFonts w:ascii="Times New Roman" w:hAnsi="Times New Roman" w:eastAsia="宋体" w:cs="Times New Roman"/>
          <w:color w:val="000000"/>
          <w:kern w:val="2"/>
          <w:position w:val="-20"/>
          <w:sz w:val="24"/>
          <w:szCs w:val="24"/>
          <w:lang w:val="en-US" w:eastAsia="zh-CN" w:bidi="ar-SA"/>
        </w:rPr>
      </w:pPr>
      <w:r>
        <w:rPr>
          <w:rFonts w:hint="eastAsia" w:ascii="Times New Roman" w:hAnsi="Times New Roman" w:eastAsia="宋体" w:cs="Times New Roman"/>
          <w:color w:val="000000"/>
          <w:kern w:val="2"/>
          <w:position w:val="-20"/>
          <w:sz w:val="24"/>
          <w:szCs w:val="24"/>
          <w:lang w:val="en-US" w:eastAsia="zh-CN" w:bidi="ar-SA"/>
        </w:rPr>
        <w:t>产品机柜底部需采用四滚轮设计，支持移动式拖拉，方便使用；</w:t>
      </w:r>
    </w:p>
    <w:p>
      <w:pPr>
        <w:widowControl w:val="0"/>
        <w:numPr>
          <w:ilvl w:val="0"/>
          <w:numId w:val="5"/>
        </w:numPr>
        <w:spacing w:line="360" w:lineRule="auto"/>
        <w:ind w:left="987" w:hanging="420" w:firstLineChars="0"/>
        <w:jc w:val="both"/>
        <w:rPr>
          <w:rFonts w:ascii="Times New Roman" w:hAnsi="Times New Roman" w:eastAsia="宋体" w:cs="Times New Roman"/>
          <w:color w:val="000000"/>
          <w:kern w:val="2"/>
          <w:position w:val="-20"/>
          <w:sz w:val="24"/>
          <w:szCs w:val="24"/>
          <w:lang w:val="en-US" w:eastAsia="zh-CN" w:bidi="ar-SA"/>
        </w:rPr>
      </w:pPr>
      <w:r>
        <w:rPr>
          <w:rFonts w:hint="eastAsia" w:ascii="Times New Roman" w:hAnsi="Times New Roman" w:eastAsia="宋体" w:cs="Times New Roman"/>
          <w:color w:val="000000"/>
          <w:kern w:val="2"/>
          <w:position w:val="-20"/>
          <w:sz w:val="24"/>
          <w:szCs w:val="24"/>
          <w:lang w:val="en-US" w:eastAsia="zh-CN" w:bidi="ar-SA"/>
        </w:rPr>
        <w:t>集成化程度更高，内部布线安全科学，对产品安全及维护提供了强大的保障。</w:t>
      </w:r>
    </w:p>
    <w:p>
      <w:pPr>
        <w:widowControl w:val="0"/>
        <w:numPr>
          <w:ilvl w:val="0"/>
          <w:numId w:val="5"/>
        </w:numPr>
        <w:spacing w:line="360" w:lineRule="auto"/>
        <w:ind w:left="987" w:hanging="420" w:firstLineChars="0"/>
        <w:jc w:val="both"/>
        <w:rPr>
          <w:rFonts w:ascii="Times New Roman" w:hAnsi="Times New Roman" w:eastAsia="宋体" w:cs="Times New Roman"/>
          <w:color w:val="000000"/>
          <w:kern w:val="2"/>
          <w:position w:val="-20"/>
          <w:sz w:val="24"/>
          <w:szCs w:val="24"/>
          <w:lang w:val="en-US" w:eastAsia="zh-CN" w:bidi="ar-SA"/>
        </w:rPr>
      </w:pPr>
      <w:r>
        <w:rPr>
          <w:rFonts w:hint="eastAsia" w:ascii="Times New Roman" w:hAnsi="Times New Roman" w:eastAsia="宋体" w:cs="Times New Roman"/>
          <w:color w:val="000000"/>
          <w:kern w:val="2"/>
          <w:position w:val="-20"/>
          <w:sz w:val="24"/>
          <w:szCs w:val="24"/>
          <w:lang w:val="en-US" w:eastAsia="zh-CN" w:bidi="ar-SA"/>
        </w:rPr>
        <w:t>产品需内置30W4.5英寸重低音喇叭单元，采用高性能铁氧化磁性材料结构。满足用户视听体验效果；</w:t>
      </w:r>
    </w:p>
    <w:p>
      <w:pPr>
        <w:widowControl w:val="0"/>
        <w:numPr>
          <w:ilvl w:val="0"/>
          <w:numId w:val="5"/>
        </w:numPr>
        <w:spacing w:line="360" w:lineRule="auto"/>
        <w:ind w:left="987" w:hanging="420" w:firstLineChars="0"/>
        <w:jc w:val="both"/>
        <w:rPr>
          <w:rFonts w:ascii="Times New Roman" w:hAnsi="Times New Roman" w:eastAsia="宋体" w:cs="Times New Roman"/>
          <w:color w:val="000000"/>
          <w:kern w:val="2"/>
          <w:position w:val="-20"/>
          <w:sz w:val="24"/>
          <w:szCs w:val="24"/>
          <w:lang w:val="en-US" w:eastAsia="zh-CN" w:bidi="ar-SA"/>
        </w:rPr>
      </w:pPr>
      <w:r>
        <w:rPr>
          <w:rFonts w:hint="eastAsia" w:ascii="Times New Roman" w:hAnsi="Times New Roman" w:eastAsia="宋体" w:cs="Times New Roman"/>
          <w:color w:val="000000"/>
          <w:kern w:val="2"/>
          <w:position w:val="-20"/>
          <w:sz w:val="24"/>
          <w:szCs w:val="24"/>
          <w:lang w:val="en-US" w:eastAsia="zh-CN" w:bidi="ar-SA"/>
        </w:rPr>
        <w:t>另需提供方便我方使用的操作台。</w:t>
      </w:r>
    </w:p>
    <w:p>
      <w:pPr>
        <w:widowControl w:val="0"/>
        <w:numPr>
          <w:ilvl w:val="0"/>
          <w:numId w:val="5"/>
        </w:numPr>
        <w:spacing w:line="360" w:lineRule="auto"/>
        <w:ind w:left="987" w:hanging="420" w:firstLineChars="0"/>
        <w:jc w:val="both"/>
        <w:rPr>
          <w:rFonts w:ascii="Times New Roman" w:hAnsi="Times New Roman" w:eastAsia="宋体" w:cs="Times New Roman"/>
          <w:color w:val="000000"/>
          <w:kern w:val="2"/>
          <w:position w:val="-20"/>
          <w:sz w:val="24"/>
          <w:szCs w:val="24"/>
          <w:lang w:val="en-US" w:eastAsia="zh-CN" w:bidi="ar-SA"/>
        </w:rPr>
      </w:pPr>
      <w:r>
        <w:rPr>
          <w:rFonts w:hint="eastAsia" w:ascii="Times New Roman" w:hAnsi="Times New Roman" w:eastAsia="宋体" w:cs="Times New Roman"/>
          <w:color w:val="000000"/>
          <w:kern w:val="2"/>
          <w:position w:val="-20"/>
          <w:sz w:val="24"/>
          <w:szCs w:val="24"/>
          <w:lang w:val="en-US" w:eastAsia="zh-CN" w:bidi="ar-SA"/>
        </w:rPr>
        <w:t>机柜底部设计有抽屉结构，用韵存储3D眼镜、配件；</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八、VR场景管理器软件</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 需支持输出端口的任意映射功能，可设置任意两个输出口间的像素间隔，间隔可设置正值和负值，实现边缘补偿、叠加带生成和创意显示的要求，间隔设置范围横向和纵向大于2048;可完全自定义各输出接口像素的起始位置和高度，即允许设置每个输出口切割总体画面的任意一块，设置精度达到逐像素;需支持输入信号裁切及局部显示，可以通过软件以像素为单位精确设置对图像切边、局部放大等操作;可设置输出信号的有效区域，设置后所有窗口仅能在有效区域内漫游，支持非标准分辨率输出;可设置输入和输出添加标识，可设置输出任意颜色的测试图像，测试色彩可完全自定义;可设置输入接口任意自定义分辨率，可对时钟频率、输入图像同步的所有参数进行精确设置，设置自定义分辨率及详细参数和在线修改设备EDID无需通过第三方软件调用直接设置，可直接设置与大屏相适应的点对点分辨率;不必附加任何硬件即可通过软件直接查看当前任意输入的实际输入信号的精确分辨率及接口属性信息，支持故障检测功能，并通过颜色标识当前输入接口是否有实际信号输入;单台设备支持对多组屏同时控制，不同组分辨率可不相同;处理器操控支持多平台软件版本；支持平板电脑端控制，任意窗口的新建、缩放、拖动、漫游等操作，可查看可调用模式;</w:t>
      </w:r>
    </w:p>
    <w:p>
      <w:pPr>
        <w:adjustRightInd/>
        <w:spacing w:line="360" w:lineRule="auto"/>
        <w:ind w:left="648" w:leftChars="270"/>
        <w:jc w:val="both"/>
        <w:textAlignment w:val="auto"/>
        <w:rPr>
          <w:rFonts w:ascii="Times New Roman" w:hAnsi="Times New Roman" w:cs="Times New Roman"/>
          <w:color w:val="000000"/>
          <w:kern w:val="2"/>
          <w:position w:val="-20"/>
          <w:sz w:val="24"/>
        </w:rPr>
      </w:pPr>
      <w:bookmarkStart w:id="40" w:name="_Hlk119669141"/>
      <w:r>
        <w:rPr>
          <w:rFonts w:hint="eastAsia" w:ascii="Times New Roman" w:hAnsi="Times New Roman" w:cs="Times New Roman"/>
          <w:color w:val="000000"/>
          <w:kern w:val="2"/>
          <w:position w:val="-20"/>
          <w:sz w:val="24"/>
        </w:rPr>
        <w:t>▲</w:t>
      </w:r>
      <w:r>
        <w:rPr>
          <w:rFonts w:ascii="Times New Roman" w:hAnsi="Times New Roman" w:cs="Times New Roman"/>
          <w:color w:val="000000"/>
          <w:kern w:val="2"/>
          <w:position w:val="-20"/>
          <w:sz w:val="24"/>
        </w:rPr>
        <w:t>2</w:t>
      </w:r>
      <w:r>
        <w:rPr>
          <w:rFonts w:hint="eastAsia" w:ascii="Times New Roman" w:hAnsi="Times New Roman" w:cs="Times New Roman"/>
          <w:color w:val="000000"/>
          <w:kern w:val="2"/>
          <w:position w:val="-20"/>
          <w:sz w:val="24"/>
        </w:rPr>
        <w:t>. 为方便采购人教学的便捷性，需具备2D和3D同时显示的效果功能。可在一块屏幕上提供两个视角进行观看，实现一边播放2D的PPT、文档等材料，另一边播放3D的VR效果内容。（需提供相关功能证明材料截图，并加盖投标人公章）</w:t>
      </w:r>
    </w:p>
    <w:bookmarkEnd w:id="40"/>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w:t>
      </w:r>
      <w:r>
        <w:rPr>
          <w:rFonts w:ascii="Times New Roman" w:hAnsi="Times New Roman" w:cs="Times New Roman"/>
          <w:color w:val="000000"/>
          <w:kern w:val="2"/>
          <w:position w:val="-20"/>
          <w:sz w:val="24"/>
        </w:rPr>
        <w:t>3</w:t>
      </w:r>
      <w:r>
        <w:rPr>
          <w:rFonts w:hint="eastAsia" w:ascii="Times New Roman" w:hAnsi="Times New Roman" w:cs="Times New Roman"/>
          <w:color w:val="000000"/>
          <w:kern w:val="2"/>
          <w:position w:val="-20"/>
          <w:sz w:val="24"/>
        </w:rPr>
        <w:t>. 需提供场景管理软件著作权证书。</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w:t>
      </w:r>
      <w:r>
        <w:rPr>
          <w:rFonts w:ascii="Times New Roman" w:hAnsi="Times New Roman" w:cs="Times New Roman"/>
          <w:color w:val="000000"/>
          <w:kern w:val="2"/>
          <w:position w:val="-20"/>
          <w:sz w:val="24"/>
        </w:rPr>
        <w:t>4</w:t>
      </w:r>
      <w:r>
        <w:rPr>
          <w:rFonts w:hint="eastAsia" w:ascii="Times New Roman" w:hAnsi="Times New Roman" w:cs="Times New Roman"/>
          <w:color w:val="000000"/>
          <w:kern w:val="2"/>
          <w:position w:val="-20"/>
          <w:sz w:val="24"/>
        </w:rPr>
        <w:t>. 工作站场景管理模块软件必须与投标人响应的场景管理器实现无缝对接融合，投标供应商须在投标书中作出书面承诺。</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九、虚拟现实桥接软件</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■1.软件需提供中国计算机软件著作权登记证书复印件。</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2.软件需支持光学追踪系统和基于VRPN协议的交互设备，如3D眼镜、手柄控制器、追踪标记体等，可进行头部追踪、手部追踪、绑定手柄按键和事件。软件需支持双手柄控制和交互。为了应对复杂的虚拟现实沉浸式环境，软件需采用“1拖N”多通道集群渲染同步技术，支持单台计算机、多台计算机2种方式同步输出多台显示器（多个屏幕）的高分辨率画面。为了体验更多的虚拟现实沉浸式环境内容，软件需支持Unity和Unreal开发的内容适配到VR沉浸式环境。</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w:t>
      </w:r>
      <w:r>
        <w:rPr>
          <w:rFonts w:ascii="Times New Roman" w:hAnsi="Times New Roman" w:cs="Times New Roman"/>
          <w:color w:val="000000"/>
          <w:kern w:val="2"/>
          <w:position w:val="-20"/>
          <w:sz w:val="24"/>
        </w:rPr>
        <w:t>3</w:t>
      </w:r>
      <w:r>
        <w:rPr>
          <w:rFonts w:hint="eastAsia" w:ascii="Times New Roman" w:hAnsi="Times New Roman" w:cs="Times New Roman"/>
          <w:color w:val="000000"/>
          <w:kern w:val="2"/>
          <w:position w:val="-20"/>
          <w:sz w:val="24"/>
        </w:rPr>
        <w:t>.软件需支持对VR沉浸式环境参数的配置，提供对渲染机IP、渲染机屏幕分辨率、渲染机屏幕宽高和位置、追踪系统IP、追踪系统交互设备等参数的配置。提供追踪数据监控和验证功能，可实时显示眼镜和手柄的追踪位置和旋转状态，以及手柄按键状态。提供网络状态监控和验证功能，可实时显示多台渲染机之间以及追踪系统的网络连接状态。</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w:t>
      </w:r>
      <w:r>
        <w:rPr>
          <w:rFonts w:ascii="Times New Roman" w:hAnsi="Times New Roman" w:cs="Times New Roman"/>
          <w:color w:val="000000"/>
          <w:kern w:val="2"/>
          <w:position w:val="-20"/>
          <w:sz w:val="24"/>
        </w:rPr>
        <w:t>4</w:t>
      </w:r>
      <w:r>
        <w:rPr>
          <w:rFonts w:hint="eastAsia" w:ascii="Times New Roman" w:hAnsi="Times New Roman" w:cs="Times New Roman"/>
          <w:color w:val="000000"/>
          <w:kern w:val="2"/>
          <w:position w:val="-20"/>
          <w:sz w:val="24"/>
        </w:rPr>
        <w:t>.为了省去在软件启动后频繁地选择配置文件和项目案例，软件需支持配置文件和案例内容的历史纪录功能。为了方便多通道环境部署，避免用户在渲染机上繁琐地拷贝配置文件和项目案例，软件需支持主控端一键分发配置文件和案例内容，并体现分发进度。为了方便自主创作，软件需提供用于Unity开发的SDK，内置基于VR沉浸式环境交互方式的场景跳转、场景漫游、UI交互、物体抓取、双手旋转物体、双手缩放物体、人物瞬移等基本功能。提供开发者使用手册，包含快速入门和开发进阶等用于对开发者进行教学指导的说明。为了方便入门学习，软件需有开发示例Demo，Demo需包含场景跳转、VR手柄摇杆进行场景漫游、UI交互、物体抓取、双手旋转物体、双手缩放物体、VR手柄按键进行人物瞬移等功能。</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w:t>
      </w:r>
      <w:r>
        <w:rPr>
          <w:rFonts w:ascii="Times New Roman" w:hAnsi="Times New Roman" w:cs="Times New Roman"/>
          <w:color w:val="000000"/>
          <w:kern w:val="2"/>
          <w:position w:val="-20"/>
          <w:sz w:val="24"/>
        </w:rPr>
        <w:t>3</w:t>
      </w:r>
      <w:r>
        <w:rPr>
          <w:rFonts w:hint="eastAsia" w:ascii="Times New Roman" w:hAnsi="Times New Roman" w:cs="Times New Roman"/>
          <w:color w:val="000000"/>
          <w:kern w:val="2"/>
          <w:position w:val="-20"/>
          <w:sz w:val="24"/>
        </w:rPr>
        <w:t>.为了方便用户学习，需提供在线用户使用手册和开发者使用手册。</w:t>
      </w:r>
    </w:p>
    <w:p>
      <w:pPr>
        <w:adjustRightInd/>
        <w:spacing w:line="360" w:lineRule="auto"/>
        <w:ind w:left="648" w:leftChars="270"/>
        <w:jc w:val="both"/>
        <w:textAlignment w:val="auto"/>
        <w:rPr>
          <w:rFonts w:ascii="Times New Roman" w:hAnsi="Times New Roman" w:cs="Times New Roman"/>
          <w:color w:val="000000"/>
          <w:kern w:val="2"/>
          <w:position w:val="-20"/>
          <w:sz w:val="24"/>
        </w:rPr>
      </w:pPr>
      <w:r>
        <w:rPr>
          <w:rFonts w:hint="eastAsia" w:ascii="Times New Roman" w:hAnsi="Times New Roman" w:cs="Times New Roman"/>
          <w:color w:val="000000"/>
          <w:kern w:val="2"/>
          <w:position w:val="-20"/>
          <w:sz w:val="24"/>
        </w:rPr>
        <w:t>■</w:t>
      </w:r>
      <w:r>
        <w:rPr>
          <w:rFonts w:ascii="Times New Roman" w:hAnsi="Times New Roman" w:cs="Times New Roman"/>
          <w:color w:val="000000"/>
          <w:kern w:val="2"/>
          <w:position w:val="-20"/>
          <w:sz w:val="24"/>
        </w:rPr>
        <w:t>4</w:t>
      </w:r>
      <w:r>
        <w:rPr>
          <w:rFonts w:hint="eastAsia" w:ascii="Times New Roman" w:hAnsi="Times New Roman" w:cs="Times New Roman"/>
          <w:color w:val="000000"/>
          <w:kern w:val="2"/>
          <w:position w:val="-20"/>
          <w:sz w:val="24"/>
        </w:rPr>
        <w:t>.为满足我方现有的Unity、UE4制作的头盔内容，在不修改工程文件条件下，直接在大屏端进行正常的立体显示，并且支持原有的双手柄追踪交互。软件需支持部署在非大屏端的头盔版本VR内容在无头盔的情况下，可以传输到大屏上进行立体显示且可追踪交互。为了让用户在大屏上拥有沉浸式的体验，保留原有交互方式，可以利用手柄和眼镜在大屏上进行交互体验。为了方便用户在大屏上快速体验头显内容，软件需支持自动获取当前网段中所有在线主机的IP，也可以自定义输入IP。为满足用户在大屏上选择启动的内容，软件需支持自动获取已选择的主机上被添加到内容管理中的所有头显内容，可以任意选择一项内容进行一键启动和关闭，同时可以一键重启SteamVR。为了让用户在内容场景中漫游体验感更加友好，需提供可调节漫游相机速度、内容拉伸比例、推流帧数、允许遥感强制位移、允许遥感强制旋转等参数设置。</w:t>
      </w:r>
    </w:p>
    <w:p>
      <w:pPr>
        <w:keepNext/>
        <w:keepLines/>
        <w:widowControl w:val="0"/>
        <w:tabs>
          <w:tab w:val="left" w:pos="720"/>
        </w:tabs>
        <w:autoSpaceDE w:val="0"/>
        <w:autoSpaceDN w:val="0"/>
        <w:adjustRightInd w:val="0"/>
        <w:spacing w:before="360" w:after="120"/>
        <w:ind w:firstLine="482" w:firstLineChars="200"/>
        <w:jc w:val="left"/>
        <w:outlineLvl w:val="2"/>
        <w:rPr>
          <w:rFonts w:ascii="Times New Roman" w:hAnsi="Times New Roman" w:eastAsia="宋体" w:cs="Times New Roman"/>
          <w:b/>
          <w:color w:val="000000"/>
          <w:kern w:val="0"/>
          <w:sz w:val="24"/>
          <w:szCs w:val="20"/>
          <w:u w:val="none"/>
          <w:lang w:val="en-US" w:eastAsia="zh-CN" w:bidi="ar-SA"/>
        </w:rPr>
      </w:pPr>
      <w:bookmarkStart w:id="41" w:name="_Toc88839307"/>
      <w:r>
        <w:rPr>
          <w:rFonts w:hint="eastAsia" w:ascii="Times New Roman" w:hAnsi="Times New Roman" w:eastAsia="宋体" w:cs="Times New Roman"/>
          <w:b/>
          <w:color w:val="000000"/>
          <w:kern w:val="0"/>
          <w:sz w:val="24"/>
          <w:szCs w:val="20"/>
          <w:u w:val="none"/>
          <w:lang w:val="en-US" w:eastAsia="zh-CN" w:bidi="ar-SA"/>
        </w:rPr>
        <w:t>5</w:t>
      </w:r>
      <w:r>
        <w:rPr>
          <w:rFonts w:ascii="Times New Roman" w:hAnsi="Times New Roman" w:eastAsia="宋体" w:cs="Times New Roman"/>
          <w:b/>
          <w:color w:val="000000"/>
          <w:kern w:val="0"/>
          <w:sz w:val="24"/>
          <w:szCs w:val="20"/>
          <w:u w:val="none"/>
          <w:lang w:val="en-US" w:eastAsia="zh-CN" w:bidi="ar-SA"/>
        </w:rPr>
        <w:t>. 兼容性与后续成本</w:t>
      </w:r>
    </w:p>
    <w:p>
      <w:pPr>
        <w:adjustRightInd/>
        <w:spacing w:line="360" w:lineRule="auto"/>
        <w:ind w:left="410" w:leftChars="171" w:firstLine="480" w:firstLineChars="200"/>
        <w:jc w:val="both"/>
        <w:textAlignment w:val="auto"/>
        <w:rPr>
          <w:rFonts w:ascii="Times New Roman" w:hAnsi="Times New Roman" w:cs="Times New Roman"/>
          <w:color w:val="000000"/>
          <w:kern w:val="2"/>
          <w:sz w:val="24"/>
          <w:highlight w:val="yellow"/>
        </w:rPr>
      </w:pPr>
      <w:r>
        <w:rPr>
          <w:rFonts w:hint="eastAsia" w:ascii="Times New Roman" w:hAnsi="Times New Roman" w:cs="Times New Roman"/>
          <w:color w:val="000000"/>
          <w:kern w:val="2"/>
          <w:sz w:val="24"/>
        </w:rPr>
        <w:t>产品兼容性强，扩展性强，后续无需耗材及费用。</w:t>
      </w:r>
    </w:p>
    <w:bookmarkEnd w:id="41"/>
    <w:p>
      <w:pPr>
        <w:keepNext/>
        <w:keepLines/>
        <w:tabs>
          <w:tab w:val="left" w:pos="720"/>
        </w:tabs>
        <w:autoSpaceDE w:val="0"/>
        <w:autoSpaceDN w:val="0"/>
        <w:spacing w:before="360" w:after="120" w:line="360" w:lineRule="auto"/>
        <w:ind w:firstLine="482" w:firstLineChars="200"/>
        <w:outlineLvl w:val="2"/>
        <w:rPr>
          <w:rFonts w:ascii="Times New Roman" w:hAnsi="Times New Roman" w:cs="Times New Roman"/>
          <w:b/>
          <w:color w:val="000000"/>
          <w:szCs w:val="20"/>
        </w:rPr>
      </w:pPr>
      <w:r>
        <w:rPr>
          <w:rFonts w:ascii="Times New Roman" w:hAnsi="Times New Roman" w:cs="Times New Roman"/>
          <w:b/>
          <w:color w:val="000000"/>
          <w:szCs w:val="20"/>
        </w:rPr>
        <w:t>三．</w:t>
      </w:r>
      <w:r>
        <w:rPr>
          <w:rFonts w:hint="eastAsia" w:ascii="Times New Roman" w:hAnsi="Times New Roman" w:cs="Times New Roman"/>
          <w:b/>
          <w:color w:val="000000"/>
          <w:szCs w:val="20"/>
        </w:rPr>
        <w:t>商务要求</w:t>
      </w:r>
      <w:bookmarkEnd w:id="20"/>
    </w:p>
    <w:p>
      <w:pPr>
        <w:keepNext/>
        <w:keepLines/>
        <w:tabs>
          <w:tab w:val="left" w:pos="720"/>
        </w:tabs>
        <w:autoSpaceDE w:val="0"/>
        <w:autoSpaceDN w:val="0"/>
        <w:spacing w:before="360" w:after="120"/>
        <w:ind w:firstLine="482" w:firstLineChars="200"/>
        <w:outlineLvl w:val="2"/>
        <w:rPr>
          <w:rFonts w:ascii="Times New Roman" w:hAnsi="Times New Roman" w:cs="Times New Roman"/>
          <w:b/>
          <w:color w:val="000000"/>
          <w:szCs w:val="20"/>
          <w:u w:val="single"/>
        </w:rPr>
      </w:pPr>
      <w:bookmarkStart w:id="42" w:name="_Toc101180593"/>
      <w:r>
        <w:rPr>
          <w:rFonts w:ascii="Times New Roman" w:hAnsi="Times New Roman" w:cs="Times New Roman"/>
          <w:b/>
          <w:color w:val="000000"/>
          <w:szCs w:val="20"/>
        </w:rPr>
        <w:t>1．</w:t>
      </w:r>
      <w:r>
        <w:rPr>
          <w:rFonts w:hint="eastAsia" w:ascii="Times New Roman" w:hAnsi="Times New Roman" w:cs="Times New Roman"/>
          <w:b/>
          <w:color w:val="000000"/>
          <w:szCs w:val="20"/>
        </w:rPr>
        <w:t>交付</w:t>
      </w:r>
      <w:bookmarkEnd w:id="42"/>
    </w:p>
    <w:p>
      <w:pPr>
        <w:snapToGrid w:val="0"/>
        <w:spacing w:line="360" w:lineRule="auto"/>
        <w:ind w:firstLine="480" w:firstLineChars="200"/>
        <w:jc w:val="both"/>
        <w:textAlignment w:val="auto"/>
        <w:rPr>
          <w:rFonts w:ascii="Times New Roman" w:hAnsi="Times New Roman" w:cs="Times New Roman"/>
          <w:kern w:val="2"/>
        </w:rPr>
      </w:pPr>
      <w:r>
        <w:rPr>
          <w:rFonts w:hint="eastAsia" w:ascii="Times New Roman" w:hAnsi="Times New Roman" w:cs="Times New Roman"/>
          <w:kern w:val="2"/>
        </w:rPr>
        <w:t>交货时间：</w:t>
      </w:r>
      <w:r>
        <w:rPr>
          <w:rFonts w:hint="eastAsia" w:ascii="宋体" w:hAnsi="宋体" w:cs="Segoe UI Symbol"/>
          <w:kern w:val="2"/>
        </w:rPr>
        <w:t>合同签订后90天内。</w:t>
      </w:r>
    </w:p>
    <w:p>
      <w:pPr>
        <w:snapToGrid w:val="0"/>
        <w:spacing w:line="360" w:lineRule="auto"/>
        <w:ind w:firstLine="480" w:firstLineChars="200"/>
        <w:jc w:val="both"/>
        <w:textAlignment w:val="auto"/>
        <w:rPr>
          <w:rFonts w:ascii="Times New Roman" w:hAnsi="Times New Roman" w:cs="Times New Roman"/>
          <w:kern w:val="2"/>
          <w:sz w:val="21"/>
        </w:rPr>
      </w:pPr>
      <w:r>
        <w:rPr>
          <w:rFonts w:hint="eastAsia" w:ascii="Times New Roman" w:hAnsi="Times New Roman" w:cs="Times New Roman"/>
          <w:kern w:val="2"/>
        </w:rPr>
        <w:t>交货地点：</w:t>
      </w:r>
      <w:r>
        <w:rPr>
          <w:rFonts w:hint="eastAsia"/>
          <w:color w:val="000000"/>
        </w:rPr>
        <w:t>清华大学用户指定地点</w:t>
      </w:r>
    </w:p>
    <w:p>
      <w:pPr>
        <w:keepNext/>
        <w:keepLines/>
        <w:tabs>
          <w:tab w:val="left" w:pos="720"/>
        </w:tabs>
        <w:autoSpaceDE w:val="0"/>
        <w:autoSpaceDN w:val="0"/>
        <w:spacing w:before="360" w:after="120"/>
        <w:ind w:firstLine="482" w:firstLineChars="200"/>
        <w:outlineLvl w:val="2"/>
        <w:rPr>
          <w:rFonts w:ascii="Times New Roman" w:hAnsi="Times New Roman" w:cs="Times New Roman"/>
          <w:b/>
          <w:color w:val="000000"/>
          <w:szCs w:val="20"/>
          <w:u w:val="single"/>
        </w:rPr>
      </w:pPr>
      <w:bookmarkStart w:id="43" w:name="_Toc101180595"/>
      <w:r>
        <w:rPr>
          <w:rFonts w:hint="eastAsia" w:ascii="Times New Roman" w:hAnsi="Times New Roman" w:cs="Times New Roman"/>
          <w:b/>
          <w:color w:val="000000"/>
          <w:szCs w:val="20"/>
        </w:rPr>
        <w:t>2</w:t>
      </w:r>
      <w:r>
        <w:rPr>
          <w:rFonts w:ascii="Times New Roman" w:hAnsi="Times New Roman" w:cs="Times New Roman"/>
          <w:b/>
          <w:color w:val="000000"/>
          <w:szCs w:val="20"/>
        </w:rPr>
        <w:t>．</w:t>
      </w:r>
      <w:r>
        <w:rPr>
          <w:rFonts w:hint="eastAsia" w:ascii="Times New Roman" w:hAnsi="Times New Roman" w:cs="Times New Roman"/>
          <w:b/>
          <w:color w:val="000000"/>
          <w:szCs w:val="20"/>
        </w:rPr>
        <w:t>验收</w:t>
      </w:r>
      <w:bookmarkEnd w:id="43"/>
    </w:p>
    <w:p>
      <w:pPr>
        <w:widowControl/>
        <w:adjustRightInd/>
        <w:spacing w:line="360" w:lineRule="auto"/>
        <w:ind w:left="909" w:leftChars="202" w:hanging="424" w:hangingChars="177"/>
        <w:jc w:val="both"/>
        <w:textAlignment w:val="auto"/>
        <w:rPr>
          <w:rFonts w:ascii="Times New Roman" w:hAnsi="Times New Roman" w:cs="Times New Roman"/>
          <w:kern w:val="2"/>
        </w:rPr>
      </w:pPr>
      <w:r>
        <w:rPr>
          <w:rFonts w:ascii="Times New Roman" w:hAnsi="Times New Roman" w:cs="Times New Roman"/>
          <w:kern w:val="2"/>
        </w:rPr>
        <w:t>除非在技术规格中另有说明，所有仪器、设备和系统按下列要求进行验收：</w:t>
      </w:r>
    </w:p>
    <w:p>
      <w:pPr>
        <w:widowControl/>
        <w:numPr>
          <w:ilvl w:val="0"/>
          <w:numId w:val="6"/>
        </w:numPr>
        <w:adjustRightInd/>
        <w:spacing w:line="360" w:lineRule="auto"/>
        <w:jc w:val="both"/>
        <w:textAlignment w:val="auto"/>
        <w:rPr>
          <w:rFonts w:ascii="Times New Roman" w:hAnsi="Times New Roman" w:cs="Times New Roman"/>
          <w:kern w:val="2"/>
        </w:rPr>
      </w:pPr>
      <w:r>
        <w:rPr>
          <w:rFonts w:ascii="Times New Roman" w:hAnsi="Times New Roman" w:cs="Times New Roman"/>
          <w:kern w:val="2"/>
        </w:rPr>
        <w:t>仪器设备运抵安装现场后，由采购人、供货方或中标人及相关人员依国家有关标准、合同及有关附件要求共同开箱验收，验收时发现短缺、破损，采购人有权要求供货方或中标人负责更换。</w:t>
      </w:r>
    </w:p>
    <w:p>
      <w:pPr>
        <w:widowControl/>
        <w:numPr>
          <w:ilvl w:val="0"/>
          <w:numId w:val="6"/>
        </w:numPr>
        <w:adjustRightInd/>
        <w:spacing w:line="360" w:lineRule="auto"/>
        <w:jc w:val="both"/>
        <w:textAlignment w:val="auto"/>
        <w:rPr>
          <w:rFonts w:ascii="Times New Roman" w:hAnsi="Times New Roman" w:cs="Times New Roman"/>
          <w:kern w:val="2"/>
        </w:rPr>
      </w:pPr>
      <w:r>
        <w:rPr>
          <w:rFonts w:ascii="Times New Roman" w:hAnsi="Times New Roman" w:cs="Times New Roman"/>
          <w:kern w:val="2"/>
        </w:rPr>
        <w:t>验收完毕由采购人代表及供货方或中标人代表在验收报告上签字，如供货方或中标人届时不指派人员参与，则验收结果应以采购人的验收报告为最终验收结果。</w:t>
      </w:r>
    </w:p>
    <w:p>
      <w:pPr>
        <w:widowControl/>
        <w:numPr>
          <w:ilvl w:val="0"/>
          <w:numId w:val="6"/>
        </w:numPr>
        <w:adjustRightInd/>
        <w:spacing w:line="360" w:lineRule="auto"/>
        <w:jc w:val="both"/>
        <w:textAlignment w:val="auto"/>
        <w:rPr>
          <w:rFonts w:ascii="Times New Roman" w:hAnsi="Times New Roman" w:cs="Times New Roman"/>
          <w:kern w:val="2"/>
        </w:rPr>
      </w:pPr>
      <w:r>
        <w:rPr>
          <w:rFonts w:ascii="Times New Roman" w:hAnsi="Times New Roman" w:cs="Times New Roman"/>
          <w:kern w:val="2"/>
        </w:rPr>
        <w:t>验收标准以中标人的投标文件中所列的指标为准（该指标应不低于招标文件所要求的指标）。验收时如发现中标人在投标时存在虚假指标响应情况，采购人将取消合同并依法追究中标人的责任，中标人必须承担由此给采购人带来的一切经济损失。</w:t>
      </w:r>
    </w:p>
    <w:tbl>
      <w:tblPr>
        <w:tblStyle w:val="26"/>
        <w:tblW w:w="9867" w:type="dxa"/>
        <w:tblInd w:w="-256"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77"/>
        <w:gridCol w:w="2693"/>
        <w:gridCol w:w="599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177" w:type="dxa"/>
            <w:vAlign w:val="center"/>
          </w:tcPr>
          <w:p>
            <w:pPr>
              <w:snapToGrid w:val="0"/>
              <w:spacing w:line="360" w:lineRule="auto"/>
              <w:jc w:val="center"/>
              <w:rPr>
                <w:rFonts w:ascii="Times New Roman" w:hAnsi="Times New Roman"/>
              </w:rPr>
            </w:pPr>
            <w:r>
              <w:rPr>
                <w:rFonts w:hint="eastAsia" w:ascii="Times New Roman" w:hAnsi="Times New Roman"/>
              </w:rPr>
              <w:t>序号</w:t>
            </w:r>
          </w:p>
        </w:tc>
        <w:tc>
          <w:tcPr>
            <w:tcW w:w="2693" w:type="dxa"/>
            <w:vAlign w:val="center"/>
          </w:tcPr>
          <w:p>
            <w:pPr>
              <w:snapToGrid w:val="0"/>
              <w:spacing w:line="360" w:lineRule="auto"/>
              <w:jc w:val="center"/>
              <w:rPr>
                <w:rFonts w:ascii="Times New Roman" w:hAnsi="Times New Roman"/>
              </w:rPr>
            </w:pPr>
            <w:r>
              <w:rPr>
                <w:rFonts w:hint="eastAsia" w:ascii="Times New Roman" w:hAnsi="Times New Roman"/>
              </w:rPr>
              <w:t>验收内容</w:t>
            </w:r>
          </w:p>
        </w:tc>
        <w:tc>
          <w:tcPr>
            <w:tcW w:w="5997" w:type="dxa"/>
            <w:vAlign w:val="center"/>
          </w:tcPr>
          <w:p>
            <w:pPr>
              <w:snapToGrid w:val="0"/>
              <w:spacing w:line="240" w:lineRule="auto"/>
              <w:jc w:val="center"/>
              <w:rPr>
                <w:rFonts w:ascii="Times New Roman" w:hAnsi="Times New Roman"/>
              </w:rPr>
            </w:pPr>
            <w:r>
              <w:rPr>
                <w:rFonts w:hint="eastAsia" w:ascii="Times New Roman" w:hAnsi="Times New Roman"/>
              </w:rPr>
              <w:t>验收标准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177" w:type="dxa"/>
            <w:vAlign w:val="center"/>
          </w:tcPr>
          <w:p>
            <w:pPr>
              <w:snapToGrid w:val="0"/>
              <w:spacing w:line="360" w:lineRule="auto"/>
              <w:jc w:val="center"/>
              <w:rPr>
                <w:rFonts w:ascii="Times New Roman" w:hAnsi="Times New Roman"/>
              </w:rPr>
            </w:pPr>
            <w:r>
              <w:rPr>
                <w:rFonts w:hint="eastAsia" w:ascii="Times New Roman" w:hAnsi="Times New Roman"/>
              </w:rPr>
              <w:t>1</w:t>
            </w:r>
          </w:p>
        </w:tc>
        <w:tc>
          <w:tcPr>
            <w:tcW w:w="2693" w:type="dxa"/>
            <w:vAlign w:val="center"/>
          </w:tcPr>
          <w:p>
            <w:pPr>
              <w:adjustRightInd w:val="0"/>
              <w:snapToGrid w:val="0"/>
              <w:spacing w:line="460" w:lineRule="exact"/>
              <w:jc w:val="center"/>
              <w:rPr>
                <w:rFonts w:ascii="Times New Roman" w:hAnsi="Times New Roman"/>
              </w:rPr>
            </w:pPr>
            <w:r>
              <w:rPr>
                <w:sz w:val="24"/>
              </w:rPr>
              <w:t>VR</w:t>
            </w:r>
            <w:r>
              <w:rPr>
                <w:rFonts w:hint="eastAsia"/>
                <w:sz w:val="24"/>
              </w:rPr>
              <w:t>沉浸式病理虚拟仿真教学系统</w:t>
            </w:r>
          </w:p>
        </w:tc>
        <w:tc>
          <w:tcPr>
            <w:tcW w:w="5997" w:type="dxa"/>
            <w:vAlign w:val="center"/>
          </w:tcPr>
          <w:p>
            <w:pPr>
              <w:adjustRightInd w:val="0"/>
              <w:snapToGrid w:val="0"/>
              <w:spacing w:line="460" w:lineRule="exact"/>
              <w:jc w:val="center"/>
              <w:rPr>
                <w:rFonts w:ascii="Times New Roman" w:hAnsi="Times New Roman"/>
              </w:rPr>
            </w:pPr>
            <w:r>
              <w:rPr>
                <w:rFonts w:hint="eastAsia" w:ascii="Times New Roman" w:hAnsi="Times New Roman"/>
                <w:sz w:val="24"/>
              </w:rPr>
              <w:t>按招标参数和细节进行验收</w:t>
            </w:r>
          </w:p>
        </w:tc>
      </w:tr>
    </w:tbl>
    <w:p>
      <w:pPr>
        <w:pStyle w:val="2"/>
      </w:pPr>
    </w:p>
    <w:p>
      <w:pPr>
        <w:keepNext/>
        <w:keepLines/>
        <w:tabs>
          <w:tab w:val="left" w:pos="720"/>
        </w:tabs>
        <w:autoSpaceDE w:val="0"/>
        <w:autoSpaceDN w:val="0"/>
        <w:spacing w:before="360" w:after="120"/>
        <w:ind w:firstLine="482" w:firstLineChars="200"/>
        <w:outlineLvl w:val="2"/>
        <w:rPr>
          <w:rFonts w:ascii="Times New Roman" w:hAnsi="Times New Roman" w:cs="Times New Roman"/>
          <w:b/>
          <w:color w:val="000000"/>
          <w:szCs w:val="20"/>
          <w:u w:val="single"/>
        </w:rPr>
      </w:pPr>
      <w:bookmarkStart w:id="44" w:name="_Toc101180596"/>
      <w:r>
        <w:rPr>
          <w:rFonts w:hint="eastAsia" w:ascii="Times New Roman" w:hAnsi="Times New Roman" w:cs="Times New Roman"/>
          <w:b/>
          <w:color w:val="000000"/>
          <w:szCs w:val="20"/>
        </w:rPr>
        <w:t>3</w:t>
      </w:r>
      <w:r>
        <w:rPr>
          <w:rFonts w:ascii="Times New Roman" w:hAnsi="Times New Roman" w:cs="Times New Roman"/>
          <w:b/>
          <w:color w:val="000000"/>
          <w:szCs w:val="20"/>
        </w:rPr>
        <w:t>．</w:t>
      </w:r>
      <w:r>
        <w:rPr>
          <w:rFonts w:hint="eastAsia" w:ascii="Times New Roman" w:hAnsi="Times New Roman" w:cs="Times New Roman"/>
          <w:b/>
          <w:color w:val="000000"/>
          <w:szCs w:val="20"/>
        </w:rPr>
        <w:t>售后服务</w:t>
      </w:r>
      <w:bookmarkEnd w:id="44"/>
    </w:p>
    <w:bookmarkEnd w:id="21"/>
    <w:p>
      <w:pPr>
        <w:snapToGrid w:val="0"/>
        <w:spacing w:line="460" w:lineRule="exact"/>
        <w:ind w:firstLine="480" w:firstLineChars="200"/>
      </w:pPr>
      <w:r>
        <w:rPr>
          <w:rFonts w:hint="eastAsia"/>
        </w:rPr>
        <w:t>（1）</w:t>
      </w:r>
      <w:r>
        <w:rPr>
          <w:rFonts w:hint="eastAsia"/>
          <w:sz w:val="24"/>
        </w:rPr>
        <w:t>合同货物整体质量保证期为验收合格之日起</w:t>
      </w:r>
      <w:r>
        <w:rPr>
          <w:sz w:val="24"/>
        </w:rPr>
        <w:softHyphen/>
      </w:r>
      <w:r>
        <w:rPr>
          <w:sz w:val="24"/>
        </w:rPr>
        <w:softHyphen/>
      </w:r>
      <w:r>
        <w:rPr>
          <w:sz w:val="24"/>
        </w:rPr>
        <w:softHyphen/>
      </w:r>
      <w:r>
        <w:rPr>
          <w:sz w:val="24"/>
          <w:u w:val="single"/>
        </w:rPr>
        <w:t xml:space="preserve"> </w:t>
      </w:r>
      <w:r>
        <w:rPr>
          <w:rFonts w:hint="eastAsia"/>
          <w:sz w:val="24"/>
          <w:u w:val="single"/>
        </w:rPr>
        <w:t>：软件产品36个月/硬件</w:t>
      </w:r>
      <w:r>
        <w:rPr>
          <w:sz w:val="24"/>
          <w:u w:val="single"/>
        </w:rPr>
        <w:t>12</w:t>
      </w:r>
      <w:r>
        <w:rPr>
          <w:rFonts w:hint="eastAsia"/>
          <w:sz w:val="24"/>
        </w:rPr>
        <w:t>个月。如果对合同货物中关键部件的质量保证期有特殊要求的，双方可以在补充条款中约定。</w:t>
      </w:r>
    </w:p>
    <w:p>
      <w:pPr>
        <w:spacing w:line="360" w:lineRule="auto"/>
        <w:ind w:firstLine="480" w:firstLineChars="200"/>
        <w:rPr>
          <w:rFonts w:ascii="Times New Roman" w:hAnsi="Times New Roman"/>
        </w:rPr>
      </w:pPr>
      <w:bookmarkStart w:id="45" w:name="_Hlk96337424"/>
      <w:r>
        <w:rPr>
          <w:rFonts w:hint="eastAsia" w:ascii="Times New Roman" w:hAnsi="Times New Roman"/>
        </w:rPr>
        <w:t>（2）</w:t>
      </w:r>
      <w:r>
        <w:rPr>
          <w:rFonts w:ascii="Times New Roman" w:hAnsi="Times New Roman"/>
        </w:rPr>
        <w:t>免费提供原厂技术人员对采购人的操作技术培训和相关技术资料。培训时间不少于</w:t>
      </w:r>
      <w:r>
        <w:rPr>
          <w:rFonts w:hint="eastAsia" w:ascii="Times New Roman" w:hAnsi="Times New Roman"/>
          <w:u w:val="single"/>
          <w:lang w:val="en-US" w:eastAsia="zh-CN"/>
        </w:rPr>
        <w:t>5</w:t>
      </w:r>
      <w:r>
        <w:rPr>
          <w:rFonts w:ascii="Times New Roman" w:hAnsi="Times New Roman"/>
        </w:rPr>
        <w:t xml:space="preserve"> 天。</w:t>
      </w:r>
    </w:p>
    <w:p>
      <w:pPr>
        <w:spacing w:line="360" w:lineRule="auto"/>
        <w:ind w:firstLine="480" w:firstLineChars="200"/>
        <w:rPr>
          <w:rFonts w:ascii="Times New Roman" w:hAnsi="Times New Roman"/>
        </w:rPr>
      </w:pPr>
      <w:r>
        <w:rPr>
          <w:rFonts w:hint="eastAsia" w:ascii="Times New Roman" w:hAnsi="Times New Roman"/>
        </w:rPr>
        <w:t>（3）</w:t>
      </w:r>
      <w:r>
        <w:rPr>
          <w:rFonts w:ascii="Times New Roman" w:hAnsi="Times New Roman"/>
        </w:rPr>
        <w:t>供货方应为质量保证期服务配备充足的技术人员、工具和备件并保证提供的联系方式畅通。供货方应在收到采购人通知后</w:t>
      </w:r>
      <w:r>
        <w:rPr>
          <w:rFonts w:ascii="Times New Roman" w:hAnsi="Times New Roman"/>
          <w:u w:val="single"/>
        </w:rPr>
        <w:t>24</w:t>
      </w:r>
      <w:r>
        <w:rPr>
          <w:rFonts w:ascii="Times New Roman" w:hAnsi="Times New Roman"/>
        </w:rPr>
        <w:t>小时内作出响应，如需供货方到合同货物现场，供货方应在收到采购人通知后</w:t>
      </w:r>
      <w:r>
        <w:rPr>
          <w:rFonts w:ascii="Times New Roman" w:hAnsi="Times New Roman"/>
          <w:u w:val="single"/>
        </w:rPr>
        <w:t>48</w:t>
      </w:r>
      <w:r>
        <w:rPr>
          <w:rFonts w:ascii="Times New Roman" w:hAnsi="Times New Roman"/>
        </w:rPr>
        <w:t>小时内到达，并在到达后</w:t>
      </w:r>
      <w:r>
        <w:rPr>
          <w:rFonts w:ascii="Times New Roman" w:hAnsi="Times New Roman"/>
          <w:u w:val="single"/>
        </w:rPr>
        <w:t>7</w:t>
      </w:r>
      <w:r>
        <w:rPr>
          <w:rFonts w:ascii="Times New Roman" w:hAnsi="Times New Roman"/>
        </w:rPr>
        <w:t>日内解决合同货物的故障（重大故障除外）。如果供货方未在上述时间内作出响应，则采购人有权自行或委托他人解决相关问题或查找和解决合同货物的故障，供货方应承担由此发生的全部费用。</w:t>
      </w:r>
    </w:p>
    <w:p>
      <w:pPr>
        <w:widowControl/>
        <w:adjustRightInd/>
        <w:spacing w:line="360" w:lineRule="auto"/>
        <w:ind w:firstLine="480" w:firstLineChars="200"/>
        <w:jc w:val="both"/>
        <w:textAlignment w:val="auto"/>
        <w:rPr>
          <w:rFonts w:ascii="Times New Roman" w:hAnsi="Times New Roman" w:cs="Times New Roman"/>
          <w:kern w:val="2"/>
        </w:rPr>
      </w:pPr>
      <w:r>
        <w:rPr>
          <w:rFonts w:hint="eastAsia" w:ascii="Times New Roman" w:hAnsi="Times New Roman"/>
        </w:rPr>
        <w:t>（4）</w:t>
      </w:r>
      <w:r>
        <w:rPr>
          <w:rFonts w:ascii="Times New Roman" w:hAnsi="Times New Roman"/>
        </w:rPr>
        <w:t>供货方在</w:t>
      </w:r>
      <w:r>
        <w:rPr>
          <w:rFonts w:hint="eastAsia"/>
        </w:rPr>
        <w:t>质量保证期</w:t>
      </w:r>
      <w:r>
        <w:rPr>
          <w:rFonts w:ascii="Times New Roman" w:hAnsi="Times New Roman"/>
        </w:rPr>
        <w:t>内应对设备进行定期巡检。</w:t>
      </w:r>
      <w:bookmarkEnd w:id="45"/>
    </w:p>
    <w:bookmarkEnd w:id="22"/>
    <w:p>
      <w:pPr>
        <w:keepNext/>
        <w:keepLines/>
        <w:tabs>
          <w:tab w:val="left" w:pos="720"/>
        </w:tabs>
        <w:autoSpaceDE w:val="0"/>
        <w:autoSpaceDN w:val="0"/>
        <w:spacing w:before="360" w:after="120"/>
        <w:ind w:firstLine="482" w:firstLineChars="200"/>
        <w:rPr>
          <w:rFonts w:ascii="宋体" w:hAnsi="宋体" w:cs="宋体"/>
          <w:b/>
          <w:szCs w:val="20"/>
        </w:rPr>
      </w:pPr>
      <w:r>
        <w:rPr>
          <w:rFonts w:hint="eastAsia" w:ascii="宋体" w:hAnsi="宋体" w:cs="宋体"/>
          <w:b/>
          <w:szCs w:val="20"/>
        </w:rPr>
        <w:br w:type="page"/>
      </w:r>
    </w:p>
    <w:p>
      <w:pPr>
        <w:keepNext/>
        <w:keepLines/>
        <w:snapToGrid w:val="0"/>
        <w:spacing w:before="340" w:after="330" w:line="500" w:lineRule="exact"/>
        <w:jc w:val="center"/>
        <w:outlineLvl w:val="0"/>
        <w:rPr>
          <w:rFonts w:ascii="宋体" w:hAnsi="宋体" w:cs="宋体"/>
          <w:kern w:val="44"/>
          <w:sz w:val="44"/>
          <w:szCs w:val="20"/>
        </w:rPr>
      </w:pPr>
      <w:bookmarkStart w:id="46" w:name="_Toc13043"/>
      <w:bookmarkStart w:id="47" w:name="_Toc15735"/>
      <w:bookmarkStart w:id="48" w:name="_Toc16481"/>
      <w:bookmarkStart w:id="49" w:name="_Toc28453"/>
      <w:bookmarkStart w:id="50" w:name="_Toc95326678"/>
      <w:bookmarkStart w:id="51" w:name="_Toc86156770"/>
      <w:r>
        <w:rPr>
          <w:rFonts w:hint="eastAsia" w:ascii="宋体" w:hAnsi="宋体" w:cs="宋体"/>
          <w:kern w:val="44"/>
          <w:sz w:val="44"/>
          <w:szCs w:val="20"/>
        </w:rPr>
        <w:t>第四章 评标方法和评标标准</w:t>
      </w:r>
      <w:bookmarkEnd w:id="46"/>
    </w:p>
    <w:p>
      <w:pPr>
        <w:keepNext/>
        <w:keepLines/>
        <w:spacing w:line="360" w:lineRule="auto"/>
        <w:ind w:left="720"/>
        <w:jc w:val="both"/>
        <w:outlineLvl w:val="0"/>
        <w:rPr>
          <w:rFonts w:ascii="宋体" w:hAnsi="宋体" w:cs="宋体"/>
          <w:b/>
          <w:bCs/>
          <w:kern w:val="44"/>
          <w:sz w:val="28"/>
          <w:szCs w:val="28"/>
        </w:rPr>
      </w:pPr>
      <w:bookmarkStart w:id="52" w:name="_Toc21434"/>
      <w:r>
        <w:rPr>
          <w:rFonts w:hint="eastAsia" w:ascii="宋体" w:hAnsi="宋体" w:cs="宋体"/>
          <w:b/>
          <w:bCs/>
          <w:kern w:val="44"/>
          <w:sz w:val="28"/>
          <w:szCs w:val="28"/>
        </w:rPr>
        <w:t>一、评标方法</w:t>
      </w:r>
      <w:bookmarkEnd w:id="47"/>
      <w:bookmarkEnd w:id="48"/>
      <w:bookmarkEnd w:id="49"/>
      <w:bookmarkEnd w:id="50"/>
      <w:bookmarkEnd w:id="51"/>
      <w:bookmarkEnd w:id="52"/>
    </w:p>
    <w:p>
      <w:pPr>
        <w:snapToGrid w:val="0"/>
        <w:spacing w:line="400" w:lineRule="exact"/>
        <w:ind w:firstLine="424" w:firstLineChars="177"/>
        <w:jc w:val="both"/>
        <w:rPr>
          <w:rFonts w:ascii="宋体" w:hAnsi="宋体" w:cs="宋体"/>
        </w:rPr>
      </w:pPr>
      <w:r>
        <w:rPr>
          <w:rFonts w:hint="eastAsia" w:ascii="宋体" w:hAnsi="宋体" w:cs="宋体"/>
        </w:rPr>
        <w:t>本次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snapToGrid w:val="0"/>
        <w:spacing w:line="400" w:lineRule="exact"/>
        <w:ind w:firstLine="424" w:firstLineChars="177"/>
        <w:jc w:val="both"/>
        <w:rPr>
          <w:rFonts w:ascii="宋体" w:hAnsi="宋体" w:cs="宋体"/>
        </w:rPr>
      </w:pPr>
      <w:r>
        <w:rPr>
          <w:rFonts w:hint="eastAsia" w:ascii="宋体" w:hAnsi="宋体" w:cs="宋体"/>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snapToGrid w:val="0"/>
        <w:spacing w:line="400" w:lineRule="exact"/>
        <w:ind w:firstLine="424" w:firstLineChars="177"/>
        <w:jc w:val="both"/>
        <w:rPr>
          <w:rFonts w:ascii="宋体" w:hAnsi="宋体" w:cs="宋体"/>
        </w:rPr>
      </w:pPr>
      <w:r>
        <w:rPr>
          <w:rFonts w:hint="eastAsia" w:ascii="宋体" w:hAnsi="宋体" w:cs="宋体"/>
        </w:rPr>
        <w:t>非单一产品采购项目的核心产品，多家投标人提供的核心产品品牌相同的，按前款规定处理。</w:t>
      </w:r>
    </w:p>
    <w:p>
      <w:pPr>
        <w:pStyle w:val="21"/>
        <w:ind w:firstLine="482" w:firstLineChars="200"/>
        <w:rPr>
          <w:b/>
          <w:bCs/>
        </w:rPr>
      </w:pPr>
      <w:r>
        <w:rPr>
          <w:rFonts w:hint="eastAsia"/>
          <w:b/>
          <w:bCs/>
        </w:rPr>
        <w:t>本项目为核心产品为</w:t>
      </w:r>
      <w:r>
        <w:rPr>
          <w:rFonts w:hint="eastAsia" w:ascii="Times New Roman" w:hAnsi="Times New Roman" w:cs="Times New Roman"/>
          <w:color w:val="000000"/>
          <w:kern w:val="2"/>
          <w:sz w:val="24"/>
        </w:rPr>
        <w:t>病理虚拟仿真实验操作(服务器端）</w:t>
      </w:r>
      <w:r>
        <w:rPr>
          <w:rFonts w:hint="eastAsia"/>
          <w:b/>
          <w:bCs/>
        </w:rPr>
        <w:t>。</w:t>
      </w:r>
    </w:p>
    <w:p>
      <w:pPr>
        <w:pStyle w:val="21"/>
        <w:ind w:firstLine="482" w:firstLineChars="200"/>
        <w:rPr>
          <w:b/>
          <w:bCs/>
        </w:rPr>
      </w:pPr>
    </w:p>
    <w:p>
      <w:pPr>
        <w:keepNext/>
        <w:keepLines/>
        <w:spacing w:line="360" w:lineRule="auto"/>
        <w:ind w:left="720"/>
        <w:jc w:val="both"/>
        <w:outlineLvl w:val="0"/>
        <w:rPr>
          <w:rFonts w:ascii="宋体" w:hAnsi="宋体" w:cs="宋体"/>
          <w:b/>
          <w:bCs/>
          <w:kern w:val="44"/>
          <w:sz w:val="28"/>
          <w:szCs w:val="28"/>
        </w:rPr>
      </w:pPr>
      <w:bookmarkStart w:id="53" w:name="_Toc20686"/>
      <w:bookmarkStart w:id="54" w:name="_Toc95326679"/>
      <w:bookmarkStart w:id="55" w:name="_Toc29771"/>
      <w:bookmarkStart w:id="56" w:name="_Toc1280"/>
      <w:bookmarkStart w:id="57" w:name="_Toc86156771"/>
      <w:bookmarkStart w:id="58" w:name="_Toc8762"/>
      <w:r>
        <w:rPr>
          <w:rFonts w:hint="eastAsia" w:ascii="宋体" w:hAnsi="宋体" w:cs="宋体"/>
          <w:b/>
          <w:bCs/>
          <w:kern w:val="44"/>
          <w:sz w:val="28"/>
          <w:szCs w:val="28"/>
        </w:rPr>
        <w:t>二、评标标准</w:t>
      </w:r>
      <w:bookmarkEnd w:id="53"/>
      <w:bookmarkEnd w:id="54"/>
      <w:bookmarkEnd w:id="55"/>
      <w:bookmarkEnd w:id="56"/>
      <w:bookmarkEnd w:id="57"/>
      <w:bookmarkEnd w:id="58"/>
    </w:p>
    <w:p>
      <w:pPr>
        <w:snapToGrid w:val="0"/>
        <w:spacing w:line="400" w:lineRule="exact"/>
        <w:ind w:firstLine="424" w:firstLineChars="177"/>
        <w:jc w:val="center"/>
        <w:rPr>
          <w:rFonts w:ascii="宋体" w:hAnsi="宋体" w:cs="宋体"/>
        </w:rPr>
      </w:pPr>
      <w:r>
        <w:rPr>
          <w:rFonts w:hint="eastAsia" w:ascii="宋体" w:hAnsi="宋体" w:cs="宋体"/>
        </w:rPr>
        <w:t>第1包评分标准</w:t>
      </w:r>
    </w:p>
    <w:tbl>
      <w:tblPr>
        <w:tblStyle w:val="26"/>
        <w:tblW w:w="4933" w:type="pct"/>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484"/>
        <w:gridCol w:w="6686"/>
        <w:gridCol w:w="8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23"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spacing w:line="312" w:lineRule="auto"/>
              <w:jc w:val="center"/>
              <w:rPr>
                <w:b/>
                <w:sz w:val="24"/>
              </w:rPr>
            </w:pPr>
            <w:bookmarkStart w:id="59" w:name="_Hlk55479156"/>
            <w:r>
              <w:rPr>
                <w:b/>
                <w:sz w:val="24"/>
              </w:rPr>
              <w:t>评分因素</w:t>
            </w:r>
          </w:p>
        </w:tc>
        <w:tc>
          <w:tcPr>
            <w:tcW w:w="370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spacing w:line="312" w:lineRule="auto"/>
              <w:ind w:left="146" w:leftChars="61"/>
              <w:jc w:val="center"/>
              <w:rPr>
                <w:b/>
                <w:sz w:val="24"/>
              </w:rPr>
            </w:pPr>
            <w:r>
              <w:rPr>
                <w:b/>
                <w:sz w:val="24"/>
              </w:rPr>
              <w:t>评分说明</w:t>
            </w:r>
          </w:p>
        </w:tc>
        <w:tc>
          <w:tcPr>
            <w:tcW w:w="470" w:type="pct"/>
            <w:tcBorders>
              <w:top w:val="single" w:color="auto" w:sz="4" w:space="0"/>
              <w:left w:val="single" w:color="auto" w:sz="4" w:space="0"/>
              <w:bottom w:val="single" w:color="auto" w:sz="4" w:space="0"/>
              <w:right w:val="single" w:color="auto" w:sz="4" w:space="0"/>
            </w:tcBorders>
          </w:tcPr>
          <w:p>
            <w:pPr>
              <w:spacing w:line="312" w:lineRule="auto"/>
              <w:ind w:leftChars="-1" w:hanging="2" w:hangingChars="1"/>
              <w:jc w:val="center"/>
              <w:rPr>
                <w:sz w:val="24"/>
              </w:rPr>
            </w:pPr>
            <w:r>
              <w:rPr>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23"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spacing w:line="312" w:lineRule="auto"/>
              <w:jc w:val="center"/>
              <w:rPr>
                <w:b/>
                <w:sz w:val="24"/>
              </w:rPr>
            </w:pPr>
            <w:r>
              <w:rPr>
                <w:b/>
                <w:sz w:val="24"/>
              </w:rPr>
              <w:t>投标报价</w:t>
            </w:r>
          </w:p>
        </w:tc>
        <w:tc>
          <w:tcPr>
            <w:tcW w:w="370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tcPr>
          <w:p>
            <w:pPr>
              <w:widowControl/>
              <w:spacing w:before="156" w:beforeLines="50" w:after="156" w:afterLines="50" w:line="312" w:lineRule="auto"/>
              <w:ind w:right="182" w:rightChars="76"/>
              <w:jc w:val="left"/>
              <w:rPr>
                <w:sz w:val="24"/>
              </w:rPr>
            </w:pPr>
            <w:r>
              <w:rPr>
                <w:sz w:val="24"/>
              </w:rPr>
              <w:t>以符合招标文件要求的最低投标报价为基准价，基准价得满分30分，其它投标人的投标报价得分＝（评标基准价/该投标人的投标价格）×30。</w:t>
            </w:r>
          </w:p>
        </w:tc>
        <w:tc>
          <w:tcPr>
            <w:tcW w:w="470" w:type="pct"/>
            <w:tcBorders>
              <w:top w:val="single" w:color="auto" w:sz="4" w:space="0"/>
              <w:left w:val="single" w:color="auto" w:sz="4" w:space="0"/>
              <w:bottom w:val="single" w:color="auto" w:sz="4" w:space="0"/>
              <w:right w:val="single" w:color="auto" w:sz="4" w:space="0"/>
            </w:tcBorders>
            <w:vAlign w:val="center"/>
          </w:tcPr>
          <w:p>
            <w:pPr>
              <w:widowControl/>
              <w:spacing w:line="312" w:lineRule="auto"/>
              <w:ind w:leftChars="-1" w:hanging="2" w:hangingChars="1"/>
              <w:jc w:val="center"/>
              <w:rPr>
                <w:b/>
                <w:sz w:val="24"/>
              </w:rPr>
            </w:pPr>
            <w:r>
              <w:rPr>
                <w:b/>
                <w:sz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23" w:type="pct"/>
            <w:tcBorders>
              <w:top w:val="single" w:color="auto" w:sz="4" w:space="0"/>
              <w:left w:val="single" w:color="auto" w:sz="4" w:space="0"/>
              <w:right w:val="single" w:color="auto" w:sz="4" w:space="0"/>
            </w:tcBorders>
            <w:tcMar>
              <w:top w:w="15" w:type="dxa"/>
              <w:left w:w="15" w:type="dxa"/>
              <w:bottom w:w="0" w:type="dxa"/>
              <w:right w:w="15" w:type="dxa"/>
            </w:tcMar>
            <w:vAlign w:val="center"/>
          </w:tcPr>
          <w:p>
            <w:pPr>
              <w:spacing w:line="312" w:lineRule="auto"/>
              <w:jc w:val="center"/>
              <w:rPr>
                <w:b/>
                <w:sz w:val="24"/>
              </w:rPr>
            </w:pPr>
            <w:r>
              <w:rPr>
                <w:b/>
                <w:sz w:val="24"/>
              </w:rPr>
              <w:t>技术性能</w:t>
            </w:r>
          </w:p>
        </w:tc>
        <w:tc>
          <w:tcPr>
            <w:tcW w:w="370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tcPr>
          <w:p>
            <w:pPr>
              <w:widowControl/>
              <w:adjustRightInd w:val="0"/>
              <w:spacing w:line="271" w:lineRule="auto"/>
              <w:ind w:left="146" w:leftChars="61" w:right="182" w:rightChars="76"/>
              <w:jc w:val="left"/>
              <w:textAlignment w:val="baseline"/>
              <w:rPr>
                <w:rFonts w:ascii="宋体" w:hAnsi="宋体"/>
                <w:sz w:val="24"/>
              </w:rPr>
            </w:pPr>
            <w:r>
              <w:rPr>
                <w:rFonts w:hint="eastAsia" w:ascii="宋体" w:hAnsi="宋体"/>
                <w:sz w:val="24"/>
              </w:rPr>
              <w:t>根据投标文件对“4．技术要求”中的响应进行评审：</w:t>
            </w:r>
          </w:p>
          <w:p>
            <w:pPr>
              <w:widowControl/>
              <w:adjustRightInd w:val="0"/>
              <w:spacing w:line="271" w:lineRule="auto"/>
              <w:ind w:left="146" w:leftChars="61" w:right="182" w:rightChars="76"/>
              <w:jc w:val="left"/>
              <w:textAlignment w:val="baseline"/>
              <w:rPr>
                <w:rFonts w:ascii="宋体" w:hAnsi="宋体"/>
                <w:sz w:val="24"/>
              </w:rPr>
            </w:pPr>
            <w:r>
              <w:rPr>
                <w:rFonts w:hint="eastAsia" w:ascii="宋体" w:hAnsi="宋体"/>
                <w:sz w:val="24"/>
              </w:rPr>
              <w:t>（1）不满足★指标的，其投标将被拒绝。</w:t>
            </w:r>
          </w:p>
          <w:p>
            <w:pPr>
              <w:widowControl/>
              <w:adjustRightInd w:val="0"/>
              <w:spacing w:line="271" w:lineRule="auto"/>
              <w:ind w:left="146" w:leftChars="61" w:right="182" w:rightChars="76"/>
              <w:jc w:val="left"/>
              <w:textAlignment w:val="baseline"/>
              <w:rPr>
                <w:rFonts w:ascii="宋体" w:hAnsi="宋体"/>
                <w:sz w:val="24"/>
              </w:rPr>
            </w:pPr>
            <w:r>
              <w:rPr>
                <w:rFonts w:hint="eastAsia" w:ascii="宋体" w:hAnsi="宋体"/>
                <w:sz w:val="24"/>
              </w:rPr>
              <w:t>（2）带“▲”号标记的条款为重要指标，每满足或优于一条得</w:t>
            </w:r>
            <w:r>
              <w:rPr>
                <w:rFonts w:ascii="宋体" w:hAnsi="宋体"/>
                <w:sz w:val="24"/>
              </w:rPr>
              <w:t>2</w:t>
            </w:r>
            <w:r>
              <w:rPr>
                <w:rFonts w:hint="eastAsia" w:ascii="宋体" w:hAnsi="宋体"/>
                <w:sz w:val="24"/>
              </w:rPr>
              <w:t>分，共计</w:t>
            </w:r>
            <w:r>
              <w:rPr>
                <w:rFonts w:ascii="宋体" w:hAnsi="宋体"/>
                <w:sz w:val="24"/>
              </w:rPr>
              <w:t>14</w:t>
            </w:r>
            <w:r>
              <w:rPr>
                <w:rFonts w:hint="eastAsia" w:ascii="宋体" w:hAnsi="宋体"/>
                <w:sz w:val="24"/>
              </w:rPr>
              <w:t>条，共</w:t>
            </w:r>
            <w:r>
              <w:rPr>
                <w:rFonts w:ascii="宋体" w:hAnsi="宋体"/>
                <w:sz w:val="24"/>
              </w:rPr>
              <w:t>28</w:t>
            </w:r>
            <w:r>
              <w:rPr>
                <w:rFonts w:hint="eastAsia" w:ascii="宋体" w:hAnsi="宋体"/>
                <w:sz w:val="24"/>
              </w:rPr>
              <w:t>分。</w:t>
            </w:r>
          </w:p>
          <w:p>
            <w:pPr>
              <w:widowControl/>
              <w:adjustRightInd w:val="0"/>
              <w:spacing w:line="271" w:lineRule="auto"/>
              <w:ind w:left="146" w:leftChars="61" w:right="182" w:rightChars="76"/>
              <w:jc w:val="left"/>
              <w:textAlignment w:val="baseline"/>
              <w:rPr>
                <w:rFonts w:ascii="宋体" w:hAnsi="宋体"/>
                <w:sz w:val="24"/>
              </w:rPr>
            </w:pPr>
            <w:r>
              <w:rPr>
                <w:rFonts w:hint="eastAsia" w:ascii="宋体" w:hAnsi="宋体"/>
                <w:sz w:val="24"/>
              </w:rPr>
              <w:t>（3）带“■”号标记的条款为一般指标，每满足或优于一条得0.</w:t>
            </w:r>
            <w:r>
              <w:rPr>
                <w:rFonts w:ascii="宋体" w:hAnsi="宋体"/>
                <w:sz w:val="24"/>
              </w:rPr>
              <w:t>2</w:t>
            </w:r>
            <w:r>
              <w:rPr>
                <w:rFonts w:hint="eastAsia" w:ascii="宋体" w:hAnsi="宋体"/>
                <w:sz w:val="24"/>
              </w:rPr>
              <w:t>分，共计</w:t>
            </w:r>
            <w:r>
              <w:rPr>
                <w:rFonts w:ascii="宋体" w:hAnsi="宋体"/>
                <w:sz w:val="24"/>
              </w:rPr>
              <w:t>60</w:t>
            </w:r>
            <w:r>
              <w:rPr>
                <w:rFonts w:hint="eastAsia" w:ascii="宋体" w:hAnsi="宋体"/>
                <w:sz w:val="24"/>
              </w:rPr>
              <w:t>条，共</w:t>
            </w:r>
            <w:r>
              <w:rPr>
                <w:rFonts w:ascii="宋体" w:hAnsi="宋体"/>
                <w:sz w:val="24"/>
              </w:rPr>
              <w:t>12</w:t>
            </w:r>
            <w:r>
              <w:rPr>
                <w:rFonts w:hint="eastAsia" w:ascii="宋体" w:hAnsi="宋体"/>
                <w:sz w:val="24"/>
              </w:rPr>
              <w:t>分。</w:t>
            </w:r>
          </w:p>
          <w:p>
            <w:pPr>
              <w:widowControl/>
              <w:adjustRightInd w:val="0"/>
              <w:spacing w:line="271" w:lineRule="auto"/>
              <w:ind w:left="146" w:leftChars="61" w:right="182" w:rightChars="76"/>
              <w:jc w:val="left"/>
              <w:textAlignment w:val="baseline"/>
              <w:rPr>
                <w:rFonts w:ascii="宋体" w:hAnsi="宋体"/>
                <w:sz w:val="24"/>
              </w:rPr>
            </w:pPr>
            <w:r>
              <w:rPr>
                <w:rFonts w:hint="eastAsia" w:ascii="宋体" w:hAnsi="宋体"/>
                <w:sz w:val="24"/>
              </w:rPr>
              <w:t>注：</w:t>
            </w:r>
          </w:p>
          <w:p>
            <w:pPr>
              <w:widowControl/>
              <w:adjustRightInd w:val="0"/>
              <w:spacing w:line="271" w:lineRule="auto"/>
              <w:ind w:left="146" w:leftChars="61" w:right="182" w:rightChars="76"/>
              <w:jc w:val="left"/>
              <w:textAlignment w:val="baseline"/>
              <w:rPr>
                <w:rFonts w:ascii="宋体" w:hAnsi="宋体"/>
                <w:sz w:val="24"/>
              </w:rPr>
            </w:pPr>
            <w:r>
              <w:rPr>
                <w:rFonts w:hint="eastAsia" w:ascii="宋体" w:hAnsi="宋体"/>
                <w:sz w:val="24"/>
              </w:rPr>
              <w:t>1）凡标有最低一级序号的指标项即为一项技术条款，无论是否隶属于上一级编号。</w:t>
            </w:r>
          </w:p>
          <w:p>
            <w:pPr>
              <w:widowControl/>
              <w:adjustRightInd w:val="0"/>
              <w:spacing w:line="271" w:lineRule="auto"/>
              <w:ind w:left="146" w:leftChars="61" w:right="182" w:rightChars="76"/>
              <w:jc w:val="left"/>
              <w:textAlignment w:val="baseline"/>
              <w:rPr>
                <w:rFonts w:ascii="宋体" w:hAnsi="宋体"/>
                <w:sz w:val="24"/>
              </w:rPr>
            </w:pPr>
            <w:r>
              <w:rPr>
                <w:rFonts w:hint="eastAsia" w:ascii="宋体" w:hAnsi="宋体"/>
                <w:sz w:val="24"/>
              </w:rPr>
              <w:t>2）投标人需在技术规格偏离表中对技术要求的所有内容进行点对点应答，应在引用本招标文件的基础上,进行逐条逐项答复、说明或解释。漏报技术条款视为负偏离。</w:t>
            </w:r>
          </w:p>
          <w:p>
            <w:pPr>
              <w:snapToGrid w:val="0"/>
              <w:spacing w:line="312" w:lineRule="auto"/>
              <w:rPr>
                <w:rFonts w:ascii="宋体" w:hAnsi="宋体"/>
                <w:sz w:val="24"/>
              </w:rPr>
            </w:pPr>
            <w:r>
              <w:rPr>
                <w:rFonts w:hint="eastAsia" w:ascii="宋体" w:hAnsi="宋体"/>
                <w:sz w:val="24"/>
              </w:rPr>
              <w:t>3）投标人对加注 “▲”号的重要技术条款（参数）应当在投标文件中提供技术支持资料。凡不提供技术支持资料的，视为不响应该条款进行扣分。（包括但不限于制造商公开发布的印刷资料或检测机构出具的检测报告等）</w:t>
            </w:r>
          </w:p>
        </w:tc>
        <w:tc>
          <w:tcPr>
            <w:tcW w:w="470" w:type="pct"/>
            <w:tcBorders>
              <w:top w:val="single" w:color="auto" w:sz="4" w:space="0"/>
              <w:left w:val="single" w:color="auto" w:sz="4" w:space="0"/>
              <w:bottom w:val="single" w:color="auto" w:sz="4" w:space="0"/>
              <w:right w:val="single" w:color="auto" w:sz="4" w:space="0"/>
            </w:tcBorders>
            <w:vAlign w:val="center"/>
          </w:tcPr>
          <w:p>
            <w:pPr>
              <w:widowControl/>
              <w:spacing w:line="312" w:lineRule="auto"/>
              <w:ind w:leftChars="-1" w:hanging="2" w:hangingChars="1"/>
              <w:jc w:val="center"/>
              <w:rPr>
                <w:b/>
                <w:sz w:val="24"/>
              </w:rPr>
            </w:pPr>
            <w:r>
              <w:rPr>
                <w:b/>
                <w:sz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23" w:type="pct"/>
            <w:tcBorders>
              <w:top w:val="single" w:color="auto" w:sz="4" w:space="0"/>
              <w:left w:val="single" w:color="auto" w:sz="4" w:space="0"/>
              <w:right w:val="single" w:color="auto" w:sz="4" w:space="0"/>
            </w:tcBorders>
            <w:tcMar>
              <w:top w:w="15" w:type="dxa"/>
              <w:left w:w="15" w:type="dxa"/>
              <w:bottom w:w="0" w:type="dxa"/>
              <w:right w:w="15" w:type="dxa"/>
            </w:tcMar>
            <w:vAlign w:val="center"/>
          </w:tcPr>
          <w:p>
            <w:pPr>
              <w:spacing w:line="312" w:lineRule="auto"/>
              <w:jc w:val="center"/>
              <w:rPr>
                <w:b/>
                <w:sz w:val="24"/>
              </w:rPr>
            </w:pPr>
            <w:r>
              <w:rPr>
                <w:b/>
                <w:sz w:val="24"/>
              </w:rPr>
              <w:t>项目实施</w:t>
            </w:r>
          </w:p>
        </w:tc>
        <w:tc>
          <w:tcPr>
            <w:tcW w:w="370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tcPr>
          <w:p>
            <w:pPr>
              <w:widowControl/>
              <w:spacing w:line="312" w:lineRule="auto"/>
              <w:ind w:left="146" w:leftChars="61" w:right="182" w:rightChars="76"/>
              <w:jc w:val="left"/>
              <w:rPr>
                <w:sz w:val="24"/>
              </w:rPr>
            </w:pPr>
            <w:r>
              <w:rPr>
                <w:rFonts w:hint="eastAsia"/>
                <w:sz w:val="24"/>
              </w:rPr>
              <w:t>投标人应针对本项目提供关于该项目建设的设计方案、效果图、设计内容完整、设计图清晰、设计理念清晰，包括项目的</w:t>
            </w:r>
            <w:r>
              <w:rPr>
                <w:sz w:val="24"/>
              </w:rPr>
              <w:t>进度控制，交货、</w:t>
            </w:r>
            <w:r>
              <w:rPr>
                <w:rFonts w:hint="eastAsia"/>
                <w:sz w:val="24"/>
              </w:rPr>
              <w:t>付款、</w:t>
            </w:r>
            <w:r>
              <w:rPr>
                <w:sz w:val="24"/>
              </w:rPr>
              <w:t>安装、调试、验收方</w:t>
            </w:r>
            <w:r>
              <w:rPr>
                <w:rFonts w:hint="eastAsia"/>
                <w:sz w:val="24"/>
              </w:rPr>
              <w:t>案等内容的</w:t>
            </w:r>
            <w:r>
              <w:rPr>
                <w:sz w:val="24"/>
              </w:rPr>
              <w:t>项目实施方案</w:t>
            </w:r>
            <w:r>
              <w:rPr>
                <w:rFonts w:hint="eastAsia"/>
                <w:sz w:val="24"/>
              </w:rPr>
              <w:t>。</w:t>
            </w:r>
          </w:p>
          <w:p>
            <w:pPr>
              <w:widowControl/>
              <w:spacing w:line="312" w:lineRule="auto"/>
              <w:ind w:left="146" w:leftChars="61" w:right="182" w:rightChars="76"/>
              <w:jc w:val="left"/>
              <w:rPr>
                <w:sz w:val="24"/>
              </w:rPr>
            </w:pPr>
            <w:r>
              <w:rPr>
                <w:sz w:val="24"/>
              </w:rPr>
              <w:t>1</w:t>
            </w:r>
            <w:r>
              <w:rPr>
                <w:rFonts w:hint="eastAsia"/>
                <w:sz w:val="24"/>
              </w:rPr>
              <w:t>）方案</w:t>
            </w:r>
            <w:r>
              <w:rPr>
                <w:sz w:val="24"/>
              </w:rPr>
              <w:t>内容全面、</w:t>
            </w:r>
            <w:r>
              <w:rPr>
                <w:rFonts w:hint="eastAsia"/>
                <w:sz w:val="24"/>
              </w:rPr>
              <w:t>包括设计效果图的，效果图完整清晰、</w:t>
            </w:r>
            <w:r>
              <w:rPr>
                <w:sz w:val="24"/>
              </w:rPr>
              <w:t>明确重点，详细合理、针对性强、贴近项目需求，为该项目提出合理化建议，重点、难点分析全面；技术措施可靠、有保障，得15分；</w:t>
            </w:r>
          </w:p>
          <w:p>
            <w:pPr>
              <w:widowControl/>
              <w:spacing w:line="312" w:lineRule="auto"/>
              <w:ind w:left="146" w:leftChars="61"/>
              <w:jc w:val="left"/>
              <w:rPr>
                <w:sz w:val="24"/>
              </w:rPr>
            </w:pPr>
            <w:r>
              <w:rPr>
                <w:sz w:val="24"/>
              </w:rPr>
              <w:t>2</w:t>
            </w:r>
            <w:r>
              <w:rPr>
                <w:rFonts w:hint="eastAsia"/>
                <w:sz w:val="24"/>
              </w:rPr>
              <w:t>）</w:t>
            </w:r>
            <w:r>
              <w:rPr>
                <w:sz w:val="24"/>
              </w:rPr>
              <w:t>方案内容较全面，</w:t>
            </w:r>
            <w:r>
              <w:rPr>
                <w:kern w:val="0"/>
                <w:sz w:val="24"/>
              </w:rPr>
              <w:t>但存在部分非核心工作表述不清晰，</w:t>
            </w:r>
            <w:r>
              <w:rPr>
                <w:sz w:val="24"/>
              </w:rPr>
              <w:t>针对性一般，有重难点分析，技术措施较可行，得5分；</w:t>
            </w:r>
          </w:p>
          <w:p>
            <w:pPr>
              <w:widowControl/>
              <w:spacing w:line="312" w:lineRule="auto"/>
              <w:ind w:left="146" w:leftChars="61"/>
              <w:jc w:val="left"/>
              <w:rPr>
                <w:sz w:val="24"/>
              </w:rPr>
            </w:pPr>
            <w:r>
              <w:rPr>
                <w:rFonts w:hint="eastAsia"/>
                <w:sz w:val="24"/>
              </w:rPr>
              <w:t>3）</w:t>
            </w:r>
            <w:r>
              <w:rPr>
                <w:sz w:val="24"/>
              </w:rPr>
              <w:t>方案内容简单、无针对性，无重难点分析，技术措施较一般得</w:t>
            </w:r>
            <w:r>
              <w:rPr>
                <w:rFonts w:hint="eastAsia"/>
                <w:sz w:val="24"/>
              </w:rPr>
              <w:t>2</w:t>
            </w:r>
            <w:r>
              <w:rPr>
                <w:sz w:val="24"/>
              </w:rPr>
              <w:t>分；</w:t>
            </w:r>
          </w:p>
          <w:p>
            <w:pPr>
              <w:widowControl/>
              <w:spacing w:line="312" w:lineRule="auto"/>
              <w:ind w:left="146" w:leftChars="61"/>
              <w:jc w:val="left"/>
              <w:rPr>
                <w:sz w:val="24"/>
              </w:rPr>
            </w:pPr>
            <w:r>
              <w:rPr>
                <w:sz w:val="24"/>
              </w:rPr>
              <w:t>4</w:t>
            </w:r>
            <w:r>
              <w:rPr>
                <w:rFonts w:hint="eastAsia"/>
                <w:sz w:val="24"/>
              </w:rPr>
              <w:t>）未提供的得0分。</w:t>
            </w:r>
          </w:p>
        </w:tc>
        <w:tc>
          <w:tcPr>
            <w:tcW w:w="470" w:type="pct"/>
            <w:tcBorders>
              <w:top w:val="single" w:color="auto" w:sz="4" w:space="0"/>
              <w:left w:val="single" w:color="auto" w:sz="4" w:space="0"/>
              <w:bottom w:val="single" w:color="auto" w:sz="4" w:space="0"/>
              <w:right w:val="single" w:color="auto" w:sz="4" w:space="0"/>
            </w:tcBorders>
            <w:vAlign w:val="center"/>
          </w:tcPr>
          <w:p>
            <w:pPr>
              <w:widowControl/>
              <w:spacing w:line="312" w:lineRule="auto"/>
              <w:ind w:leftChars="-1" w:hanging="2" w:hangingChars="1"/>
              <w:jc w:val="center"/>
              <w:rPr>
                <w:b/>
                <w:sz w:val="24"/>
              </w:rPr>
            </w:pPr>
            <w:r>
              <w:rPr>
                <w:b/>
                <w:sz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23" w:type="pct"/>
            <w:tcBorders>
              <w:top w:val="single" w:color="auto" w:sz="4" w:space="0"/>
              <w:left w:val="single" w:color="auto" w:sz="4" w:space="0"/>
              <w:right w:val="single" w:color="auto" w:sz="4" w:space="0"/>
            </w:tcBorders>
            <w:tcMar>
              <w:top w:w="15" w:type="dxa"/>
              <w:left w:w="15" w:type="dxa"/>
              <w:bottom w:w="0" w:type="dxa"/>
              <w:right w:w="15" w:type="dxa"/>
            </w:tcMar>
            <w:vAlign w:val="center"/>
          </w:tcPr>
          <w:p>
            <w:pPr>
              <w:spacing w:line="312" w:lineRule="auto"/>
              <w:jc w:val="center"/>
              <w:rPr>
                <w:b/>
                <w:sz w:val="24"/>
              </w:rPr>
            </w:pPr>
            <w:r>
              <w:rPr>
                <w:b/>
                <w:sz w:val="24"/>
              </w:rPr>
              <w:t>售后服务</w:t>
            </w:r>
          </w:p>
        </w:tc>
        <w:tc>
          <w:tcPr>
            <w:tcW w:w="370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tcPr>
          <w:p>
            <w:pPr>
              <w:widowControl/>
              <w:adjustRightInd w:val="0"/>
              <w:spacing w:line="271" w:lineRule="auto"/>
              <w:ind w:left="146" w:leftChars="61" w:right="182" w:rightChars="76"/>
              <w:textAlignment w:val="baseline"/>
              <w:rPr>
                <w:rFonts w:ascii="宋体" w:hAnsi="宋体"/>
                <w:sz w:val="24"/>
              </w:rPr>
            </w:pPr>
            <w:r>
              <w:rPr>
                <w:rFonts w:hint="eastAsia" w:ascii="宋体" w:hAnsi="宋体"/>
                <w:sz w:val="24"/>
              </w:rPr>
              <w:t>一、投标人应针对本项目提供关于质保期、故障响应时间等内容的售后服务方案。</w:t>
            </w:r>
          </w:p>
          <w:p>
            <w:pPr>
              <w:widowControl/>
              <w:adjustRightInd w:val="0"/>
              <w:spacing w:line="271" w:lineRule="auto"/>
              <w:ind w:left="146" w:leftChars="61" w:right="182" w:rightChars="76"/>
              <w:textAlignment w:val="baseline"/>
              <w:rPr>
                <w:rFonts w:ascii="宋体" w:hAnsi="宋体"/>
                <w:sz w:val="24"/>
              </w:rPr>
            </w:pPr>
            <w:r>
              <w:rPr>
                <w:rFonts w:hint="eastAsia" w:ascii="宋体" w:hAnsi="宋体"/>
                <w:sz w:val="24"/>
              </w:rPr>
              <w:t>1）售后服务方案优于招标文件要求的，服务体系完善，服务内容针对性强得5分；</w:t>
            </w:r>
          </w:p>
          <w:p>
            <w:pPr>
              <w:widowControl/>
              <w:adjustRightInd w:val="0"/>
              <w:spacing w:line="271" w:lineRule="auto"/>
              <w:ind w:left="146" w:leftChars="61" w:right="182" w:rightChars="76"/>
              <w:textAlignment w:val="baseline"/>
              <w:rPr>
                <w:rFonts w:ascii="宋体" w:hAnsi="宋体"/>
                <w:sz w:val="24"/>
              </w:rPr>
            </w:pPr>
            <w:r>
              <w:rPr>
                <w:rFonts w:hint="eastAsia" w:ascii="宋体" w:hAnsi="宋体"/>
                <w:sz w:val="24"/>
              </w:rPr>
              <w:t>2）售后服务方案满足招标文件要求，服务体系基本完善（略有不足），承诺服务内容具有一定的针对性，得</w:t>
            </w:r>
            <w:r>
              <w:rPr>
                <w:rFonts w:ascii="宋体" w:hAnsi="宋体"/>
                <w:sz w:val="24"/>
              </w:rPr>
              <w:t>2</w:t>
            </w:r>
            <w:r>
              <w:rPr>
                <w:rFonts w:hint="eastAsia" w:ascii="宋体" w:hAnsi="宋体"/>
                <w:sz w:val="24"/>
              </w:rPr>
              <w:t>分；</w:t>
            </w:r>
          </w:p>
          <w:p>
            <w:pPr>
              <w:widowControl/>
              <w:adjustRightInd w:val="0"/>
              <w:spacing w:line="271" w:lineRule="auto"/>
              <w:ind w:left="146" w:leftChars="61" w:right="182" w:rightChars="76"/>
              <w:textAlignment w:val="baseline"/>
              <w:rPr>
                <w:rFonts w:ascii="宋体" w:hAnsi="宋体"/>
                <w:sz w:val="24"/>
              </w:rPr>
            </w:pPr>
            <w:r>
              <w:rPr>
                <w:rFonts w:hint="eastAsia" w:ascii="宋体" w:hAnsi="宋体"/>
                <w:sz w:val="24"/>
              </w:rPr>
              <w:t>3）售后服务方案基本满足招标文件要求，服务体系不完善，承诺服务内容针对性欠佳，得1分；</w:t>
            </w:r>
          </w:p>
          <w:p>
            <w:pPr>
              <w:ind w:firstLine="240" w:firstLineChars="100"/>
              <w:rPr>
                <w:szCs w:val="21"/>
              </w:rPr>
            </w:pPr>
            <w:r>
              <w:rPr>
                <w:rFonts w:hint="eastAsia" w:ascii="宋体" w:hAnsi="宋体"/>
                <w:sz w:val="24"/>
              </w:rPr>
              <w:t>4）售后服务方案无法满足招标文件要求、服务体系不完善、承诺服务内容针对性较差或未提供的，得0分。</w:t>
            </w:r>
          </w:p>
          <w:p>
            <w:pPr>
              <w:widowControl/>
              <w:spacing w:line="312" w:lineRule="auto"/>
              <w:ind w:left="146" w:leftChars="61" w:right="182" w:rightChars="76"/>
              <w:rPr>
                <w:sz w:val="24"/>
              </w:rPr>
            </w:pPr>
            <w:r>
              <w:rPr>
                <w:rFonts w:hint="eastAsia"/>
                <w:sz w:val="24"/>
              </w:rPr>
              <w:t>二、为保证项目后期技术服务支持与运维，产品厂商人员需具有“VR开发工程师”证书的高级技术人员负责项目系统集成和售后服务，每提供一名具备证书人员加</w:t>
            </w:r>
            <w:r>
              <w:rPr>
                <w:sz w:val="24"/>
              </w:rPr>
              <w:t>0.5</w:t>
            </w:r>
            <w:r>
              <w:rPr>
                <w:rFonts w:hint="eastAsia"/>
                <w:sz w:val="24"/>
              </w:rPr>
              <w:t>分，满分2分，未提供不得分。</w:t>
            </w:r>
          </w:p>
        </w:tc>
        <w:tc>
          <w:tcPr>
            <w:tcW w:w="470" w:type="pct"/>
            <w:tcBorders>
              <w:top w:val="single" w:color="auto" w:sz="4" w:space="0"/>
              <w:left w:val="single" w:color="auto" w:sz="4" w:space="0"/>
              <w:bottom w:val="single" w:color="auto" w:sz="4" w:space="0"/>
              <w:right w:val="single" w:color="auto" w:sz="4" w:space="0"/>
            </w:tcBorders>
            <w:vAlign w:val="center"/>
          </w:tcPr>
          <w:p>
            <w:pPr>
              <w:widowControl/>
              <w:spacing w:line="312" w:lineRule="auto"/>
              <w:ind w:leftChars="-1" w:hanging="2" w:hangingChars="1"/>
              <w:jc w:val="center"/>
              <w:rPr>
                <w:b/>
                <w:sz w:val="24"/>
              </w:rPr>
            </w:pPr>
            <w:r>
              <w:rPr>
                <w:b/>
                <w:sz w:val="24"/>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23" w:type="pct"/>
            <w:tcBorders>
              <w:top w:val="single" w:color="auto" w:sz="4" w:space="0"/>
              <w:left w:val="single" w:color="auto" w:sz="4" w:space="0"/>
              <w:right w:val="single" w:color="auto" w:sz="4" w:space="0"/>
            </w:tcBorders>
            <w:tcMar>
              <w:top w:w="15" w:type="dxa"/>
              <w:left w:w="15" w:type="dxa"/>
              <w:bottom w:w="0" w:type="dxa"/>
              <w:right w:w="15" w:type="dxa"/>
            </w:tcMar>
            <w:vAlign w:val="center"/>
          </w:tcPr>
          <w:p>
            <w:pPr>
              <w:spacing w:line="312" w:lineRule="auto"/>
              <w:jc w:val="center"/>
              <w:rPr>
                <w:b/>
                <w:sz w:val="24"/>
              </w:rPr>
            </w:pPr>
            <w:r>
              <w:rPr>
                <w:b/>
                <w:sz w:val="24"/>
              </w:rPr>
              <w:t>培训方案</w:t>
            </w:r>
          </w:p>
        </w:tc>
        <w:tc>
          <w:tcPr>
            <w:tcW w:w="370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tcPr>
          <w:p>
            <w:pPr>
              <w:widowControl/>
              <w:spacing w:line="312" w:lineRule="auto"/>
              <w:ind w:left="146" w:leftChars="61" w:right="182" w:rightChars="76"/>
              <w:rPr>
                <w:sz w:val="24"/>
              </w:rPr>
            </w:pPr>
            <w:r>
              <w:rPr>
                <w:rFonts w:hint="eastAsia"/>
                <w:sz w:val="24"/>
              </w:rPr>
              <w:t>投标人应针对本项目提供关于</w:t>
            </w:r>
            <w:r>
              <w:rPr>
                <w:sz w:val="24"/>
              </w:rPr>
              <w:t>培训内容、时间计划安排</w:t>
            </w:r>
            <w:r>
              <w:rPr>
                <w:rFonts w:hint="eastAsia"/>
                <w:sz w:val="24"/>
              </w:rPr>
              <w:t xml:space="preserve">等的培训方案。 </w:t>
            </w:r>
          </w:p>
          <w:p>
            <w:pPr>
              <w:widowControl/>
              <w:spacing w:line="312" w:lineRule="auto"/>
              <w:ind w:left="146" w:leftChars="61" w:right="182" w:rightChars="76"/>
              <w:rPr>
                <w:sz w:val="24"/>
              </w:rPr>
            </w:pPr>
            <w:r>
              <w:rPr>
                <w:rFonts w:hint="eastAsia"/>
                <w:sz w:val="24"/>
              </w:rPr>
              <w:t>1）培训方案完全满足或优于招标文件要求的，培训内容针对性强得</w:t>
            </w:r>
            <w:r>
              <w:rPr>
                <w:sz w:val="24"/>
              </w:rPr>
              <w:t>5</w:t>
            </w:r>
            <w:r>
              <w:rPr>
                <w:rFonts w:hint="eastAsia"/>
                <w:sz w:val="24"/>
              </w:rPr>
              <w:t>分；</w:t>
            </w:r>
          </w:p>
          <w:p>
            <w:pPr>
              <w:widowControl/>
              <w:spacing w:line="312" w:lineRule="auto"/>
              <w:ind w:left="146" w:leftChars="61" w:right="182" w:rightChars="76"/>
              <w:rPr>
                <w:sz w:val="24"/>
              </w:rPr>
            </w:pPr>
            <w:r>
              <w:rPr>
                <w:rFonts w:hint="eastAsia"/>
                <w:sz w:val="24"/>
              </w:rPr>
              <w:t>2）培训方案基本满足招标文件要求，培训内容针对性欠佳，得1分；</w:t>
            </w:r>
          </w:p>
          <w:p>
            <w:pPr>
              <w:widowControl/>
              <w:spacing w:line="312" w:lineRule="auto"/>
              <w:ind w:left="146" w:leftChars="61" w:right="182" w:rightChars="76"/>
              <w:rPr>
                <w:sz w:val="24"/>
              </w:rPr>
            </w:pPr>
            <w:r>
              <w:rPr>
                <w:sz w:val="24"/>
              </w:rPr>
              <w:t>3</w:t>
            </w:r>
            <w:r>
              <w:rPr>
                <w:rFonts w:hint="eastAsia"/>
                <w:sz w:val="24"/>
              </w:rPr>
              <w:t>）培训方案无法满足招标文件要求、培训内容针对性较差，得0分。</w:t>
            </w:r>
          </w:p>
          <w:p>
            <w:pPr>
              <w:widowControl/>
              <w:spacing w:line="312" w:lineRule="auto"/>
              <w:ind w:left="146" w:leftChars="61" w:right="182" w:rightChars="76"/>
              <w:rPr>
                <w:sz w:val="24"/>
              </w:rPr>
            </w:pPr>
            <w:r>
              <w:rPr>
                <w:sz w:val="24"/>
              </w:rPr>
              <w:t>4</w:t>
            </w:r>
            <w:r>
              <w:rPr>
                <w:rFonts w:hint="eastAsia"/>
                <w:sz w:val="24"/>
              </w:rPr>
              <w:t>）未提供不得分。</w:t>
            </w:r>
          </w:p>
        </w:tc>
        <w:tc>
          <w:tcPr>
            <w:tcW w:w="470" w:type="pct"/>
            <w:tcBorders>
              <w:top w:val="single" w:color="auto" w:sz="4" w:space="0"/>
              <w:left w:val="single" w:color="auto" w:sz="4" w:space="0"/>
              <w:bottom w:val="single" w:color="auto" w:sz="4" w:space="0"/>
              <w:right w:val="single" w:color="auto" w:sz="4" w:space="0"/>
            </w:tcBorders>
            <w:vAlign w:val="center"/>
          </w:tcPr>
          <w:p>
            <w:pPr>
              <w:widowControl/>
              <w:spacing w:line="312" w:lineRule="auto"/>
              <w:ind w:leftChars="-1" w:hanging="2" w:hangingChars="1"/>
              <w:jc w:val="center"/>
              <w:rPr>
                <w:b/>
                <w:sz w:val="24"/>
              </w:rPr>
            </w:pPr>
            <w:r>
              <w:rPr>
                <w:b/>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23" w:type="pct"/>
            <w:tcBorders>
              <w:left w:val="single" w:color="auto" w:sz="4" w:space="0"/>
              <w:right w:val="single" w:color="auto" w:sz="4" w:space="0"/>
            </w:tcBorders>
            <w:vAlign w:val="center"/>
          </w:tcPr>
          <w:p>
            <w:pPr>
              <w:spacing w:line="312" w:lineRule="auto"/>
              <w:jc w:val="center"/>
              <w:rPr>
                <w:b/>
                <w:sz w:val="24"/>
              </w:rPr>
            </w:pPr>
            <w:r>
              <w:rPr>
                <w:b/>
                <w:sz w:val="24"/>
              </w:rPr>
              <w:t>类似业绩</w:t>
            </w:r>
          </w:p>
        </w:tc>
        <w:tc>
          <w:tcPr>
            <w:tcW w:w="370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tcPr>
          <w:p>
            <w:pPr>
              <w:spacing w:before="156" w:beforeLines="50" w:after="156" w:afterLines="50" w:line="312" w:lineRule="auto"/>
              <w:ind w:left="146" w:leftChars="61" w:right="182" w:rightChars="76"/>
              <w:rPr>
                <w:sz w:val="24"/>
              </w:rPr>
            </w:pPr>
            <w:r>
              <w:rPr>
                <w:sz w:val="24"/>
              </w:rPr>
              <w:t>考虑投标人近3年（</w:t>
            </w:r>
            <w:r>
              <w:rPr>
                <w:sz w:val="24"/>
                <w:u w:val="single"/>
              </w:rPr>
              <w:t>2019</w:t>
            </w:r>
            <w:r>
              <w:rPr>
                <w:sz w:val="24"/>
              </w:rPr>
              <w:t>年</w:t>
            </w:r>
            <w:r>
              <w:rPr>
                <w:sz w:val="24"/>
                <w:u w:val="single"/>
              </w:rPr>
              <w:t>10</w:t>
            </w:r>
            <w:r>
              <w:rPr>
                <w:sz w:val="24"/>
              </w:rPr>
              <w:t>月</w:t>
            </w:r>
            <w:r>
              <w:rPr>
                <w:sz w:val="24"/>
                <w:u w:val="single"/>
              </w:rPr>
              <w:t>1</w:t>
            </w:r>
            <w:r>
              <w:rPr>
                <w:sz w:val="24"/>
              </w:rPr>
              <w:t>日至今）具有与本项目同类的项目业绩（需提供项目业绩的合同关键页复印件，合同关键页包含合同的甲乙双方，合同详细标的和双方签章及生效时间），供应商每提供一份有效的业绩得1分，最高为3分。</w:t>
            </w:r>
          </w:p>
        </w:tc>
        <w:tc>
          <w:tcPr>
            <w:tcW w:w="470" w:type="pct"/>
            <w:tcBorders>
              <w:left w:val="single" w:color="auto" w:sz="4" w:space="0"/>
              <w:right w:val="single" w:color="auto" w:sz="4" w:space="0"/>
            </w:tcBorders>
            <w:vAlign w:val="center"/>
          </w:tcPr>
          <w:p>
            <w:pPr>
              <w:spacing w:line="312" w:lineRule="auto"/>
              <w:ind w:leftChars="-1" w:hanging="2" w:hangingChars="1"/>
              <w:jc w:val="center"/>
              <w:rPr>
                <w:b/>
                <w:sz w:val="24"/>
              </w:rPr>
            </w:pPr>
            <w:r>
              <w:rPr>
                <w:b/>
                <w:sz w:val="24"/>
              </w:rPr>
              <w:t>3</w:t>
            </w:r>
          </w:p>
        </w:tc>
      </w:tr>
      <w:bookmarkEnd w:id="59"/>
    </w:tbl>
    <w:p>
      <w:pPr>
        <w:spacing w:line="240" w:lineRule="auto"/>
        <w:rPr>
          <w:rFonts w:ascii="宋体" w:hAnsi="宋体" w:cs="宋体"/>
          <w:kern w:val="44"/>
          <w:sz w:val="44"/>
          <w:szCs w:val="20"/>
        </w:rPr>
      </w:pPr>
      <w:r>
        <w:rPr>
          <w:rFonts w:hint="eastAsia" w:ascii="宋体" w:hAnsi="宋体" w:cs="宋体"/>
          <w:kern w:val="44"/>
          <w:sz w:val="44"/>
          <w:szCs w:val="20"/>
        </w:rPr>
        <w:br w:type="page"/>
      </w:r>
    </w:p>
    <w:p>
      <w:pPr>
        <w:keepNext/>
        <w:keepLines/>
        <w:snapToGrid w:val="0"/>
        <w:spacing w:before="340" w:after="330" w:line="240" w:lineRule="auto"/>
        <w:jc w:val="center"/>
        <w:outlineLvl w:val="0"/>
        <w:rPr>
          <w:rFonts w:ascii="宋体" w:hAnsi="宋体" w:cs="宋体"/>
          <w:kern w:val="44"/>
          <w:sz w:val="44"/>
          <w:szCs w:val="20"/>
        </w:rPr>
      </w:pPr>
      <w:bookmarkStart w:id="60" w:name="_Toc23384"/>
      <w:r>
        <w:rPr>
          <w:rFonts w:hint="eastAsia" w:ascii="宋体" w:hAnsi="宋体" w:cs="宋体"/>
          <w:kern w:val="44"/>
          <w:sz w:val="44"/>
          <w:szCs w:val="20"/>
        </w:rPr>
        <w:t>第五章 合同文本</w:t>
      </w:r>
      <w:bookmarkEnd w:id="60"/>
    </w:p>
    <w:p>
      <w:pPr>
        <w:adjustRightInd/>
        <w:spacing w:line="300" w:lineRule="auto"/>
        <w:ind w:firstLine="4620" w:firstLineChars="2200"/>
        <w:jc w:val="both"/>
        <w:textAlignment w:val="auto"/>
        <w:rPr>
          <w:rFonts w:cs="Times New Roman"/>
          <w:kern w:val="2"/>
          <w:sz w:val="21"/>
          <w:szCs w:val="21"/>
        </w:rPr>
      </w:pPr>
      <w:r>
        <w:rPr>
          <w:rFonts w:cs="Times New Roman"/>
          <w:kern w:val="2"/>
          <w:sz w:val="21"/>
          <w:szCs w:val="21"/>
        </w:rPr>
        <w:t>招标编号：</w:t>
      </w:r>
    </w:p>
    <w:p>
      <w:pPr>
        <w:adjustRightInd/>
        <w:spacing w:line="300" w:lineRule="auto"/>
        <w:ind w:firstLine="4620" w:firstLineChars="2200"/>
        <w:jc w:val="both"/>
        <w:textAlignment w:val="auto"/>
        <w:rPr>
          <w:rFonts w:cs="Times New Roman"/>
          <w:kern w:val="2"/>
          <w:sz w:val="21"/>
          <w:szCs w:val="21"/>
        </w:rPr>
      </w:pPr>
      <w:r>
        <w:rPr>
          <w:rFonts w:cs="Times New Roman"/>
          <w:kern w:val="2"/>
          <w:sz w:val="21"/>
          <w:szCs w:val="21"/>
        </w:rPr>
        <w:t>甲方合同编号</w:t>
      </w:r>
      <w:r>
        <w:rPr>
          <w:rFonts w:hint="eastAsia" w:cs="Times New Roman"/>
          <w:kern w:val="2"/>
          <w:sz w:val="21"/>
          <w:szCs w:val="21"/>
        </w:rPr>
        <w:t>：清〔设备〕审202</w:t>
      </w:r>
    </w:p>
    <w:p>
      <w:pPr>
        <w:adjustRightInd/>
        <w:spacing w:before="240" w:beforeLines="100" w:line="360" w:lineRule="auto"/>
        <w:jc w:val="center"/>
        <w:textAlignment w:val="auto"/>
        <w:rPr>
          <w:rFonts w:cs="Times New Roman"/>
          <w:b/>
          <w:bCs/>
          <w:kern w:val="2"/>
          <w:sz w:val="32"/>
          <w:szCs w:val="32"/>
        </w:rPr>
      </w:pPr>
      <w:r>
        <w:rPr>
          <w:rFonts w:cs="Times New Roman"/>
          <w:b/>
          <w:bCs/>
          <w:kern w:val="2"/>
          <w:sz w:val="32"/>
          <w:szCs w:val="32"/>
        </w:rPr>
        <w:t>货物类</w:t>
      </w:r>
      <w:r>
        <w:rPr>
          <w:rFonts w:hint="eastAsia" w:cs="Times New Roman"/>
          <w:b/>
          <w:bCs/>
          <w:kern w:val="2"/>
          <w:sz w:val="32"/>
          <w:szCs w:val="32"/>
        </w:rPr>
        <w:t>采</w:t>
      </w:r>
      <w:r>
        <w:rPr>
          <w:rFonts w:cs="Times New Roman"/>
          <w:b/>
          <w:bCs/>
          <w:kern w:val="2"/>
          <w:sz w:val="32"/>
          <w:szCs w:val="32"/>
        </w:rPr>
        <w:t>购合同（</w:t>
      </w:r>
      <w:r>
        <w:rPr>
          <w:rFonts w:hint="eastAsia" w:cs="Times New Roman"/>
          <w:b/>
          <w:bCs/>
          <w:kern w:val="2"/>
          <w:sz w:val="32"/>
          <w:szCs w:val="32"/>
        </w:rPr>
        <w:t>用于</w:t>
      </w:r>
      <w:r>
        <w:rPr>
          <w:rFonts w:cs="Times New Roman"/>
          <w:b/>
          <w:bCs/>
          <w:kern w:val="2"/>
          <w:sz w:val="32"/>
          <w:szCs w:val="32"/>
        </w:rPr>
        <w:t>合同额50万元</w:t>
      </w:r>
      <w:r>
        <w:rPr>
          <w:rFonts w:hint="eastAsia" w:cs="Times New Roman"/>
          <w:b/>
          <w:bCs/>
          <w:kern w:val="2"/>
          <w:sz w:val="32"/>
          <w:szCs w:val="32"/>
        </w:rPr>
        <w:t>以上</w:t>
      </w:r>
      <w:r>
        <w:rPr>
          <w:rFonts w:cs="Times New Roman"/>
          <w:b/>
          <w:bCs/>
          <w:kern w:val="2"/>
          <w:sz w:val="32"/>
          <w:szCs w:val="32"/>
        </w:rPr>
        <w:t>）</w:t>
      </w:r>
    </w:p>
    <w:p>
      <w:pPr>
        <w:adjustRightInd/>
        <w:spacing w:line="400" w:lineRule="exact"/>
        <w:ind w:firstLine="482" w:firstLineChars="200"/>
        <w:jc w:val="both"/>
        <w:textAlignment w:val="auto"/>
        <w:rPr>
          <w:rFonts w:cs="Times New Roman"/>
          <w:b/>
          <w:bCs/>
          <w:kern w:val="2"/>
        </w:rPr>
      </w:pPr>
    </w:p>
    <w:p>
      <w:pPr>
        <w:adjustRightInd/>
        <w:spacing w:after="120" w:afterLines="50" w:line="380" w:lineRule="exact"/>
        <w:jc w:val="both"/>
        <w:textAlignment w:val="auto"/>
        <w:rPr>
          <w:rFonts w:eastAsia="等线" w:cs="Times New Roman"/>
          <w:b/>
          <w:bCs/>
          <w:kern w:val="2"/>
        </w:rPr>
      </w:pPr>
      <w:r>
        <w:rPr>
          <w:rFonts w:eastAsia="等线" w:cs="Times New Roman"/>
          <w:b/>
          <w:bCs/>
          <w:kern w:val="2"/>
        </w:rPr>
        <w:t>甲方</w:t>
      </w:r>
      <w:r>
        <w:rPr>
          <w:rFonts w:hint="eastAsia" w:eastAsia="等线" w:cs="Times New Roman"/>
          <w:b/>
          <w:bCs/>
          <w:kern w:val="2"/>
        </w:rPr>
        <w:t>（盖章）</w:t>
      </w:r>
      <w:r>
        <w:rPr>
          <w:rFonts w:eastAsia="等线" w:cs="Times New Roman"/>
          <w:b/>
          <w:bCs/>
          <w:kern w:val="2"/>
        </w:rPr>
        <w:t>：清华大学（二级单位）</w:t>
      </w:r>
    </w:p>
    <w:tbl>
      <w:tblPr>
        <w:tblStyle w:val="26"/>
        <w:tblW w:w="8860" w:type="dxa"/>
        <w:tblInd w:w="108" w:type="dxa"/>
        <w:tblLayout w:type="autofit"/>
        <w:tblCellMar>
          <w:top w:w="0" w:type="dxa"/>
          <w:left w:w="108" w:type="dxa"/>
          <w:bottom w:w="0" w:type="dxa"/>
          <w:right w:w="108" w:type="dxa"/>
        </w:tblCellMar>
      </w:tblPr>
      <w:tblGrid>
        <w:gridCol w:w="1555"/>
        <w:gridCol w:w="2551"/>
        <w:gridCol w:w="1559"/>
        <w:gridCol w:w="3195"/>
      </w:tblGrid>
      <w:tr>
        <w:tblPrEx>
          <w:tblCellMar>
            <w:top w:w="0" w:type="dxa"/>
            <w:left w:w="108" w:type="dxa"/>
            <w:bottom w:w="0" w:type="dxa"/>
            <w:right w:w="108" w:type="dxa"/>
          </w:tblCellMar>
        </w:tblPrEx>
        <w:tc>
          <w:tcPr>
            <w:tcW w:w="1555" w:type="dxa"/>
            <w:shd w:val="clear" w:color="auto" w:fill="auto"/>
          </w:tcPr>
          <w:p>
            <w:pPr>
              <w:adjustRightInd/>
              <w:spacing w:line="380" w:lineRule="exact"/>
              <w:jc w:val="both"/>
              <w:textAlignment w:val="auto"/>
              <w:rPr>
                <w:rFonts w:eastAsia="等线" w:cs="Times New Roman"/>
                <w:kern w:val="2"/>
                <w:sz w:val="21"/>
                <w:szCs w:val="21"/>
              </w:rPr>
            </w:pPr>
            <w:r>
              <w:rPr>
                <w:rFonts w:eastAsia="等线" w:cs="Times New Roman"/>
                <w:kern w:val="2"/>
                <w:sz w:val="21"/>
                <w:szCs w:val="21"/>
              </w:rPr>
              <w:t xml:space="preserve">地址： </w:t>
            </w:r>
          </w:p>
        </w:tc>
        <w:tc>
          <w:tcPr>
            <w:tcW w:w="2551" w:type="dxa"/>
            <w:shd w:val="clear" w:color="auto" w:fill="auto"/>
          </w:tcPr>
          <w:p>
            <w:pPr>
              <w:adjustRightInd/>
              <w:spacing w:line="380" w:lineRule="exact"/>
              <w:jc w:val="both"/>
              <w:textAlignment w:val="auto"/>
              <w:rPr>
                <w:rFonts w:eastAsia="等线" w:cs="Times New Roman"/>
                <w:kern w:val="2"/>
                <w:sz w:val="21"/>
                <w:szCs w:val="21"/>
              </w:rPr>
            </w:pPr>
            <w:r>
              <w:rPr>
                <w:rFonts w:eastAsia="等线" w:cs="Times New Roman"/>
                <w:kern w:val="2"/>
                <w:sz w:val="21"/>
                <w:szCs w:val="21"/>
              </w:rPr>
              <w:t>北京市海淀区清华园</w:t>
            </w:r>
          </w:p>
        </w:tc>
        <w:tc>
          <w:tcPr>
            <w:tcW w:w="1559" w:type="dxa"/>
            <w:shd w:val="clear" w:color="auto" w:fill="auto"/>
          </w:tcPr>
          <w:p>
            <w:pPr>
              <w:adjustRightInd/>
              <w:spacing w:line="380" w:lineRule="exact"/>
              <w:jc w:val="both"/>
              <w:textAlignment w:val="auto"/>
              <w:rPr>
                <w:rFonts w:eastAsia="等线" w:cs="Times New Roman"/>
                <w:kern w:val="2"/>
                <w:sz w:val="21"/>
                <w:szCs w:val="21"/>
              </w:rPr>
            </w:pPr>
            <w:r>
              <w:rPr>
                <w:rFonts w:eastAsia="等线" w:cs="Times New Roman"/>
                <w:kern w:val="2"/>
                <w:sz w:val="21"/>
                <w:szCs w:val="21"/>
              </w:rPr>
              <w:t>开户银行：</w:t>
            </w:r>
          </w:p>
        </w:tc>
        <w:tc>
          <w:tcPr>
            <w:tcW w:w="3195" w:type="dxa"/>
            <w:shd w:val="clear" w:color="auto" w:fill="auto"/>
          </w:tcPr>
          <w:p>
            <w:pPr>
              <w:adjustRightInd/>
              <w:spacing w:line="380" w:lineRule="exact"/>
              <w:jc w:val="both"/>
              <w:textAlignment w:val="auto"/>
              <w:rPr>
                <w:rFonts w:eastAsia="等线" w:cs="Times New Roman"/>
                <w:kern w:val="2"/>
                <w:sz w:val="21"/>
                <w:szCs w:val="21"/>
              </w:rPr>
            </w:pPr>
            <w:r>
              <w:rPr>
                <w:rFonts w:eastAsia="等线" w:cs="Times New Roman"/>
                <w:kern w:val="2"/>
                <w:sz w:val="21"/>
                <w:szCs w:val="21"/>
              </w:rPr>
              <w:t>工行海淀西区支行</w:t>
            </w:r>
          </w:p>
        </w:tc>
      </w:tr>
      <w:tr>
        <w:tblPrEx>
          <w:tblCellMar>
            <w:top w:w="0" w:type="dxa"/>
            <w:left w:w="108" w:type="dxa"/>
            <w:bottom w:w="0" w:type="dxa"/>
            <w:right w:w="108" w:type="dxa"/>
          </w:tblCellMar>
        </w:tblPrEx>
        <w:tc>
          <w:tcPr>
            <w:tcW w:w="1555" w:type="dxa"/>
            <w:shd w:val="clear" w:color="auto" w:fill="auto"/>
          </w:tcPr>
          <w:p>
            <w:pPr>
              <w:adjustRightInd/>
              <w:spacing w:line="380" w:lineRule="exact"/>
              <w:jc w:val="both"/>
              <w:textAlignment w:val="auto"/>
              <w:rPr>
                <w:rFonts w:eastAsia="等线" w:cs="Times New Roman"/>
                <w:kern w:val="2"/>
                <w:sz w:val="21"/>
                <w:szCs w:val="21"/>
              </w:rPr>
            </w:pPr>
            <w:r>
              <w:rPr>
                <w:rFonts w:eastAsia="等线" w:cs="Times New Roman"/>
                <w:kern w:val="2"/>
                <w:sz w:val="21"/>
                <w:szCs w:val="21"/>
              </w:rPr>
              <w:t xml:space="preserve">税号：                       </w:t>
            </w:r>
          </w:p>
        </w:tc>
        <w:tc>
          <w:tcPr>
            <w:tcW w:w="2551" w:type="dxa"/>
            <w:shd w:val="clear" w:color="auto" w:fill="auto"/>
          </w:tcPr>
          <w:p>
            <w:pPr>
              <w:adjustRightInd/>
              <w:spacing w:line="380" w:lineRule="exact"/>
              <w:jc w:val="both"/>
              <w:textAlignment w:val="auto"/>
              <w:rPr>
                <w:rFonts w:eastAsia="等线" w:cs="Times New Roman"/>
                <w:kern w:val="2"/>
                <w:sz w:val="21"/>
                <w:szCs w:val="21"/>
              </w:rPr>
            </w:pPr>
            <w:r>
              <w:rPr>
                <w:rFonts w:eastAsia="等线" w:cs="Times New Roman"/>
                <w:kern w:val="2"/>
                <w:sz w:val="21"/>
                <w:szCs w:val="21"/>
              </w:rPr>
              <w:t>12100000400000624D</w:t>
            </w:r>
          </w:p>
        </w:tc>
        <w:tc>
          <w:tcPr>
            <w:tcW w:w="1559" w:type="dxa"/>
            <w:shd w:val="clear" w:color="auto" w:fill="auto"/>
          </w:tcPr>
          <w:p>
            <w:pPr>
              <w:adjustRightInd/>
              <w:spacing w:line="380" w:lineRule="exact"/>
              <w:jc w:val="both"/>
              <w:textAlignment w:val="auto"/>
              <w:rPr>
                <w:rFonts w:eastAsia="等线" w:cs="Times New Roman"/>
                <w:kern w:val="2"/>
                <w:sz w:val="21"/>
                <w:szCs w:val="21"/>
              </w:rPr>
            </w:pPr>
            <w:r>
              <w:rPr>
                <w:rFonts w:eastAsia="等线" w:cs="Times New Roman"/>
                <w:kern w:val="2"/>
                <w:sz w:val="21"/>
                <w:szCs w:val="21"/>
              </w:rPr>
              <w:t>银行账号：</w:t>
            </w:r>
          </w:p>
        </w:tc>
        <w:tc>
          <w:tcPr>
            <w:tcW w:w="3195" w:type="dxa"/>
            <w:shd w:val="clear" w:color="auto" w:fill="auto"/>
          </w:tcPr>
          <w:p>
            <w:pPr>
              <w:adjustRightInd/>
              <w:spacing w:line="380" w:lineRule="exact"/>
              <w:jc w:val="both"/>
              <w:textAlignment w:val="auto"/>
              <w:rPr>
                <w:rFonts w:eastAsia="等线" w:cs="Times New Roman"/>
                <w:kern w:val="2"/>
                <w:sz w:val="21"/>
                <w:szCs w:val="21"/>
              </w:rPr>
            </w:pPr>
            <w:r>
              <w:rPr>
                <w:rFonts w:eastAsia="等线" w:cs="Times New Roman"/>
                <w:kern w:val="2"/>
                <w:sz w:val="21"/>
                <w:szCs w:val="21"/>
              </w:rPr>
              <w:t>0200004509089131550</w:t>
            </w:r>
          </w:p>
        </w:tc>
      </w:tr>
      <w:tr>
        <w:tblPrEx>
          <w:tblCellMar>
            <w:top w:w="0" w:type="dxa"/>
            <w:left w:w="108" w:type="dxa"/>
            <w:bottom w:w="0" w:type="dxa"/>
            <w:right w:w="108" w:type="dxa"/>
          </w:tblCellMar>
        </w:tblPrEx>
        <w:tc>
          <w:tcPr>
            <w:tcW w:w="1555" w:type="dxa"/>
            <w:shd w:val="clear" w:color="auto" w:fill="auto"/>
          </w:tcPr>
          <w:p>
            <w:pPr>
              <w:adjustRightInd/>
              <w:spacing w:line="380" w:lineRule="exact"/>
              <w:jc w:val="both"/>
              <w:textAlignment w:val="auto"/>
              <w:rPr>
                <w:rFonts w:eastAsia="等线" w:cs="Times New Roman"/>
                <w:kern w:val="2"/>
                <w:sz w:val="21"/>
                <w:szCs w:val="21"/>
              </w:rPr>
            </w:pPr>
            <w:r>
              <w:rPr>
                <w:rFonts w:hint="eastAsia" w:eastAsia="等线" w:cs="Times New Roman"/>
                <w:kern w:val="2"/>
                <w:sz w:val="21"/>
                <w:szCs w:val="21"/>
              </w:rPr>
              <w:t>项目负责</w:t>
            </w:r>
            <w:r>
              <w:rPr>
                <w:rFonts w:eastAsia="等线" w:cs="Times New Roman"/>
                <w:kern w:val="2"/>
                <w:sz w:val="21"/>
                <w:szCs w:val="21"/>
              </w:rPr>
              <w:t xml:space="preserve">人：                         </w:t>
            </w:r>
          </w:p>
        </w:tc>
        <w:tc>
          <w:tcPr>
            <w:tcW w:w="2551" w:type="dxa"/>
            <w:shd w:val="clear" w:color="auto" w:fill="auto"/>
          </w:tcPr>
          <w:p>
            <w:pPr>
              <w:adjustRightInd/>
              <w:spacing w:line="380" w:lineRule="exact"/>
              <w:jc w:val="both"/>
              <w:textAlignment w:val="auto"/>
              <w:rPr>
                <w:rFonts w:eastAsia="等线" w:cs="Times New Roman"/>
                <w:kern w:val="2"/>
                <w:sz w:val="21"/>
                <w:szCs w:val="21"/>
              </w:rPr>
            </w:pPr>
          </w:p>
        </w:tc>
        <w:tc>
          <w:tcPr>
            <w:tcW w:w="1559" w:type="dxa"/>
            <w:shd w:val="clear" w:color="auto" w:fill="auto"/>
          </w:tcPr>
          <w:p>
            <w:pPr>
              <w:adjustRightInd/>
              <w:spacing w:line="380" w:lineRule="exact"/>
              <w:jc w:val="both"/>
              <w:textAlignment w:val="auto"/>
              <w:rPr>
                <w:rFonts w:eastAsia="等线" w:cs="Times New Roman"/>
                <w:kern w:val="2"/>
                <w:sz w:val="21"/>
                <w:szCs w:val="21"/>
              </w:rPr>
            </w:pPr>
            <w:r>
              <w:rPr>
                <w:rFonts w:hint="eastAsia" w:eastAsia="等线" w:cs="Times New Roman"/>
                <w:kern w:val="2"/>
                <w:sz w:val="21"/>
                <w:szCs w:val="21"/>
              </w:rPr>
              <w:t>联系</w:t>
            </w:r>
            <w:r>
              <w:rPr>
                <w:rFonts w:eastAsia="等线" w:cs="Times New Roman"/>
                <w:kern w:val="2"/>
                <w:sz w:val="21"/>
                <w:szCs w:val="21"/>
              </w:rPr>
              <w:t>人：</w:t>
            </w:r>
          </w:p>
        </w:tc>
        <w:tc>
          <w:tcPr>
            <w:tcW w:w="3195" w:type="dxa"/>
            <w:shd w:val="clear" w:color="auto" w:fill="auto"/>
          </w:tcPr>
          <w:p>
            <w:pPr>
              <w:adjustRightInd/>
              <w:spacing w:line="380" w:lineRule="exact"/>
              <w:jc w:val="both"/>
              <w:textAlignment w:val="auto"/>
              <w:rPr>
                <w:rFonts w:eastAsia="等线" w:cs="Times New Roman"/>
                <w:kern w:val="2"/>
                <w:sz w:val="21"/>
                <w:szCs w:val="21"/>
              </w:rPr>
            </w:pPr>
          </w:p>
        </w:tc>
      </w:tr>
      <w:tr>
        <w:tblPrEx>
          <w:tblCellMar>
            <w:top w:w="0" w:type="dxa"/>
            <w:left w:w="108" w:type="dxa"/>
            <w:bottom w:w="0" w:type="dxa"/>
            <w:right w:w="108" w:type="dxa"/>
          </w:tblCellMar>
        </w:tblPrEx>
        <w:tc>
          <w:tcPr>
            <w:tcW w:w="1555" w:type="dxa"/>
            <w:shd w:val="clear" w:color="auto" w:fill="auto"/>
          </w:tcPr>
          <w:p>
            <w:pPr>
              <w:adjustRightInd/>
              <w:spacing w:line="380" w:lineRule="exact"/>
              <w:jc w:val="both"/>
              <w:textAlignment w:val="auto"/>
              <w:rPr>
                <w:rFonts w:eastAsia="等线" w:cs="Times New Roman"/>
                <w:kern w:val="2"/>
                <w:sz w:val="21"/>
                <w:szCs w:val="21"/>
              </w:rPr>
            </w:pPr>
            <w:r>
              <w:rPr>
                <w:rFonts w:eastAsia="等线" w:cs="Times New Roman"/>
                <w:kern w:val="2"/>
                <w:sz w:val="21"/>
                <w:szCs w:val="21"/>
              </w:rPr>
              <w:t>联系方式：</w:t>
            </w:r>
          </w:p>
        </w:tc>
        <w:tc>
          <w:tcPr>
            <w:tcW w:w="2551" w:type="dxa"/>
            <w:shd w:val="clear" w:color="auto" w:fill="auto"/>
          </w:tcPr>
          <w:p>
            <w:pPr>
              <w:adjustRightInd/>
              <w:spacing w:line="380" w:lineRule="exact"/>
              <w:jc w:val="both"/>
              <w:textAlignment w:val="auto"/>
              <w:rPr>
                <w:rFonts w:eastAsia="等线" w:cs="Times New Roman"/>
                <w:kern w:val="2"/>
                <w:sz w:val="21"/>
                <w:szCs w:val="21"/>
              </w:rPr>
            </w:pPr>
          </w:p>
        </w:tc>
        <w:tc>
          <w:tcPr>
            <w:tcW w:w="1559" w:type="dxa"/>
            <w:shd w:val="clear" w:color="auto" w:fill="auto"/>
          </w:tcPr>
          <w:p>
            <w:pPr>
              <w:adjustRightInd/>
              <w:spacing w:line="380" w:lineRule="exact"/>
              <w:jc w:val="both"/>
              <w:textAlignment w:val="auto"/>
              <w:rPr>
                <w:rFonts w:eastAsia="等线" w:cs="Times New Roman"/>
                <w:kern w:val="2"/>
                <w:sz w:val="21"/>
                <w:szCs w:val="21"/>
              </w:rPr>
            </w:pPr>
            <w:r>
              <w:rPr>
                <w:rFonts w:hint="eastAsia" w:eastAsia="等线" w:cs="Times New Roman"/>
                <w:kern w:val="2"/>
                <w:sz w:val="21"/>
                <w:szCs w:val="21"/>
              </w:rPr>
              <w:t>联系方式</w:t>
            </w:r>
            <w:r>
              <w:rPr>
                <w:rFonts w:eastAsia="等线" w:cs="Times New Roman"/>
                <w:kern w:val="2"/>
                <w:sz w:val="21"/>
                <w:szCs w:val="21"/>
              </w:rPr>
              <w:t>：</w:t>
            </w:r>
          </w:p>
        </w:tc>
        <w:tc>
          <w:tcPr>
            <w:tcW w:w="3195" w:type="dxa"/>
            <w:shd w:val="clear" w:color="auto" w:fill="auto"/>
          </w:tcPr>
          <w:p>
            <w:pPr>
              <w:adjustRightInd/>
              <w:spacing w:line="380" w:lineRule="exact"/>
              <w:ind w:left="34" w:hanging="33" w:hangingChars="16"/>
              <w:jc w:val="both"/>
              <w:textAlignment w:val="auto"/>
              <w:rPr>
                <w:rFonts w:eastAsia="等线" w:cs="Times New Roman"/>
                <w:kern w:val="2"/>
                <w:sz w:val="21"/>
                <w:szCs w:val="21"/>
              </w:rPr>
            </w:pPr>
          </w:p>
        </w:tc>
      </w:tr>
      <w:tr>
        <w:tblPrEx>
          <w:tblCellMar>
            <w:top w:w="0" w:type="dxa"/>
            <w:left w:w="108" w:type="dxa"/>
            <w:bottom w:w="0" w:type="dxa"/>
            <w:right w:w="108" w:type="dxa"/>
          </w:tblCellMar>
        </w:tblPrEx>
        <w:tc>
          <w:tcPr>
            <w:tcW w:w="1555" w:type="dxa"/>
            <w:shd w:val="clear" w:color="auto" w:fill="auto"/>
          </w:tcPr>
          <w:p>
            <w:pPr>
              <w:adjustRightInd/>
              <w:spacing w:line="380" w:lineRule="exact"/>
              <w:jc w:val="both"/>
              <w:textAlignment w:val="auto"/>
              <w:rPr>
                <w:rFonts w:eastAsia="等线" w:cs="Times New Roman"/>
                <w:kern w:val="2"/>
                <w:sz w:val="21"/>
                <w:szCs w:val="21"/>
              </w:rPr>
            </w:pPr>
            <w:r>
              <w:rPr>
                <w:rFonts w:eastAsia="等线" w:cs="Times New Roman"/>
                <w:kern w:val="2"/>
                <w:sz w:val="21"/>
                <w:szCs w:val="21"/>
              </w:rPr>
              <w:t xml:space="preserve">传真：                     </w:t>
            </w:r>
          </w:p>
        </w:tc>
        <w:tc>
          <w:tcPr>
            <w:tcW w:w="2551" w:type="dxa"/>
            <w:shd w:val="clear" w:color="auto" w:fill="auto"/>
          </w:tcPr>
          <w:p>
            <w:pPr>
              <w:adjustRightInd/>
              <w:spacing w:line="380" w:lineRule="exact"/>
              <w:jc w:val="both"/>
              <w:textAlignment w:val="auto"/>
              <w:rPr>
                <w:rFonts w:eastAsia="等线" w:cs="Times New Roman"/>
                <w:kern w:val="2"/>
                <w:sz w:val="18"/>
                <w:szCs w:val="18"/>
              </w:rPr>
            </w:pPr>
          </w:p>
        </w:tc>
        <w:tc>
          <w:tcPr>
            <w:tcW w:w="1559" w:type="dxa"/>
            <w:shd w:val="clear" w:color="auto" w:fill="auto"/>
          </w:tcPr>
          <w:p>
            <w:pPr>
              <w:adjustRightInd/>
              <w:spacing w:line="380" w:lineRule="exact"/>
              <w:jc w:val="both"/>
              <w:textAlignment w:val="auto"/>
              <w:rPr>
                <w:rFonts w:eastAsia="等线" w:cs="Times New Roman"/>
                <w:kern w:val="2"/>
                <w:sz w:val="21"/>
                <w:szCs w:val="21"/>
              </w:rPr>
            </w:pPr>
            <w:r>
              <w:rPr>
                <w:rFonts w:eastAsia="等线" w:cs="Times New Roman"/>
                <w:kern w:val="2"/>
                <w:sz w:val="21"/>
                <w:szCs w:val="21"/>
              </w:rPr>
              <w:t>电子邮箱：</w:t>
            </w:r>
          </w:p>
        </w:tc>
        <w:tc>
          <w:tcPr>
            <w:tcW w:w="3195" w:type="dxa"/>
            <w:shd w:val="clear" w:color="auto" w:fill="auto"/>
          </w:tcPr>
          <w:p>
            <w:pPr>
              <w:adjustRightInd/>
              <w:spacing w:line="380" w:lineRule="exact"/>
              <w:jc w:val="both"/>
              <w:textAlignment w:val="auto"/>
              <w:rPr>
                <w:rFonts w:eastAsia="等线" w:cs="Times New Roman"/>
                <w:kern w:val="2"/>
                <w:sz w:val="21"/>
                <w:szCs w:val="21"/>
              </w:rPr>
            </w:pPr>
          </w:p>
        </w:tc>
      </w:tr>
      <w:tr>
        <w:tblPrEx>
          <w:tblCellMar>
            <w:top w:w="0" w:type="dxa"/>
            <w:left w:w="108" w:type="dxa"/>
            <w:bottom w:w="0" w:type="dxa"/>
            <w:right w:w="108" w:type="dxa"/>
          </w:tblCellMar>
        </w:tblPrEx>
        <w:tc>
          <w:tcPr>
            <w:tcW w:w="1555" w:type="dxa"/>
            <w:shd w:val="clear" w:color="auto" w:fill="auto"/>
          </w:tcPr>
          <w:p>
            <w:pPr>
              <w:adjustRightInd/>
              <w:spacing w:line="380" w:lineRule="exact"/>
              <w:jc w:val="both"/>
              <w:textAlignment w:val="auto"/>
              <w:rPr>
                <w:rFonts w:eastAsia="等线" w:cs="Times New Roman"/>
                <w:kern w:val="2"/>
                <w:sz w:val="21"/>
                <w:szCs w:val="21"/>
              </w:rPr>
            </w:pPr>
            <w:r>
              <w:rPr>
                <w:rFonts w:eastAsia="等线" w:cs="Times New Roman"/>
                <w:kern w:val="2"/>
                <w:sz w:val="21"/>
                <w:szCs w:val="21"/>
              </w:rPr>
              <w:t>签字地点：</w:t>
            </w:r>
          </w:p>
        </w:tc>
        <w:tc>
          <w:tcPr>
            <w:tcW w:w="2551" w:type="dxa"/>
            <w:shd w:val="clear" w:color="auto" w:fill="auto"/>
          </w:tcPr>
          <w:p>
            <w:pPr>
              <w:adjustRightInd/>
              <w:spacing w:line="380" w:lineRule="exact"/>
              <w:jc w:val="both"/>
              <w:textAlignment w:val="auto"/>
              <w:rPr>
                <w:rFonts w:eastAsia="等线" w:cs="Times New Roman"/>
                <w:kern w:val="2"/>
                <w:sz w:val="21"/>
                <w:szCs w:val="21"/>
              </w:rPr>
            </w:pPr>
            <w:r>
              <w:rPr>
                <w:rFonts w:eastAsia="等线" w:cs="Times New Roman"/>
                <w:kern w:val="2"/>
                <w:sz w:val="21"/>
                <w:szCs w:val="21"/>
              </w:rPr>
              <w:t>清华大学</w:t>
            </w:r>
          </w:p>
        </w:tc>
        <w:tc>
          <w:tcPr>
            <w:tcW w:w="1559" w:type="dxa"/>
            <w:shd w:val="clear" w:color="auto" w:fill="auto"/>
          </w:tcPr>
          <w:p>
            <w:pPr>
              <w:adjustRightInd/>
              <w:spacing w:line="380" w:lineRule="exact"/>
              <w:jc w:val="both"/>
              <w:textAlignment w:val="auto"/>
              <w:rPr>
                <w:rFonts w:eastAsia="等线" w:cs="Times New Roman"/>
                <w:kern w:val="2"/>
                <w:sz w:val="21"/>
                <w:szCs w:val="21"/>
              </w:rPr>
            </w:pPr>
            <w:r>
              <w:rPr>
                <w:rFonts w:eastAsia="等线" w:cs="Times New Roman"/>
                <w:kern w:val="2"/>
                <w:sz w:val="21"/>
                <w:szCs w:val="21"/>
              </w:rPr>
              <w:t>签字日期：</w:t>
            </w:r>
          </w:p>
        </w:tc>
        <w:tc>
          <w:tcPr>
            <w:tcW w:w="3195" w:type="dxa"/>
            <w:shd w:val="clear" w:color="auto" w:fill="auto"/>
          </w:tcPr>
          <w:p>
            <w:pPr>
              <w:adjustRightInd/>
              <w:spacing w:line="380" w:lineRule="exact"/>
              <w:jc w:val="both"/>
              <w:textAlignment w:val="auto"/>
              <w:rPr>
                <w:rFonts w:eastAsia="等线" w:cs="Times New Roman"/>
                <w:kern w:val="2"/>
                <w:sz w:val="21"/>
                <w:szCs w:val="21"/>
              </w:rPr>
            </w:pPr>
          </w:p>
        </w:tc>
      </w:tr>
    </w:tbl>
    <w:p>
      <w:pPr>
        <w:adjustRightInd/>
        <w:spacing w:before="120" w:beforeLines="50" w:after="120" w:afterLines="50" w:line="380" w:lineRule="exact"/>
        <w:jc w:val="both"/>
        <w:textAlignment w:val="auto"/>
        <w:rPr>
          <w:rFonts w:eastAsia="等线" w:cs="Times New Roman"/>
          <w:b/>
          <w:bCs/>
          <w:kern w:val="2"/>
          <w:u w:val="single"/>
        </w:rPr>
      </w:pPr>
      <w:r>
        <w:rPr>
          <w:rFonts w:eastAsia="等线" w:cs="Times New Roman"/>
          <w:b/>
          <w:bCs/>
          <w:kern w:val="2"/>
        </w:rPr>
        <w:t>乙方（盖章）：</w:t>
      </w:r>
    </w:p>
    <w:tbl>
      <w:tblPr>
        <w:tblStyle w:val="26"/>
        <w:tblW w:w="8926" w:type="dxa"/>
        <w:tblInd w:w="108" w:type="dxa"/>
        <w:tblLayout w:type="autofit"/>
        <w:tblCellMar>
          <w:top w:w="0" w:type="dxa"/>
          <w:left w:w="108" w:type="dxa"/>
          <w:bottom w:w="0" w:type="dxa"/>
          <w:right w:w="108" w:type="dxa"/>
        </w:tblCellMar>
      </w:tblPr>
      <w:tblGrid>
        <w:gridCol w:w="2122"/>
        <w:gridCol w:w="1984"/>
        <w:gridCol w:w="1559"/>
        <w:gridCol w:w="3261"/>
      </w:tblGrid>
      <w:tr>
        <w:tblPrEx>
          <w:tblCellMar>
            <w:top w:w="0" w:type="dxa"/>
            <w:left w:w="108" w:type="dxa"/>
            <w:bottom w:w="0" w:type="dxa"/>
            <w:right w:w="108" w:type="dxa"/>
          </w:tblCellMar>
        </w:tblPrEx>
        <w:tc>
          <w:tcPr>
            <w:tcW w:w="4106" w:type="dxa"/>
            <w:gridSpan w:val="2"/>
            <w:shd w:val="clear" w:color="auto" w:fill="auto"/>
          </w:tcPr>
          <w:p>
            <w:pPr>
              <w:adjustRightInd/>
              <w:spacing w:line="380" w:lineRule="exact"/>
              <w:jc w:val="both"/>
              <w:textAlignment w:val="auto"/>
              <w:rPr>
                <w:rFonts w:eastAsia="等线" w:cs="Times New Roman"/>
                <w:kern w:val="2"/>
                <w:sz w:val="21"/>
                <w:szCs w:val="21"/>
              </w:rPr>
            </w:pPr>
            <w:r>
              <w:rPr>
                <w:rFonts w:eastAsia="等线" w:cs="Times New Roman"/>
                <w:kern w:val="2"/>
                <w:sz w:val="21"/>
                <w:szCs w:val="21"/>
              </w:rPr>
              <w:t>单位名称：</w:t>
            </w:r>
          </w:p>
        </w:tc>
        <w:tc>
          <w:tcPr>
            <w:tcW w:w="1559" w:type="dxa"/>
            <w:shd w:val="clear" w:color="auto" w:fill="auto"/>
          </w:tcPr>
          <w:p>
            <w:pPr>
              <w:adjustRightInd/>
              <w:spacing w:line="380" w:lineRule="exact"/>
              <w:jc w:val="both"/>
              <w:textAlignment w:val="auto"/>
              <w:rPr>
                <w:rFonts w:eastAsia="等线" w:cs="Times New Roman"/>
                <w:kern w:val="2"/>
                <w:sz w:val="21"/>
                <w:szCs w:val="21"/>
              </w:rPr>
            </w:pPr>
            <w:r>
              <w:rPr>
                <w:rFonts w:eastAsia="等线" w:cs="Times New Roman"/>
                <w:kern w:val="2"/>
                <w:sz w:val="21"/>
                <w:szCs w:val="21"/>
              </w:rPr>
              <w:t>法定代表人：</w:t>
            </w:r>
          </w:p>
        </w:tc>
        <w:tc>
          <w:tcPr>
            <w:tcW w:w="3261" w:type="dxa"/>
            <w:shd w:val="clear" w:color="auto" w:fill="auto"/>
          </w:tcPr>
          <w:p>
            <w:pPr>
              <w:adjustRightInd/>
              <w:spacing w:line="380" w:lineRule="exact"/>
              <w:jc w:val="both"/>
              <w:textAlignment w:val="auto"/>
              <w:rPr>
                <w:rFonts w:eastAsia="等线" w:cs="Times New Roman"/>
                <w:kern w:val="2"/>
                <w:sz w:val="21"/>
                <w:szCs w:val="21"/>
              </w:rPr>
            </w:pPr>
          </w:p>
        </w:tc>
      </w:tr>
      <w:tr>
        <w:tblPrEx>
          <w:tblCellMar>
            <w:top w:w="0" w:type="dxa"/>
            <w:left w:w="108" w:type="dxa"/>
            <w:bottom w:w="0" w:type="dxa"/>
            <w:right w:w="108" w:type="dxa"/>
          </w:tblCellMar>
        </w:tblPrEx>
        <w:tc>
          <w:tcPr>
            <w:tcW w:w="4106" w:type="dxa"/>
            <w:gridSpan w:val="2"/>
            <w:shd w:val="clear" w:color="auto" w:fill="auto"/>
          </w:tcPr>
          <w:p>
            <w:pPr>
              <w:adjustRightInd/>
              <w:spacing w:line="380" w:lineRule="exact"/>
              <w:jc w:val="both"/>
              <w:textAlignment w:val="auto"/>
              <w:rPr>
                <w:rFonts w:eastAsia="等线" w:cs="Times New Roman"/>
                <w:kern w:val="2"/>
                <w:sz w:val="21"/>
                <w:szCs w:val="21"/>
              </w:rPr>
            </w:pPr>
            <w:r>
              <w:rPr>
                <w:rFonts w:eastAsia="等线" w:cs="Times New Roman"/>
                <w:kern w:val="2"/>
                <w:sz w:val="21"/>
                <w:szCs w:val="21"/>
              </w:rPr>
              <w:t>地址：</w:t>
            </w:r>
          </w:p>
        </w:tc>
        <w:tc>
          <w:tcPr>
            <w:tcW w:w="1559" w:type="dxa"/>
            <w:shd w:val="clear" w:color="auto" w:fill="auto"/>
          </w:tcPr>
          <w:p>
            <w:pPr>
              <w:adjustRightInd/>
              <w:spacing w:line="380" w:lineRule="exact"/>
              <w:jc w:val="both"/>
              <w:textAlignment w:val="auto"/>
              <w:rPr>
                <w:rFonts w:eastAsia="等线" w:cs="Times New Roman"/>
                <w:kern w:val="2"/>
                <w:sz w:val="21"/>
                <w:szCs w:val="21"/>
              </w:rPr>
            </w:pPr>
            <w:r>
              <w:rPr>
                <w:rFonts w:eastAsia="等线" w:cs="Times New Roman"/>
                <w:kern w:val="2"/>
                <w:sz w:val="21"/>
                <w:szCs w:val="21"/>
              </w:rPr>
              <w:t>开户银行：</w:t>
            </w:r>
          </w:p>
        </w:tc>
        <w:tc>
          <w:tcPr>
            <w:tcW w:w="3261" w:type="dxa"/>
            <w:shd w:val="clear" w:color="auto" w:fill="auto"/>
          </w:tcPr>
          <w:p>
            <w:pPr>
              <w:adjustRightInd/>
              <w:spacing w:line="380" w:lineRule="exact"/>
              <w:jc w:val="both"/>
              <w:textAlignment w:val="auto"/>
              <w:rPr>
                <w:rFonts w:eastAsia="等线" w:cs="Times New Roman"/>
                <w:kern w:val="2"/>
                <w:sz w:val="21"/>
                <w:szCs w:val="21"/>
              </w:rPr>
            </w:pPr>
          </w:p>
        </w:tc>
      </w:tr>
      <w:tr>
        <w:tblPrEx>
          <w:tblCellMar>
            <w:top w:w="0" w:type="dxa"/>
            <w:left w:w="108" w:type="dxa"/>
            <w:bottom w:w="0" w:type="dxa"/>
            <w:right w:w="108" w:type="dxa"/>
          </w:tblCellMar>
        </w:tblPrEx>
        <w:tc>
          <w:tcPr>
            <w:tcW w:w="2122" w:type="dxa"/>
            <w:shd w:val="clear" w:color="auto" w:fill="auto"/>
          </w:tcPr>
          <w:p>
            <w:pPr>
              <w:adjustRightInd/>
              <w:spacing w:line="380" w:lineRule="exact"/>
              <w:jc w:val="both"/>
              <w:textAlignment w:val="auto"/>
              <w:rPr>
                <w:rFonts w:eastAsia="等线" w:cs="Times New Roman"/>
                <w:kern w:val="2"/>
                <w:sz w:val="21"/>
                <w:szCs w:val="21"/>
              </w:rPr>
            </w:pPr>
            <w:r>
              <w:rPr>
                <w:rFonts w:eastAsia="等线" w:cs="Times New Roman"/>
                <w:kern w:val="2"/>
                <w:sz w:val="21"/>
                <w:szCs w:val="21"/>
              </w:rPr>
              <w:t xml:space="preserve">被授权人（联系人）：                       </w:t>
            </w:r>
          </w:p>
        </w:tc>
        <w:tc>
          <w:tcPr>
            <w:tcW w:w="1984" w:type="dxa"/>
            <w:shd w:val="clear" w:color="auto" w:fill="auto"/>
          </w:tcPr>
          <w:p>
            <w:pPr>
              <w:adjustRightInd/>
              <w:spacing w:line="380" w:lineRule="exact"/>
              <w:jc w:val="both"/>
              <w:textAlignment w:val="auto"/>
              <w:rPr>
                <w:rFonts w:eastAsia="等线" w:cs="Times New Roman"/>
                <w:kern w:val="2"/>
                <w:sz w:val="21"/>
                <w:szCs w:val="21"/>
              </w:rPr>
            </w:pPr>
          </w:p>
        </w:tc>
        <w:tc>
          <w:tcPr>
            <w:tcW w:w="1559" w:type="dxa"/>
            <w:shd w:val="clear" w:color="auto" w:fill="auto"/>
          </w:tcPr>
          <w:p>
            <w:pPr>
              <w:adjustRightInd/>
              <w:spacing w:line="380" w:lineRule="exact"/>
              <w:jc w:val="both"/>
              <w:textAlignment w:val="auto"/>
              <w:rPr>
                <w:rFonts w:eastAsia="等线" w:cs="Times New Roman"/>
                <w:kern w:val="2"/>
                <w:sz w:val="21"/>
                <w:szCs w:val="21"/>
              </w:rPr>
            </w:pPr>
            <w:r>
              <w:rPr>
                <w:rFonts w:eastAsia="等线" w:cs="Times New Roman"/>
                <w:kern w:val="2"/>
                <w:sz w:val="21"/>
                <w:szCs w:val="21"/>
              </w:rPr>
              <w:t>银行账号：</w:t>
            </w:r>
          </w:p>
        </w:tc>
        <w:tc>
          <w:tcPr>
            <w:tcW w:w="3261" w:type="dxa"/>
            <w:shd w:val="clear" w:color="auto" w:fill="auto"/>
          </w:tcPr>
          <w:p>
            <w:pPr>
              <w:adjustRightInd/>
              <w:spacing w:line="380" w:lineRule="exact"/>
              <w:jc w:val="both"/>
              <w:textAlignment w:val="auto"/>
              <w:rPr>
                <w:rFonts w:eastAsia="等线" w:cs="Times New Roman"/>
                <w:kern w:val="2"/>
                <w:sz w:val="21"/>
                <w:szCs w:val="21"/>
              </w:rPr>
            </w:pPr>
          </w:p>
        </w:tc>
      </w:tr>
      <w:tr>
        <w:tblPrEx>
          <w:tblCellMar>
            <w:top w:w="0" w:type="dxa"/>
            <w:left w:w="108" w:type="dxa"/>
            <w:bottom w:w="0" w:type="dxa"/>
            <w:right w:w="108" w:type="dxa"/>
          </w:tblCellMar>
        </w:tblPrEx>
        <w:tc>
          <w:tcPr>
            <w:tcW w:w="2122" w:type="dxa"/>
            <w:shd w:val="clear" w:color="auto" w:fill="auto"/>
          </w:tcPr>
          <w:p>
            <w:pPr>
              <w:adjustRightInd/>
              <w:spacing w:line="380" w:lineRule="exact"/>
              <w:jc w:val="both"/>
              <w:textAlignment w:val="auto"/>
              <w:rPr>
                <w:rFonts w:eastAsia="等线" w:cs="Times New Roman"/>
                <w:b/>
                <w:kern w:val="2"/>
                <w:sz w:val="21"/>
                <w:szCs w:val="21"/>
              </w:rPr>
            </w:pPr>
            <w:r>
              <w:rPr>
                <w:rFonts w:eastAsia="等线" w:cs="Times New Roman"/>
                <w:b/>
                <w:kern w:val="2"/>
                <w:sz w:val="21"/>
                <w:szCs w:val="21"/>
              </w:rPr>
              <w:t>联系方式</w:t>
            </w:r>
            <w:r>
              <w:rPr>
                <w:rFonts w:hint="eastAsia" w:eastAsia="等线" w:cs="Times New Roman"/>
                <w:b/>
                <w:kern w:val="2"/>
                <w:sz w:val="21"/>
                <w:szCs w:val="21"/>
              </w:rPr>
              <w:t>（</w:t>
            </w:r>
            <w:r>
              <w:rPr>
                <w:rFonts w:eastAsia="等线" w:cs="Times New Roman"/>
                <w:b/>
                <w:kern w:val="2"/>
                <w:sz w:val="21"/>
                <w:szCs w:val="21"/>
              </w:rPr>
              <w:t>座机</w:t>
            </w:r>
            <w:r>
              <w:rPr>
                <w:rFonts w:hint="eastAsia" w:eastAsia="等线" w:cs="Times New Roman"/>
                <w:b/>
                <w:kern w:val="2"/>
                <w:sz w:val="21"/>
                <w:szCs w:val="21"/>
              </w:rPr>
              <w:t>）</w:t>
            </w:r>
            <w:r>
              <w:rPr>
                <w:rFonts w:eastAsia="等线" w:cs="Times New Roman"/>
                <w:b/>
                <w:kern w:val="2"/>
                <w:sz w:val="21"/>
                <w:szCs w:val="21"/>
              </w:rPr>
              <w:t>：</w:t>
            </w:r>
          </w:p>
        </w:tc>
        <w:tc>
          <w:tcPr>
            <w:tcW w:w="1984" w:type="dxa"/>
            <w:shd w:val="clear" w:color="auto" w:fill="auto"/>
          </w:tcPr>
          <w:p>
            <w:pPr>
              <w:adjustRightInd/>
              <w:spacing w:line="380" w:lineRule="exact"/>
              <w:jc w:val="both"/>
              <w:textAlignment w:val="auto"/>
              <w:rPr>
                <w:rFonts w:eastAsia="等线" w:cs="Times New Roman"/>
                <w:kern w:val="2"/>
                <w:sz w:val="21"/>
                <w:szCs w:val="21"/>
              </w:rPr>
            </w:pPr>
          </w:p>
        </w:tc>
        <w:tc>
          <w:tcPr>
            <w:tcW w:w="1559" w:type="dxa"/>
            <w:shd w:val="clear" w:color="auto" w:fill="auto"/>
          </w:tcPr>
          <w:p>
            <w:pPr>
              <w:adjustRightInd/>
              <w:spacing w:line="380" w:lineRule="exact"/>
              <w:jc w:val="both"/>
              <w:textAlignment w:val="auto"/>
              <w:rPr>
                <w:rFonts w:eastAsia="等线" w:cs="Times New Roman"/>
                <w:kern w:val="2"/>
                <w:sz w:val="21"/>
                <w:szCs w:val="21"/>
              </w:rPr>
            </w:pPr>
            <w:r>
              <w:rPr>
                <w:rFonts w:eastAsia="等线" w:cs="Times New Roman"/>
                <w:kern w:val="2"/>
                <w:sz w:val="21"/>
                <w:szCs w:val="21"/>
              </w:rPr>
              <w:t>电子邮箱：</w:t>
            </w:r>
          </w:p>
        </w:tc>
        <w:tc>
          <w:tcPr>
            <w:tcW w:w="3261" w:type="dxa"/>
            <w:shd w:val="clear" w:color="auto" w:fill="auto"/>
          </w:tcPr>
          <w:p>
            <w:pPr>
              <w:adjustRightInd/>
              <w:spacing w:line="380" w:lineRule="exact"/>
              <w:jc w:val="both"/>
              <w:textAlignment w:val="auto"/>
              <w:rPr>
                <w:rFonts w:eastAsia="等线" w:cs="Times New Roman"/>
                <w:kern w:val="2"/>
                <w:sz w:val="21"/>
                <w:szCs w:val="21"/>
              </w:rPr>
            </w:pPr>
          </w:p>
        </w:tc>
      </w:tr>
      <w:tr>
        <w:tblPrEx>
          <w:tblCellMar>
            <w:top w:w="0" w:type="dxa"/>
            <w:left w:w="108" w:type="dxa"/>
            <w:bottom w:w="0" w:type="dxa"/>
            <w:right w:w="108" w:type="dxa"/>
          </w:tblCellMar>
        </w:tblPrEx>
        <w:tc>
          <w:tcPr>
            <w:tcW w:w="2122" w:type="dxa"/>
            <w:shd w:val="clear" w:color="auto" w:fill="auto"/>
          </w:tcPr>
          <w:p>
            <w:pPr>
              <w:adjustRightInd/>
              <w:spacing w:line="380" w:lineRule="exact"/>
              <w:jc w:val="both"/>
              <w:textAlignment w:val="auto"/>
              <w:rPr>
                <w:rFonts w:eastAsia="等线" w:cs="Times New Roman"/>
                <w:kern w:val="2"/>
                <w:sz w:val="21"/>
                <w:szCs w:val="21"/>
              </w:rPr>
            </w:pPr>
            <w:r>
              <w:rPr>
                <w:rFonts w:eastAsia="等线" w:cs="Times New Roman"/>
                <w:kern w:val="2"/>
                <w:sz w:val="21"/>
                <w:szCs w:val="21"/>
              </w:rPr>
              <w:t xml:space="preserve">传真：                     </w:t>
            </w:r>
          </w:p>
        </w:tc>
        <w:tc>
          <w:tcPr>
            <w:tcW w:w="1984" w:type="dxa"/>
            <w:shd w:val="clear" w:color="auto" w:fill="auto"/>
          </w:tcPr>
          <w:p>
            <w:pPr>
              <w:adjustRightInd/>
              <w:spacing w:line="380" w:lineRule="exact"/>
              <w:jc w:val="both"/>
              <w:textAlignment w:val="auto"/>
              <w:rPr>
                <w:rFonts w:eastAsia="等线" w:cs="Times New Roman"/>
                <w:kern w:val="2"/>
                <w:sz w:val="21"/>
                <w:szCs w:val="21"/>
              </w:rPr>
            </w:pPr>
          </w:p>
        </w:tc>
        <w:tc>
          <w:tcPr>
            <w:tcW w:w="1559" w:type="dxa"/>
            <w:shd w:val="clear" w:color="auto" w:fill="auto"/>
          </w:tcPr>
          <w:p>
            <w:pPr>
              <w:adjustRightInd/>
              <w:spacing w:line="380" w:lineRule="exact"/>
              <w:jc w:val="both"/>
              <w:textAlignment w:val="auto"/>
              <w:rPr>
                <w:rFonts w:eastAsia="等线" w:cs="Times New Roman"/>
                <w:kern w:val="2"/>
                <w:sz w:val="21"/>
                <w:szCs w:val="21"/>
              </w:rPr>
            </w:pPr>
            <w:r>
              <w:rPr>
                <w:rFonts w:hint="eastAsia" w:eastAsia="等线" w:cs="Times New Roman"/>
                <w:kern w:val="2"/>
                <w:sz w:val="21"/>
                <w:szCs w:val="21"/>
              </w:rPr>
              <w:t>签字日期：</w:t>
            </w:r>
          </w:p>
        </w:tc>
        <w:tc>
          <w:tcPr>
            <w:tcW w:w="3261" w:type="dxa"/>
            <w:shd w:val="clear" w:color="auto" w:fill="auto"/>
          </w:tcPr>
          <w:p>
            <w:pPr>
              <w:adjustRightInd/>
              <w:spacing w:line="380" w:lineRule="exact"/>
              <w:jc w:val="both"/>
              <w:textAlignment w:val="auto"/>
              <w:rPr>
                <w:rFonts w:eastAsia="等线" w:cs="Times New Roman"/>
                <w:kern w:val="2"/>
                <w:sz w:val="21"/>
                <w:szCs w:val="21"/>
              </w:rPr>
            </w:pPr>
          </w:p>
        </w:tc>
      </w:tr>
    </w:tbl>
    <w:p>
      <w:pPr>
        <w:adjustRightInd/>
        <w:spacing w:before="120" w:beforeLines="50" w:after="120" w:afterLines="50" w:line="340" w:lineRule="exact"/>
        <w:ind w:firstLine="420" w:firstLineChars="200"/>
        <w:jc w:val="both"/>
        <w:textAlignment w:val="auto"/>
        <w:rPr>
          <w:rFonts w:eastAsia="等线" w:cs="Times New Roman"/>
          <w:kern w:val="2"/>
          <w:sz w:val="21"/>
          <w:szCs w:val="21"/>
        </w:rPr>
      </w:pPr>
    </w:p>
    <w:p>
      <w:pPr>
        <w:adjustRightInd/>
        <w:spacing w:before="120" w:beforeLines="50" w:after="120" w:afterLines="50" w:line="360" w:lineRule="exact"/>
        <w:ind w:firstLine="420" w:firstLineChars="200"/>
        <w:jc w:val="both"/>
        <w:textAlignment w:val="auto"/>
        <w:rPr>
          <w:rFonts w:eastAsia="等线" w:cs="Times New Roman"/>
          <w:kern w:val="2"/>
          <w:sz w:val="21"/>
          <w:szCs w:val="21"/>
        </w:rPr>
      </w:pPr>
      <w:r>
        <w:rPr>
          <w:rFonts w:hint="eastAsia" w:eastAsia="等线" w:cs="Times New Roman"/>
          <w:kern w:val="2"/>
          <w:sz w:val="21"/>
          <w:szCs w:val="21"/>
        </w:rPr>
        <w:t>清华大学</w:t>
      </w:r>
      <w:r>
        <w:rPr>
          <w:rFonts w:eastAsia="等线" w:cs="Times New Roman"/>
          <w:kern w:val="2"/>
          <w:sz w:val="21"/>
          <w:szCs w:val="21"/>
        </w:rPr>
        <w:t>于</w:t>
      </w:r>
      <w:r>
        <w:rPr>
          <w:rFonts w:eastAsia="等线" w:cs="Times New Roman"/>
          <w:kern w:val="2"/>
          <w:sz w:val="21"/>
          <w:szCs w:val="21"/>
          <w:u w:val="single"/>
        </w:rPr>
        <w:t xml:space="preserve"> </w:t>
      </w:r>
      <w:r>
        <w:rPr>
          <w:rFonts w:hint="eastAsia" w:eastAsia="等线" w:cs="Times New Roman"/>
          <w:kern w:val="2"/>
          <w:sz w:val="21"/>
          <w:szCs w:val="21"/>
          <w:u w:val="single"/>
        </w:rPr>
        <w:t xml:space="preserve">  </w:t>
      </w:r>
      <w:r>
        <w:rPr>
          <w:rFonts w:eastAsia="等线" w:cs="Times New Roman"/>
          <w:kern w:val="2"/>
          <w:sz w:val="21"/>
          <w:szCs w:val="21"/>
          <w:u w:val="single"/>
        </w:rPr>
        <w:t xml:space="preserve">   </w:t>
      </w:r>
      <w:r>
        <w:rPr>
          <w:rFonts w:eastAsia="等线" w:cs="Times New Roman"/>
          <w:kern w:val="2"/>
          <w:sz w:val="21"/>
          <w:szCs w:val="21"/>
        </w:rPr>
        <w:t>年</w:t>
      </w:r>
      <w:r>
        <w:rPr>
          <w:rFonts w:eastAsia="等线" w:cs="Times New Roman"/>
          <w:kern w:val="2"/>
          <w:sz w:val="21"/>
          <w:szCs w:val="21"/>
          <w:u w:val="single"/>
        </w:rPr>
        <w:t xml:space="preserve">   </w:t>
      </w:r>
      <w:r>
        <w:rPr>
          <w:rFonts w:eastAsia="等线" w:cs="Times New Roman"/>
          <w:kern w:val="2"/>
          <w:sz w:val="21"/>
          <w:szCs w:val="21"/>
        </w:rPr>
        <w:t>月</w:t>
      </w:r>
      <w:r>
        <w:rPr>
          <w:rFonts w:eastAsia="等线" w:cs="Times New Roman"/>
          <w:kern w:val="2"/>
          <w:sz w:val="21"/>
          <w:szCs w:val="21"/>
          <w:u w:val="single"/>
        </w:rPr>
        <w:t xml:space="preserve">  </w:t>
      </w:r>
      <w:r>
        <w:rPr>
          <w:rFonts w:eastAsia="等线" w:cs="Times New Roman"/>
          <w:kern w:val="2"/>
          <w:sz w:val="21"/>
          <w:szCs w:val="21"/>
        </w:rPr>
        <w:t>日就</w:t>
      </w:r>
      <w:r>
        <w:rPr>
          <w:rFonts w:eastAsia="等线" w:cs="Times New Roman"/>
          <w:kern w:val="2"/>
          <w:sz w:val="21"/>
          <w:szCs w:val="21"/>
          <w:u w:val="single"/>
        </w:rPr>
        <w:t xml:space="preserve">                </w:t>
      </w:r>
      <w:r>
        <w:rPr>
          <w:rFonts w:eastAsia="等线" w:cs="Times New Roman"/>
          <w:kern w:val="2"/>
          <w:sz w:val="21"/>
          <w:szCs w:val="21"/>
        </w:rPr>
        <w:t>项目进行</w:t>
      </w:r>
      <w:r>
        <w:rPr>
          <w:rFonts w:eastAsia="等线" w:cs="Times New Roman"/>
          <w:kern w:val="2"/>
          <w:sz w:val="21"/>
          <w:szCs w:val="21"/>
          <w:u w:val="single"/>
        </w:rPr>
        <w:t>公开招标</w:t>
      </w:r>
      <w:r>
        <w:rPr>
          <w:rFonts w:eastAsia="等线" w:cs="Times New Roman"/>
          <w:kern w:val="2"/>
          <w:sz w:val="21"/>
          <w:szCs w:val="21"/>
        </w:rPr>
        <w:t>采购，经评定乙方为</w:t>
      </w:r>
      <w:r>
        <w:rPr>
          <w:rFonts w:eastAsia="等线" w:cs="Times New Roman"/>
          <w:kern w:val="2"/>
          <w:sz w:val="21"/>
          <w:szCs w:val="21"/>
          <w:u w:val="single"/>
        </w:rPr>
        <w:t>中标单位</w:t>
      </w:r>
      <w:r>
        <w:rPr>
          <w:rFonts w:eastAsia="等线" w:cs="Times New Roman"/>
          <w:kern w:val="2"/>
          <w:sz w:val="21"/>
          <w:szCs w:val="21"/>
        </w:rPr>
        <w:t>。</w:t>
      </w:r>
      <w:r>
        <w:rPr>
          <w:rFonts w:eastAsia="等线" w:cs="Times New Roman"/>
          <w:color w:val="000000"/>
          <w:kern w:val="2"/>
          <w:sz w:val="21"/>
          <w:szCs w:val="21"/>
        </w:rPr>
        <w:t>甲乙双方同意签署本合同，供双方共同遵守：</w:t>
      </w:r>
    </w:p>
    <w:p>
      <w:pPr>
        <w:spacing w:before="120" w:after="60" w:line="340" w:lineRule="exact"/>
        <w:outlineLvl w:val="0"/>
        <w:rPr>
          <w:rFonts w:ascii="Times New Roman" w:hAnsi="Times New Roman" w:eastAsia="等线" w:cs="Times New Roman"/>
          <w:b/>
          <w:bCs/>
          <w:kern w:val="2"/>
          <w:sz w:val="21"/>
          <w:szCs w:val="21"/>
        </w:rPr>
      </w:pPr>
      <w:bookmarkStart w:id="61" w:name="_Toc6053"/>
      <w:r>
        <w:rPr>
          <w:rFonts w:ascii="Times New Roman" w:hAnsi="Times New Roman" w:eastAsia="等线" w:cs="Times New Roman"/>
          <w:b/>
          <w:bCs/>
          <w:kern w:val="2"/>
          <w:sz w:val="21"/>
          <w:szCs w:val="21"/>
        </w:rPr>
        <w:t>第一条 合同货物</w:t>
      </w:r>
      <w:bookmarkEnd w:id="61"/>
    </w:p>
    <w:p>
      <w:pPr>
        <w:adjustRightInd/>
        <w:spacing w:after="120" w:afterLines="50" w:line="340" w:lineRule="exact"/>
        <w:ind w:firstLine="420" w:firstLineChars="200"/>
        <w:jc w:val="both"/>
        <w:textAlignment w:val="auto"/>
        <w:rPr>
          <w:rFonts w:eastAsia="等线" w:cs="Times New Roman"/>
          <w:bCs/>
          <w:kern w:val="2"/>
          <w:sz w:val="21"/>
          <w:szCs w:val="21"/>
        </w:rPr>
      </w:pPr>
      <w:r>
        <w:rPr>
          <w:rFonts w:eastAsia="等线" w:cs="Times New Roman"/>
          <w:bCs/>
          <w:kern w:val="2"/>
          <w:sz w:val="21"/>
          <w:szCs w:val="21"/>
        </w:rPr>
        <w:t>乙方根据甲方要求提供以下货物：</w:t>
      </w:r>
    </w:p>
    <w:tbl>
      <w:tblPr>
        <w:tblStyle w:val="26"/>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7"/>
        <w:gridCol w:w="1380"/>
        <w:gridCol w:w="1172"/>
        <w:gridCol w:w="1413"/>
        <w:gridCol w:w="855"/>
        <w:gridCol w:w="1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267" w:type="dxa"/>
            <w:shd w:val="clear" w:color="auto" w:fill="auto"/>
          </w:tcPr>
          <w:p>
            <w:pPr>
              <w:adjustRightInd/>
              <w:spacing w:line="340" w:lineRule="exact"/>
              <w:jc w:val="center"/>
              <w:textAlignment w:val="auto"/>
              <w:rPr>
                <w:rFonts w:eastAsia="等线" w:cs="Times New Roman"/>
                <w:b/>
                <w:kern w:val="2"/>
                <w:sz w:val="21"/>
                <w:szCs w:val="21"/>
              </w:rPr>
            </w:pPr>
            <w:r>
              <w:rPr>
                <w:rFonts w:eastAsia="等线" w:cs="Times New Roman"/>
                <w:b/>
                <w:kern w:val="2"/>
                <w:sz w:val="21"/>
                <w:szCs w:val="21"/>
              </w:rPr>
              <w:t>货物品名</w:t>
            </w:r>
          </w:p>
        </w:tc>
        <w:tc>
          <w:tcPr>
            <w:tcW w:w="1380" w:type="dxa"/>
            <w:shd w:val="clear" w:color="auto" w:fill="auto"/>
          </w:tcPr>
          <w:p>
            <w:pPr>
              <w:adjustRightInd/>
              <w:spacing w:line="340" w:lineRule="exact"/>
              <w:jc w:val="center"/>
              <w:textAlignment w:val="auto"/>
              <w:rPr>
                <w:rFonts w:eastAsia="等线" w:cs="Times New Roman"/>
                <w:b/>
                <w:kern w:val="2"/>
                <w:sz w:val="21"/>
                <w:szCs w:val="21"/>
              </w:rPr>
            </w:pPr>
            <w:r>
              <w:rPr>
                <w:rFonts w:eastAsia="等线" w:cs="Times New Roman"/>
                <w:b/>
                <w:kern w:val="2"/>
                <w:sz w:val="21"/>
                <w:szCs w:val="21"/>
              </w:rPr>
              <w:t>制造商</w:t>
            </w:r>
          </w:p>
        </w:tc>
        <w:tc>
          <w:tcPr>
            <w:tcW w:w="1172" w:type="dxa"/>
            <w:shd w:val="clear" w:color="auto" w:fill="auto"/>
          </w:tcPr>
          <w:p>
            <w:pPr>
              <w:adjustRightInd/>
              <w:spacing w:line="340" w:lineRule="exact"/>
              <w:jc w:val="center"/>
              <w:textAlignment w:val="auto"/>
              <w:rPr>
                <w:rFonts w:eastAsia="等线" w:cs="Times New Roman"/>
                <w:b/>
                <w:kern w:val="2"/>
                <w:sz w:val="21"/>
                <w:szCs w:val="21"/>
              </w:rPr>
            </w:pPr>
            <w:r>
              <w:rPr>
                <w:rFonts w:hint="eastAsia" w:eastAsia="等线" w:cs="Times New Roman"/>
                <w:b/>
                <w:kern w:val="2"/>
                <w:sz w:val="21"/>
                <w:szCs w:val="21"/>
              </w:rPr>
              <w:t>型号</w:t>
            </w:r>
          </w:p>
        </w:tc>
        <w:tc>
          <w:tcPr>
            <w:tcW w:w="1413" w:type="dxa"/>
            <w:shd w:val="clear" w:color="auto" w:fill="auto"/>
          </w:tcPr>
          <w:p>
            <w:pPr>
              <w:adjustRightInd/>
              <w:spacing w:line="340" w:lineRule="exact"/>
              <w:jc w:val="center"/>
              <w:textAlignment w:val="auto"/>
              <w:rPr>
                <w:rFonts w:eastAsia="等线" w:cs="Times New Roman"/>
                <w:b/>
                <w:kern w:val="2"/>
                <w:sz w:val="21"/>
                <w:szCs w:val="21"/>
              </w:rPr>
            </w:pPr>
            <w:r>
              <w:rPr>
                <w:rFonts w:hint="eastAsia" w:eastAsia="等线" w:cs="Times New Roman"/>
                <w:b/>
                <w:kern w:val="2"/>
                <w:sz w:val="21"/>
                <w:szCs w:val="21"/>
              </w:rPr>
              <w:t>单价（元）</w:t>
            </w:r>
          </w:p>
        </w:tc>
        <w:tc>
          <w:tcPr>
            <w:tcW w:w="855" w:type="dxa"/>
            <w:shd w:val="clear" w:color="auto" w:fill="auto"/>
          </w:tcPr>
          <w:p>
            <w:pPr>
              <w:adjustRightInd/>
              <w:spacing w:line="340" w:lineRule="exact"/>
              <w:jc w:val="center"/>
              <w:textAlignment w:val="auto"/>
              <w:rPr>
                <w:rFonts w:eastAsia="等线" w:cs="Times New Roman"/>
                <w:b/>
                <w:kern w:val="2"/>
                <w:sz w:val="21"/>
                <w:szCs w:val="21"/>
              </w:rPr>
            </w:pPr>
            <w:r>
              <w:rPr>
                <w:rFonts w:hint="eastAsia" w:eastAsia="等线" w:cs="Times New Roman"/>
                <w:b/>
                <w:kern w:val="2"/>
                <w:sz w:val="21"/>
                <w:szCs w:val="21"/>
              </w:rPr>
              <w:t>数量</w:t>
            </w:r>
          </w:p>
        </w:tc>
        <w:tc>
          <w:tcPr>
            <w:tcW w:w="1555" w:type="dxa"/>
            <w:shd w:val="clear" w:color="auto" w:fill="auto"/>
          </w:tcPr>
          <w:p>
            <w:pPr>
              <w:adjustRightInd/>
              <w:spacing w:line="340" w:lineRule="exact"/>
              <w:jc w:val="center"/>
              <w:textAlignment w:val="auto"/>
              <w:rPr>
                <w:rFonts w:eastAsia="等线" w:cs="Times New Roman"/>
                <w:b/>
                <w:kern w:val="2"/>
                <w:sz w:val="21"/>
                <w:szCs w:val="21"/>
              </w:rPr>
            </w:pPr>
            <w:r>
              <w:rPr>
                <w:rFonts w:hint="eastAsia" w:eastAsia="等线" w:cs="Times New Roman"/>
                <w:b/>
                <w:kern w:val="2"/>
                <w:sz w:val="21"/>
                <w:szCs w:val="21"/>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267" w:type="dxa"/>
            <w:shd w:val="clear" w:color="auto" w:fill="auto"/>
          </w:tcPr>
          <w:p>
            <w:pPr>
              <w:adjustRightInd/>
              <w:spacing w:line="340" w:lineRule="exact"/>
              <w:jc w:val="center"/>
              <w:textAlignment w:val="auto"/>
              <w:rPr>
                <w:rFonts w:eastAsia="等线" w:cs="Times New Roman"/>
                <w:bCs/>
                <w:kern w:val="2"/>
                <w:sz w:val="21"/>
                <w:szCs w:val="21"/>
              </w:rPr>
            </w:pPr>
          </w:p>
        </w:tc>
        <w:tc>
          <w:tcPr>
            <w:tcW w:w="1380" w:type="dxa"/>
            <w:shd w:val="clear" w:color="auto" w:fill="auto"/>
          </w:tcPr>
          <w:p>
            <w:pPr>
              <w:adjustRightInd/>
              <w:spacing w:line="340" w:lineRule="exact"/>
              <w:jc w:val="center"/>
              <w:textAlignment w:val="auto"/>
              <w:rPr>
                <w:rFonts w:eastAsia="等线" w:cs="Times New Roman"/>
                <w:bCs/>
                <w:kern w:val="2"/>
                <w:sz w:val="21"/>
                <w:szCs w:val="21"/>
              </w:rPr>
            </w:pPr>
          </w:p>
        </w:tc>
        <w:tc>
          <w:tcPr>
            <w:tcW w:w="1172" w:type="dxa"/>
            <w:shd w:val="clear" w:color="auto" w:fill="auto"/>
          </w:tcPr>
          <w:p>
            <w:pPr>
              <w:adjustRightInd/>
              <w:spacing w:line="340" w:lineRule="exact"/>
              <w:jc w:val="center"/>
              <w:textAlignment w:val="auto"/>
              <w:rPr>
                <w:rFonts w:eastAsia="等线" w:cs="Times New Roman"/>
                <w:bCs/>
                <w:kern w:val="2"/>
                <w:sz w:val="21"/>
                <w:szCs w:val="21"/>
              </w:rPr>
            </w:pPr>
          </w:p>
        </w:tc>
        <w:tc>
          <w:tcPr>
            <w:tcW w:w="1413" w:type="dxa"/>
            <w:shd w:val="clear" w:color="auto" w:fill="auto"/>
          </w:tcPr>
          <w:p>
            <w:pPr>
              <w:adjustRightInd/>
              <w:spacing w:line="340" w:lineRule="exact"/>
              <w:jc w:val="center"/>
              <w:textAlignment w:val="auto"/>
              <w:rPr>
                <w:rFonts w:eastAsia="等线" w:cs="Times New Roman"/>
                <w:bCs/>
                <w:kern w:val="2"/>
                <w:sz w:val="21"/>
                <w:szCs w:val="21"/>
              </w:rPr>
            </w:pPr>
          </w:p>
        </w:tc>
        <w:tc>
          <w:tcPr>
            <w:tcW w:w="855" w:type="dxa"/>
            <w:shd w:val="clear" w:color="auto" w:fill="auto"/>
          </w:tcPr>
          <w:p>
            <w:pPr>
              <w:adjustRightInd/>
              <w:spacing w:line="340" w:lineRule="exact"/>
              <w:jc w:val="center"/>
              <w:textAlignment w:val="auto"/>
              <w:rPr>
                <w:rFonts w:eastAsia="等线" w:cs="Times New Roman"/>
                <w:bCs/>
                <w:kern w:val="2"/>
                <w:sz w:val="21"/>
                <w:szCs w:val="21"/>
              </w:rPr>
            </w:pPr>
          </w:p>
        </w:tc>
        <w:tc>
          <w:tcPr>
            <w:tcW w:w="1555" w:type="dxa"/>
            <w:shd w:val="clear" w:color="auto" w:fill="auto"/>
          </w:tcPr>
          <w:p>
            <w:pPr>
              <w:adjustRightInd/>
              <w:spacing w:line="340" w:lineRule="exact"/>
              <w:jc w:val="center"/>
              <w:textAlignment w:val="auto"/>
              <w:rPr>
                <w:rFonts w:eastAsia="等线" w:cs="Times New Roman"/>
                <w:bCs/>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267" w:type="dxa"/>
            <w:shd w:val="clear" w:color="auto" w:fill="auto"/>
          </w:tcPr>
          <w:p>
            <w:pPr>
              <w:adjustRightInd/>
              <w:spacing w:line="340" w:lineRule="exact"/>
              <w:jc w:val="center"/>
              <w:textAlignment w:val="auto"/>
              <w:rPr>
                <w:rFonts w:eastAsia="等线" w:cs="Times New Roman"/>
                <w:bCs/>
                <w:kern w:val="2"/>
                <w:sz w:val="21"/>
                <w:szCs w:val="21"/>
              </w:rPr>
            </w:pPr>
          </w:p>
        </w:tc>
        <w:tc>
          <w:tcPr>
            <w:tcW w:w="1380" w:type="dxa"/>
            <w:shd w:val="clear" w:color="auto" w:fill="auto"/>
          </w:tcPr>
          <w:p>
            <w:pPr>
              <w:adjustRightInd/>
              <w:spacing w:line="340" w:lineRule="exact"/>
              <w:jc w:val="center"/>
              <w:textAlignment w:val="auto"/>
              <w:rPr>
                <w:rFonts w:eastAsia="等线" w:cs="Times New Roman"/>
                <w:bCs/>
                <w:kern w:val="2"/>
                <w:sz w:val="21"/>
                <w:szCs w:val="21"/>
              </w:rPr>
            </w:pPr>
          </w:p>
        </w:tc>
        <w:tc>
          <w:tcPr>
            <w:tcW w:w="1172" w:type="dxa"/>
            <w:shd w:val="clear" w:color="auto" w:fill="auto"/>
          </w:tcPr>
          <w:p>
            <w:pPr>
              <w:adjustRightInd/>
              <w:spacing w:line="340" w:lineRule="exact"/>
              <w:jc w:val="center"/>
              <w:textAlignment w:val="auto"/>
              <w:rPr>
                <w:rFonts w:eastAsia="等线" w:cs="Times New Roman"/>
                <w:bCs/>
                <w:kern w:val="2"/>
                <w:sz w:val="21"/>
                <w:szCs w:val="21"/>
              </w:rPr>
            </w:pPr>
          </w:p>
        </w:tc>
        <w:tc>
          <w:tcPr>
            <w:tcW w:w="1413" w:type="dxa"/>
            <w:shd w:val="clear" w:color="auto" w:fill="auto"/>
          </w:tcPr>
          <w:p>
            <w:pPr>
              <w:adjustRightInd/>
              <w:spacing w:line="340" w:lineRule="exact"/>
              <w:jc w:val="center"/>
              <w:textAlignment w:val="auto"/>
              <w:rPr>
                <w:rFonts w:eastAsia="等线" w:cs="Times New Roman"/>
                <w:bCs/>
                <w:kern w:val="2"/>
                <w:sz w:val="21"/>
                <w:szCs w:val="21"/>
              </w:rPr>
            </w:pPr>
          </w:p>
        </w:tc>
        <w:tc>
          <w:tcPr>
            <w:tcW w:w="855" w:type="dxa"/>
            <w:shd w:val="clear" w:color="auto" w:fill="auto"/>
          </w:tcPr>
          <w:p>
            <w:pPr>
              <w:adjustRightInd/>
              <w:spacing w:line="340" w:lineRule="exact"/>
              <w:jc w:val="center"/>
              <w:textAlignment w:val="auto"/>
              <w:rPr>
                <w:rFonts w:eastAsia="等线" w:cs="Times New Roman"/>
                <w:bCs/>
                <w:kern w:val="2"/>
                <w:sz w:val="21"/>
                <w:szCs w:val="21"/>
              </w:rPr>
            </w:pPr>
          </w:p>
        </w:tc>
        <w:tc>
          <w:tcPr>
            <w:tcW w:w="1555" w:type="dxa"/>
            <w:shd w:val="clear" w:color="auto" w:fill="auto"/>
          </w:tcPr>
          <w:p>
            <w:pPr>
              <w:adjustRightInd/>
              <w:spacing w:line="340" w:lineRule="exact"/>
              <w:jc w:val="center"/>
              <w:textAlignment w:val="auto"/>
              <w:rPr>
                <w:rFonts w:eastAsia="等线" w:cs="Times New Roman"/>
                <w:bCs/>
                <w:kern w:val="2"/>
                <w:sz w:val="21"/>
                <w:szCs w:val="21"/>
              </w:rPr>
            </w:pPr>
          </w:p>
        </w:tc>
      </w:tr>
    </w:tbl>
    <w:p>
      <w:pPr>
        <w:adjustRightInd/>
        <w:spacing w:before="120" w:beforeLines="50" w:line="340" w:lineRule="exact"/>
        <w:ind w:firstLine="420" w:firstLineChars="200"/>
        <w:jc w:val="both"/>
        <w:textAlignment w:val="auto"/>
        <w:rPr>
          <w:rFonts w:eastAsia="等线" w:cs="Times New Roman"/>
          <w:bCs/>
          <w:kern w:val="2"/>
          <w:sz w:val="21"/>
          <w:szCs w:val="21"/>
        </w:rPr>
      </w:pPr>
      <w:r>
        <w:rPr>
          <w:rFonts w:eastAsia="等线" w:cs="Times New Roman"/>
          <w:bCs/>
          <w:kern w:val="2"/>
          <w:sz w:val="21"/>
          <w:szCs w:val="21"/>
        </w:rPr>
        <w:t>合同货物性能指标的详细描述</w:t>
      </w:r>
      <w:r>
        <w:rPr>
          <w:rFonts w:hint="eastAsia" w:eastAsia="等线" w:cs="Times New Roman"/>
          <w:bCs/>
          <w:kern w:val="2"/>
          <w:sz w:val="21"/>
          <w:szCs w:val="21"/>
        </w:rPr>
        <w:t>应与开标一览表和投标分项报价表保持一致，合同其他内容应与中标文件、磋商或谈判成交记录保持一致</w:t>
      </w:r>
      <w:r>
        <w:rPr>
          <w:rFonts w:eastAsia="等线" w:cs="Times New Roman"/>
          <w:bCs/>
          <w:kern w:val="2"/>
          <w:sz w:val="21"/>
          <w:szCs w:val="21"/>
        </w:rPr>
        <w:t>。有关货物的</w:t>
      </w:r>
      <w:r>
        <w:rPr>
          <w:rFonts w:hint="eastAsia" w:eastAsia="等线" w:cs="Times New Roman"/>
          <w:bCs/>
          <w:kern w:val="2"/>
          <w:sz w:val="21"/>
          <w:szCs w:val="21"/>
        </w:rPr>
        <w:t>配置、</w:t>
      </w:r>
      <w:r>
        <w:rPr>
          <w:rFonts w:eastAsia="等线" w:cs="Times New Roman"/>
          <w:bCs/>
          <w:kern w:val="2"/>
          <w:sz w:val="21"/>
          <w:szCs w:val="21"/>
        </w:rPr>
        <w:t>技术</w:t>
      </w:r>
      <w:r>
        <w:rPr>
          <w:rFonts w:hint="eastAsia" w:eastAsia="等线" w:cs="Times New Roman"/>
          <w:bCs/>
          <w:kern w:val="2"/>
          <w:sz w:val="21"/>
          <w:szCs w:val="21"/>
        </w:rPr>
        <w:t>指标或者技术</w:t>
      </w:r>
      <w:r>
        <w:rPr>
          <w:rFonts w:eastAsia="等线" w:cs="Times New Roman"/>
          <w:bCs/>
          <w:kern w:val="2"/>
          <w:sz w:val="21"/>
          <w:szCs w:val="21"/>
        </w:rPr>
        <w:t>协议详见附件（如有）。</w:t>
      </w:r>
    </w:p>
    <w:p>
      <w:pPr>
        <w:spacing w:before="120" w:after="60" w:line="340" w:lineRule="exact"/>
        <w:outlineLvl w:val="0"/>
        <w:rPr>
          <w:rFonts w:ascii="Times New Roman" w:hAnsi="Times New Roman" w:eastAsia="等线" w:cs="Times New Roman"/>
          <w:b/>
          <w:bCs/>
          <w:kern w:val="2"/>
          <w:sz w:val="21"/>
          <w:szCs w:val="21"/>
        </w:rPr>
      </w:pPr>
      <w:bookmarkStart w:id="62" w:name="_Toc27477"/>
      <w:r>
        <w:rPr>
          <w:rFonts w:ascii="Times New Roman" w:hAnsi="Times New Roman" w:eastAsia="等线" w:cs="Times New Roman"/>
          <w:b/>
          <w:bCs/>
          <w:kern w:val="2"/>
          <w:sz w:val="21"/>
          <w:szCs w:val="21"/>
        </w:rPr>
        <w:t>第二条 货物质量</w:t>
      </w:r>
      <w:bookmarkEnd w:id="62"/>
    </w:p>
    <w:p>
      <w:pPr>
        <w:adjustRightInd/>
        <w:spacing w:line="340" w:lineRule="exact"/>
        <w:ind w:firstLine="420" w:firstLineChars="200"/>
        <w:jc w:val="both"/>
        <w:textAlignment w:val="auto"/>
        <w:rPr>
          <w:rFonts w:eastAsia="等线" w:cs="Times New Roman"/>
          <w:bCs/>
          <w:kern w:val="2"/>
          <w:sz w:val="21"/>
          <w:szCs w:val="21"/>
        </w:rPr>
      </w:pPr>
      <w:r>
        <w:rPr>
          <w:rFonts w:eastAsia="等线" w:cs="Times New Roman"/>
          <w:bCs/>
          <w:kern w:val="2"/>
          <w:sz w:val="21"/>
          <w:szCs w:val="21"/>
        </w:rPr>
        <w:t>2.1乙方应交付全新的并符合国家相关质量、节能、环保标准和规范要求的货物。国家、行业、企业的标准代号、编号、名称如下：</w:t>
      </w:r>
    </w:p>
    <w:p>
      <w:pPr>
        <w:adjustRightInd/>
        <w:spacing w:line="340" w:lineRule="exact"/>
        <w:ind w:firstLine="420" w:firstLineChars="200"/>
        <w:jc w:val="both"/>
        <w:textAlignment w:val="auto"/>
        <w:rPr>
          <w:rFonts w:eastAsia="等线" w:cs="Times New Roman"/>
          <w:bCs/>
          <w:kern w:val="2"/>
          <w:sz w:val="21"/>
          <w:szCs w:val="21"/>
        </w:rPr>
      </w:pPr>
      <w:r>
        <w:rPr>
          <w:rFonts w:eastAsia="等线" w:cs="Times New Roman"/>
          <w:bCs/>
          <w:kern w:val="2"/>
          <w:sz w:val="21"/>
          <w:szCs w:val="21"/>
        </w:rPr>
        <w:t>（1）国家标准：</w:t>
      </w:r>
      <w:r>
        <w:rPr>
          <w:rFonts w:eastAsia="等线" w:cs="Times New Roman"/>
          <w:bCs/>
          <w:kern w:val="2"/>
          <w:sz w:val="21"/>
          <w:szCs w:val="21"/>
          <w:u w:val="single"/>
        </w:rPr>
        <w:t xml:space="preserve">                             </w:t>
      </w:r>
      <w:r>
        <w:rPr>
          <w:rFonts w:eastAsia="等线" w:cs="Times New Roman"/>
          <w:bCs/>
          <w:kern w:val="2"/>
          <w:sz w:val="21"/>
          <w:szCs w:val="21"/>
        </w:rPr>
        <w:t>；</w:t>
      </w:r>
    </w:p>
    <w:p>
      <w:pPr>
        <w:adjustRightInd/>
        <w:spacing w:line="340" w:lineRule="exact"/>
        <w:ind w:firstLine="420" w:firstLineChars="200"/>
        <w:jc w:val="both"/>
        <w:textAlignment w:val="auto"/>
        <w:rPr>
          <w:rFonts w:eastAsia="等线" w:cs="Times New Roman"/>
          <w:bCs/>
          <w:kern w:val="2"/>
          <w:sz w:val="21"/>
          <w:szCs w:val="21"/>
        </w:rPr>
      </w:pPr>
      <w:r>
        <w:rPr>
          <w:rFonts w:eastAsia="等线" w:cs="Times New Roman"/>
          <w:bCs/>
          <w:kern w:val="2"/>
          <w:sz w:val="21"/>
          <w:szCs w:val="21"/>
        </w:rPr>
        <w:t>（2）行业标准：</w:t>
      </w:r>
      <w:r>
        <w:rPr>
          <w:rFonts w:eastAsia="等线" w:cs="Times New Roman"/>
          <w:bCs/>
          <w:kern w:val="2"/>
          <w:sz w:val="21"/>
          <w:szCs w:val="21"/>
          <w:u w:val="single"/>
        </w:rPr>
        <w:t xml:space="preserve">                             </w:t>
      </w:r>
      <w:r>
        <w:rPr>
          <w:rFonts w:eastAsia="等线" w:cs="Times New Roman"/>
          <w:bCs/>
          <w:kern w:val="2"/>
          <w:sz w:val="21"/>
          <w:szCs w:val="21"/>
        </w:rPr>
        <w:t>；</w:t>
      </w:r>
    </w:p>
    <w:p>
      <w:pPr>
        <w:adjustRightInd/>
        <w:spacing w:line="340" w:lineRule="exact"/>
        <w:ind w:firstLine="420" w:firstLineChars="200"/>
        <w:jc w:val="both"/>
        <w:textAlignment w:val="auto"/>
        <w:rPr>
          <w:rFonts w:eastAsia="等线" w:cs="Times New Roman"/>
          <w:bCs/>
          <w:kern w:val="2"/>
          <w:sz w:val="21"/>
          <w:szCs w:val="21"/>
        </w:rPr>
      </w:pPr>
      <w:r>
        <w:rPr>
          <w:rFonts w:eastAsia="等线" w:cs="Times New Roman"/>
          <w:bCs/>
          <w:kern w:val="2"/>
          <w:sz w:val="21"/>
          <w:szCs w:val="21"/>
        </w:rPr>
        <w:t>（3）企业标准：</w:t>
      </w:r>
      <w:r>
        <w:rPr>
          <w:rFonts w:eastAsia="等线" w:cs="Times New Roman"/>
          <w:bCs/>
          <w:kern w:val="2"/>
          <w:sz w:val="21"/>
          <w:szCs w:val="21"/>
          <w:u w:val="single"/>
        </w:rPr>
        <w:t xml:space="preserve">                             </w:t>
      </w:r>
      <w:r>
        <w:rPr>
          <w:rFonts w:eastAsia="等线" w:cs="Times New Roman"/>
          <w:bCs/>
          <w:kern w:val="2"/>
          <w:sz w:val="21"/>
          <w:szCs w:val="21"/>
        </w:rPr>
        <w:t>；</w:t>
      </w:r>
    </w:p>
    <w:p>
      <w:pPr>
        <w:adjustRightInd/>
        <w:spacing w:line="340" w:lineRule="exact"/>
        <w:ind w:firstLine="420" w:firstLineChars="200"/>
        <w:jc w:val="both"/>
        <w:textAlignment w:val="auto"/>
        <w:rPr>
          <w:rFonts w:eastAsia="等线" w:cs="Times New Roman"/>
          <w:bCs/>
          <w:kern w:val="2"/>
          <w:sz w:val="21"/>
          <w:szCs w:val="21"/>
        </w:rPr>
      </w:pPr>
      <w:r>
        <w:rPr>
          <w:rFonts w:eastAsia="等线" w:cs="Times New Roman"/>
          <w:bCs/>
          <w:kern w:val="2"/>
          <w:sz w:val="21"/>
          <w:szCs w:val="21"/>
        </w:rPr>
        <w:t>2.2乙方提供样品的，样品应封存保管。乙方提供的样品质量说明为本合同不可分割的组成部分。乙方交付的货物应当与样品及其说明的质量相同。</w:t>
      </w:r>
    </w:p>
    <w:p>
      <w:pPr>
        <w:adjustRightInd/>
        <w:spacing w:line="340" w:lineRule="exact"/>
        <w:ind w:firstLine="420" w:firstLineChars="200"/>
        <w:jc w:val="both"/>
        <w:textAlignment w:val="auto"/>
        <w:rPr>
          <w:rFonts w:eastAsia="等线" w:cs="Times New Roman"/>
          <w:bCs/>
          <w:kern w:val="2"/>
          <w:sz w:val="21"/>
          <w:szCs w:val="21"/>
        </w:rPr>
      </w:pPr>
      <w:r>
        <w:rPr>
          <w:rFonts w:eastAsia="等线" w:cs="Times New Roman"/>
          <w:bCs/>
          <w:kern w:val="2"/>
          <w:sz w:val="21"/>
          <w:szCs w:val="21"/>
        </w:rPr>
        <w:t>2.3乙方提供的样品有隐蔽瑕疵的，即使交付的货物与样品相同，乙方交付的货物质量仍然应当符合同种物的通常标准。</w:t>
      </w:r>
    </w:p>
    <w:p>
      <w:pPr>
        <w:spacing w:before="120" w:after="60" w:line="340" w:lineRule="exact"/>
        <w:outlineLvl w:val="0"/>
        <w:rPr>
          <w:rFonts w:ascii="Times New Roman" w:hAnsi="Times New Roman" w:eastAsia="等线" w:cs="Times New Roman"/>
          <w:b/>
          <w:bCs/>
          <w:kern w:val="2"/>
          <w:sz w:val="21"/>
          <w:szCs w:val="21"/>
        </w:rPr>
      </w:pPr>
      <w:bookmarkStart w:id="63" w:name="_Toc32682"/>
      <w:r>
        <w:rPr>
          <w:rFonts w:ascii="Times New Roman" w:hAnsi="Times New Roman" w:eastAsia="等线" w:cs="Times New Roman"/>
          <w:b/>
          <w:bCs/>
          <w:kern w:val="2"/>
          <w:sz w:val="21"/>
          <w:szCs w:val="21"/>
        </w:rPr>
        <w:t>第三条 合同价款</w:t>
      </w:r>
      <w:bookmarkEnd w:id="63"/>
    </w:p>
    <w:p>
      <w:pPr>
        <w:adjustRightInd/>
        <w:spacing w:line="340" w:lineRule="exact"/>
        <w:ind w:firstLine="420" w:firstLineChars="200"/>
        <w:jc w:val="both"/>
        <w:textAlignment w:val="auto"/>
        <w:rPr>
          <w:rFonts w:eastAsia="等线" w:cs="Times New Roman"/>
          <w:bCs/>
          <w:kern w:val="2"/>
          <w:sz w:val="21"/>
          <w:szCs w:val="21"/>
        </w:rPr>
      </w:pPr>
      <w:r>
        <w:rPr>
          <w:rFonts w:eastAsia="等线" w:cs="Times New Roman"/>
          <w:bCs/>
          <w:kern w:val="2"/>
          <w:sz w:val="21"/>
          <w:szCs w:val="21"/>
        </w:rPr>
        <w:t>3.1合同价款为￥</w:t>
      </w:r>
      <w:r>
        <w:rPr>
          <w:rFonts w:eastAsia="等线" w:cs="Times New Roman"/>
          <w:bCs/>
          <w:kern w:val="2"/>
          <w:sz w:val="21"/>
          <w:szCs w:val="21"/>
          <w:u w:val="single"/>
        </w:rPr>
        <w:t xml:space="preserve">            </w:t>
      </w:r>
      <w:r>
        <w:rPr>
          <w:rFonts w:hint="eastAsia" w:eastAsia="等线" w:cs="Times New Roman"/>
          <w:bCs/>
          <w:kern w:val="2"/>
          <w:sz w:val="21"/>
          <w:szCs w:val="21"/>
        </w:rPr>
        <w:t>元</w:t>
      </w:r>
      <w:r>
        <w:rPr>
          <w:rFonts w:eastAsia="等线" w:cs="Times New Roman"/>
          <w:bCs/>
          <w:kern w:val="2"/>
          <w:sz w:val="21"/>
          <w:szCs w:val="21"/>
        </w:rPr>
        <w:t>（大写：人民币</w:t>
      </w:r>
      <w:r>
        <w:rPr>
          <w:rFonts w:eastAsia="等线" w:cs="Times New Roman"/>
          <w:bCs/>
          <w:kern w:val="2"/>
          <w:sz w:val="21"/>
          <w:szCs w:val="21"/>
          <w:u w:val="single"/>
        </w:rPr>
        <w:t xml:space="preserve">            </w:t>
      </w:r>
      <w:r>
        <w:rPr>
          <w:rFonts w:hint="eastAsia" w:eastAsia="等线" w:cs="Times New Roman"/>
          <w:bCs/>
          <w:kern w:val="2"/>
          <w:sz w:val="21"/>
          <w:szCs w:val="21"/>
        </w:rPr>
        <w:t>元</w:t>
      </w:r>
      <w:r>
        <w:rPr>
          <w:rFonts w:eastAsia="等线" w:cs="Times New Roman"/>
          <w:bCs/>
          <w:kern w:val="2"/>
          <w:sz w:val="21"/>
          <w:szCs w:val="21"/>
        </w:rPr>
        <w:t>）。</w:t>
      </w:r>
    </w:p>
    <w:p>
      <w:pPr>
        <w:adjustRightInd/>
        <w:spacing w:line="340" w:lineRule="exact"/>
        <w:ind w:firstLine="420" w:firstLineChars="200"/>
        <w:jc w:val="both"/>
        <w:textAlignment w:val="auto"/>
        <w:rPr>
          <w:rFonts w:eastAsia="等线" w:cs="Times New Roman"/>
          <w:b/>
          <w:bCs/>
          <w:kern w:val="2"/>
          <w:sz w:val="21"/>
          <w:szCs w:val="21"/>
        </w:rPr>
      </w:pPr>
      <w:r>
        <w:rPr>
          <w:rFonts w:eastAsia="等线" w:cs="Times New Roman"/>
          <w:bCs/>
          <w:kern w:val="2"/>
          <w:sz w:val="21"/>
          <w:szCs w:val="21"/>
        </w:rPr>
        <w:t>3.2该合同价款包括货物的设计、制造、包装、仓储、运输、安装及验收合格前及质量保证期内的维修维护、备品备件的所有含税费用，即乙方为完成合同全部义务应承担的一切成本、费用和支出以及乙方的合理利润。</w:t>
      </w:r>
    </w:p>
    <w:p>
      <w:pPr>
        <w:spacing w:before="120" w:after="60" w:line="340" w:lineRule="exact"/>
        <w:outlineLvl w:val="0"/>
        <w:rPr>
          <w:rFonts w:ascii="Times New Roman" w:hAnsi="Times New Roman" w:eastAsia="等线" w:cs="Times New Roman"/>
          <w:b/>
          <w:bCs/>
          <w:kern w:val="2"/>
          <w:sz w:val="21"/>
          <w:szCs w:val="21"/>
        </w:rPr>
      </w:pPr>
      <w:bookmarkStart w:id="64" w:name="_Toc22761"/>
      <w:r>
        <w:rPr>
          <w:rFonts w:ascii="Times New Roman" w:hAnsi="Times New Roman" w:eastAsia="等线" w:cs="Times New Roman"/>
          <w:b/>
          <w:bCs/>
          <w:kern w:val="2"/>
          <w:sz w:val="21"/>
          <w:szCs w:val="21"/>
        </w:rPr>
        <w:t>第四条 合同价款的支付</w:t>
      </w:r>
      <w:bookmarkEnd w:id="64"/>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甲方</w:t>
      </w:r>
      <w:r>
        <w:rPr>
          <w:rFonts w:eastAsia="等线" w:cs="Times New Roman"/>
          <w:bCs/>
          <w:kern w:val="2"/>
          <w:sz w:val="21"/>
          <w:szCs w:val="21"/>
        </w:rPr>
        <w:t>采用下列第</w:t>
      </w:r>
      <w:r>
        <w:rPr>
          <w:rFonts w:hint="eastAsia" w:eastAsia="等线" w:cs="Times New Roman"/>
          <w:bCs/>
          <w:kern w:val="2"/>
          <w:sz w:val="21"/>
          <w:szCs w:val="21"/>
          <w:u w:val="single"/>
        </w:rPr>
        <w:t>4.2</w:t>
      </w:r>
      <w:r>
        <w:rPr>
          <w:rFonts w:eastAsia="等线" w:cs="Times New Roman"/>
          <w:bCs/>
          <w:kern w:val="2"/>
          <w:sz w:val="21"/>
          <w:szCs w:val="21"/>
        </w:rPr>
        <w:t>条的方式支付合同价款。</w:t>
      </w:r>
    </w:p>
    <w:p>
      <w:pPr>
        <w:adjustRightInd/>
        <w:spacing w:before="120" w:beforeLines="50" w:line="340" w:lineRule="exact"/>
        <w:ind w:firstLine="420" w:firstLineChars="200"/>
        <w:jc w:val="both"/>
        <w:textAlignment w:val="auto"/>
        <w:rPr>
          <w:rFonts w:eastAsia="等线" w:cs="Times New Roman"/>
          <w:kern w:val="2"/>
          <w:sz w:val="21"/>
          <w:szCs w:val="21"/>
        </w:rPr>
      </w:pPr>
      <w:r>
        <w:rPr>
          <w:rFonts w:eastAsia="等线" w:cs="Times New Roman"/>
          <w:b/>
          <w:bCs/>
          <w:kern w:val="2"/>
          <w:sz w:val="21"/>
          <w:szCs w:val="21"/>
        </w:rPr>
        <w:t>4.1一次性支付</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乙方按照合同约定交付全部合同货物，完成安装、调试并经甲方验收合格后，甲方在收到乙方提交的下列全部单据并经审核无误后</w:t>
      </w:r>
      <w:r>
        <w:rPr>
          <w:rFonts w:eastAsia="等线" w:cs="Times New Roman"/>
          <w:kern w:val="2"/>
          <w:sz w:val="21"/>
          <w:szCs w:val="21"/>
          <w:u w:val="single"/>
        </w:rPr>
        <w:t xml:space="preserve">    </w:t>
      </w:r>
      <w:r>
        <w:rPr>
          <w:rFonts w:eastAsia="等线" w:cs="Times New Roman"/>
          <w:kern w:val="2"/>
          <w:sz w:val="21"/>
          <w:szCs w:val="21"/>
        </w:rPr>
        <w:t>日内，一次性向乙方支付合同价款。</w:t>
      </w:r>
    </w:p>
    <w:p>
      <w:pPr>
        <w:adjustRightInd/>
        <w:spacing w:line="340" w:lineRule="exact"/>
        <w:ind w:firstLine="420" w:firstLineChars="200"/>
        <w:jc w:val="both"/>
        <w:textAlignment w:val="auto"/>
        <w:rPr>
          <w:rFonts w:ascii="宋体" w:hAnsi="宋体" w:cs="宋体"/>
          <w:kern w:val="2"/>
          <w:sz w:val="21"/>
          <w:szCs w:val="21"/>
        </w:rPr>
      </w:pPr>
      <w:r>
        <w:rPr>
          <w:rFonts w:ascii="宋体" w:hAnsi="宋体" w:cs="宋体"/>
          <w:kern w:val="2"/>
          <w:sz w:val="21"/>
          <w:szCs w:val="21"/>
        </w:rPr>
        <w:t>①</w:t>
      </w:r>
      <w:r>
        <w:rPr>
          <w:rFonts w:hint="eastAsia" w:ascii="宋体" w:hAnsi="宋体" w:cs="宋体"/>
          <w:kern w:val="2"/>
          <w:sz w:val="21"/>
          <w:szCs w:val="21"/>
        </w:rPr>
        <w:t>乙方出具的交货清单原件一份；</w:t>
      </w:r>
    </w:p>
    <w:p>
      <w:pPr>
        <w:adjustRightInd/>
        <w:spacing w:line="340" w:lineRule="exact"/>
        <w:ind w:firstLine="420" w:firstLineChars="200"/>
        <w:jc w:val="both"/>
        <w:textAlignment w:val="auto"/>
        <w:rPr>
          <w:rFonts w:ascii="宋体" w:hAnsi="宋体" w:cs="宋体"/>
          <w:kern w:val="2"/>
          <w:sz w:val="21"/>
          <w:szCs w:val="21"/>
        </w:rPr>
      </w:pPr>
      <w:r>
        <w:rPr>
          <w:rFonts w:ascii="宋体" w:hAnsi="宋体" w:cs="宋体"/>
          <w:kern w:val="2"/>
          <w:sz w:val="21"/>
          <w:szCs w:val="21"/>
        </w:rPr>
        <w:t>②</w:t>
      </w:r>
      <w:r>
        <w:rPr>
          <w:rFonts w:hint="eastAsia" w:ascii="宋体" w:hAnsi="宋体" w:cs="宋体"/>
          <w:kern w:val="2"/>
          <w:sz w:val="21"/>
          <w:szCs w:val="21"/>
        </w:rPr>
        <w:t>甲方签署的收货清单复印件一份；</w:t>
      </w:r>
    </w:p>
    <w:p>
      <w:pPr>
        <w:adjustRightInd/>
        <w:spacing w:line="340" w:lineRule="exact"/>
        <w:ind w:firstLine="420" w:firstLineChars="200"/>
        <w:jc w:val="both"/>
        <w:textAlignment w:val="auto"/>
        <w:rPr>
          <w:rFonts w:ascii="宋体" w:hAnsi="宋体" w:cs="宋体"/>
          <w:kern w:val="2"/>
          <w:sz w:val="21"/>
          <w:szCs w:val="21"/>
        </w:rPr>
      </w:pPr>
      <w:r>
        <w:rPr>
          <w:rFonts w:ascii="宋体" w:hAnsi="宋体" w:cs="宋体"/>
          <w:kern w:val="2"/>
          <w:sz w:val="21"/>
          <w:szCs w:val="21"/>
        </w:rPr>
        <w:t>③</w:t>
      </w:r>
      <w:r>
        <w:rPr>
          <w:rFonts w:hint="eastAsia" w:ascii="宋体" w:hAnsi="宋体" w:cs="宋体"/>
          <w:kern w:val="2"/>
          <w:sz w:val="21"/>
          <w:szCs w:val="21"/>
        </w:rPr>
        <w:t>货物验收记录复印件一份；</w:t>
      </w:r>
    </w:p>
    <w:p>
      <w:pPr>
        <w:adjustRightInd/>
        <w:spacing w:line="340" w:lineRule="exact"/>
        <w:ind w:firstLine="420" w:firstLineChars="200"/>
        <w:jc w:val="both"/>
        <w:textAlignment w:val="auto"/>
        <w:rPr>
          <w:rFonts w:ascii="宋体" w:hAnsi="宋体" w:cs="宋体"/>
          <w:kern w:val="2"/>
          <w:sz w:val="21"/>
          <w:szCs w:val="21"/>
        </w:rPr>
      </w:pPr>
      <w:r>
        <w:rPr>
          <w:rFonts w:hint="eastAsia" w:ascii="宋体" w:hAnsi="宋体" w:cs="宋体"/>
          <w:kern w:val="2"/>
          <w:sz w:val="21"/>
          <w:szCs w:val="21"/>
        </w:rPr>
        <w:t>④制造商出具的出厂质量合格证原件一份；</w:t>
      </w:r>
    </w:p>
    <w:p>
      <w:pPr>
        <w:adjustRightInd/>
        <w:spacing w:line="340" w:lineRule="exact"/>
        <w:ind w:firstLine="420" w:firstLineChars="200"/>
        <w:jc w:val="both"/>
        <w:textAlignment w:val="auto"/>
        <w:rPr>
          <w:rFonts w:eastAsia="等线" w:cs="Times New Roman"/>
          <w:kern w:val="2"/>
          <w:sz w:val="21"/>
          <w:szCs w:val="21"/>
        </w:rPr>
      </w:pPr>
      <w:r>
        <w:rPr>
          <w:rFonts w:hint="eastAsia" w:ascii="宋体" w:hAnsi="宋体" w:cs="宋体"/>
          <w:kern w:val="2"/>
          <w:sz w:val="21"/>
          <w:szCs w:val="21"/>
        </w:rPr>
        <w:t>⑤</w:t>
      </w:r>
      <w:r>
        <w:rPr>
          <w:rFonts w:ascii="宋体" w:hAnsi="宋体" w:cs="宋体"/>
          <w:kern w:val="2"/>
          <w:sz w:val="21"/>
          <w:szCs w:val="21"/>
        </w:rPr>
        <w:t xml:space="preserve"> </w:t>
      </w:r>
      <w:r>
        <w:rPr>
          <w:rFonts w:eastAsia="等线" w:cs="Times New Roman"/>
          <w:kern w:val="2"/>
          <w:sz w:val="21"/>
          <w:szCs w:val="21"/>
        </w:rPr>
        <w:t>合同价格100%金额的增值税</w:t>
      </w:r>
      <w:r>
        <w:rPr>
          <w:rFonts w:hint="eastAsia" w:eastAsia="等线" w:cs="Times New Roman"/>
          <w:kern w:val="2"/>
          <w:sz w:val="21"/>
          <w:szCs w:val="21"/>
        </w:rPr>
        <w:t>（</w:t>
      </w:r>
      <w:r>
        <w:rPr>
          <w:rFonts w:hint="eastAsia" w:eastAsia="等线" w:cs="Times New Roman"/>
          <w:kern w:val="2"/>
          <w:sz w:val="21"/>
          <w:szCs w:val="21"/>
        </w:rPr>
        <w:sym w:font="Wingdings" w:char="00FE"/>
      </w:r>
      <w:r>
        <w:rPr>
          <w:rFonts w:hint="eastAsia" w:eastAsia="等线" w:cs="Times New Roman"/>
          <w:b/>
          <w:kern w:val="2"/>
          <w:sz w:val="21"/>
          <w:szCs w:val="21"/>
        </w:rPr>
        <w:t>专用/</w:t>
      </w:r>
      <w:r>
        <w:rPr>
          <w:rFonts w:hint="eastAsia" w:eastAsia="等线" w:cs="Times New Roman"/>
          <w:kern w:val="2"/>
          <w:sz w:val="21"/>
          <w:szCs w:val="21"/>
        </w:rPr>
        <w:sym w:font="Wingdings" w:char="00A8"/>
      </w:r>
      <w:r>
        <w:rPr>
          <w:rFonts w:eastAsia="等线" w:cs="Times New Roman"/>
          <w:b/>
          <w:kern w:val="2"/>
          <w:sz w:val="21"/>
          <w:szCs w:val="21"/>
        </w:rPr>
        <w:t>普通</w:t>
      </w:r>
      <w:r>
        <w:rPr>
          <w:rFonts w:hint="eastAsia" w:eastAsia="等线" w:cs="Times New Roman"/>
          <w:kern w:val="2"/>
          <w:sz w:val="21"/>
          <w:szCs w:val="21"/>
        </w:rPr>
        <w:t>）</w:t>
      </w:r>
      <w:r>
        <w:rPr>
          <w:rFonts w:eastAsia="等线" w:cs="Times New Roman"/>
          <w:kern w:val="2"/>
          <w:sz w:val="21"/>
          <w:szCs w:val="21"/>
        </w:rPr>
        <w:t>发票原件一份。</w:t>
      </w:r>
    </w:p>
    <w:p>
      <w:pPr>
        <w:adjustRightInd/>
        <w:spacing w:before="120" w:beforeLines="50" w:line="340" w:lineRule="exact"/>
        <w:ind w:firstLine="420" w:firstLineChars="200"/>
        <w:jc w:val="both"/>
        <w:textAlignment w:val="auto"/>
        <w:rPr>
          <w:rFonts w:eastAsia="等线" w:cs="Times New Roman"/>
          <w:b/>
          <w:bCs/>
          <w:kern w:val="2"/>
          <w:sz w:val="21"/>
          <w:szCs w:val="21"/>
        </w:rPr>
      </w:pPr>
      <w:r>
        <w:rPr>
          <w:rFonts w:eastAsia="等线" w:cs="Times New Roman"/>
          <w:b/>
          <w:bCs/>
          <w:kern w:val="2"/>
          <w:sz w:val="21"/>
          <w:szCs w:val="21"/>
        </w:rPr>
        <w:t>4.2分期支付（</w:t>
      </w:r>
      <w:r>
        <w:rPr>
          <w:rFonts w:hint="eastAsia" w:eastAsia="等线" w:cs="Times New Roman"/>
          <w:b/>
          <w:bCs/>
          <w:kern w:val="2"/>
          <w:sz w:val="21"/>
          <w:szCs w:val="21"/>
        </w:rPr>
        <w:t>或者：</w:t>
      </w:r>
      <w:r>
        <w:rPr>
          <w:rFonts w:eastAsia="等线" w:cs="Times New Roman"/>
          <w:b/>
          <w:bCs/>
          <w:kern w:val="2"/>
          <w:sz w:val="21"/>
          <w:szCs w:val="21"/>
        </w:rPr>
        <w:t>在甲方支付尾款前，乙方开具与总合同金额对等的发票）</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（1）合同生效后，甲方</w:t>
      </w:r>
      <w:r>
        <w:rPr>
          <w:rFonts w:hint="eastAsia" w:eastAsia="等线" w:cs="Times New Roman"/>
          <w:kern w:val="2"/>
          <w:sz w:val="21"/>
          <w:szCs w:val="21"/>
        </w:rPr>
        <w:t>在</w:t>
      </w:r>
      <w:r>
        <w:rPr>
          <w:rFonts w:hint="eastAsia" w:eastAsia="等线" w:cs="Times New Roman"/>
          <w:kern w:val="2"/>
          <w:sz w:val="21"/>
          <w:szCs w:val="21"/>
          <w:u w:val="single"/>
        </w:rPr>
        <w:t>5</w:t>
      </w:r>
      <w:r>
        <w:rPr>
          <w:rFonts w:eastAsia="等线" w:cs="Times New Roman"/>
          <w:kern w:val="2"/>
          <w:sz w:val="21"/>
          <w:szCs w:val="21"/>
        </w:rPr>
        <w:t>日内，向乙方支付合同价款的</w:t>
      </w:r>
      <w:r>
        <w:rPr>
          <w:rFonts w:eastAsia="等线" w:cs="Times New Roman"/>
          <w:kern w:val="2"/>
          <w:sz w:val="21"/>
          <w:szCs w:val="21"/>
          <w:u w:val="single"/>
        </w:rPr>
        <w:t xml:space="preserve">  </w:t>
      </w:r>
      <w:r>
        <w:rPr>
          <w:rFonts w:hint="eastAsia" w:eastAsia="等线" w:cs="Times New Roman"/>
          <w:kern w:val="2"/>
          <w:sz w:val="21"/>
          <w:szCs w:val="21"/>
          <w:u w:val="single"/>
          <w:lang w:val="en-US" w:eastAsia="zh-CN"/>
        </w:rPr>
        <w:t>7</w:t>
      </w:r>
      <w:r>
        <w:rPr>
          <w:rFonts w:eastAsia="等线" w:cs="Times New Roman"/>
          <w:kern w:val="2"/>
          <w:sz w:val="21"/>
          <w:szCs w:val="21"/>
          <w:u w:val="single"/>
        </w:rPr>
        <w:t xml:space="preserve">0  </w:t>
      </w:r>
      <w:r>
        <w:rPr>
          <w:rFonts w:eastAsia="等线" w:cs="Times New Roman"/>
          <w:kern w:val="2"/>
          <w:sz w:val="21"/>
          <w:szCs w:val="21"/>
        </w:rPr>
        <w:t>%，即</w:t>
      </w:r>
      <w:r>
        <w:rPr>
          <w:rFonts w:eastAsia="等线" w:cs="Times New Roman"/>
          <w:bCs/>
          <w:kern w:val="2"/>
          <w:sz w:val="21"/>
          <w:szCs w:val="21"/>
        </w:rPr>
        <w:t>￥</w:t>
      </w:r>
      <w:r>
        <w:rPr>
          <w:rFonts w:eastAsia="等线" w:cs="Times New Roman"/>
          <w:bCs/>
          <w:kern w:val="2"/>
          <w:sz w:val="21"/>
          <w:szCs w:val="21"/>
          <w:u w:val="single"/>
        </w:rPr>
        <w:t xml:space="preserve">          </w:t>
      </w:r>
      <w:r>
        <w:rPr>
          <w:rFonts w:hint="eastAsia" w:eastAsia="等线" w:cs="Times New Roman"/>
          <w:bCs/>
          <w:kern w:val="2"/>
          <w:sz w:val="21"/>
          <w:szCs w:val="21"/>
        </w:rPr>
        <w:t>元</w:t>
      </w:r>
      <w:r>
        <w:rPr>
          <w:rFonts w:eastAsia="等线" w:cs="Times New Roman"/>
          <w:bCs/>
          <w:kern w:val="2"/>
          <w:sz w:val="21"/>
          <w:szCs w:val="21"/>
        </w:rPr>
        <w:t xml:space="preserve"> （大写：人民币</w:t>
      </w:r>
      <w:r>
        <w:rPr>
          <w:rFonts w:eastAsia="等线" w:cs="Times New Roman"/>
          <w:bCs/>
          <w:kern w:val="2"/>
          <w:sz w:val="21"/>
          <w:szCs w:val="21"/>
          <w:u w:val="single"/>
        </w:rPr>
        <w:t xml:space="preserve">             </w:t>
      </w:r>
      <w:r>
        <w:rPr>
          <w:rFonts w:hint="eastAsia" w:eastAsia="等线" w:cs="Times New Roman"/>
          <w:bCs/>
          <w:kern w:val="2"/>
          <w:sz w:val="21"/>
          <w:szCs w:val="21"/>
        </w:rPr>
        <w:t>元</w:t>
      </w:r>
      <w:r>
        <w:rPr>
          <w:rFonts w:eastAsia="等线" w:cs="Times New Roman"/>
          <w:bCs/>
          <w:kern w:val="2"/>
          <w:sz w:val="21"/>
          <w:szCs w:val="21"/>
        </w:rPr>
        <w:t>）</w:t>
      </w:r>
      <w:r>
        <w:rPr>
          <w:rFonts w:eastAsia="等线" w:cs="Times New Roman"/>
          <w:kern w:val="2"/>
          <w:sz w:val="21"/>
          <w:szCs w:val="21"/>
        </w:rPr>
        <w:t>作为预付款；</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（2）乙方按照合同约定交付全部合同货物，完成安装、调试并经甲方验收合格后，甲方在收到乙方提交的下列全部单据并经审核无误后</w:t>
      </w:r>
      <w:r>
        <w:rPr>
          <w:rFonts w:hint="eastAsia" w:eastAsia="等线" w:cs="Times New Roman"/>
          <w:kern w:val="2"/>
          <w:sz w:val="21"/>
          <w:szCs w:val="21"/>
          <w:u w:val="single"/>
        </w:rPr>
        <w:t>5</w:t>
      </w:r>
      <w:r>
        <w:rPr>
          <w:rFonts w:eastAsia="等线" w:cs="Times New Roman"/>
          <w:kern w:val="2"/>
          <w:sz w:val="21"/>
          <w:szCs w:val="21"/>
        </w:rPr>
        <w:t>日内，向乙方支付合同价款的</w:t>
      </w:r>
      <w:r>
        <w:rPr>
          <w:rFonts w:hint="eastAsia" w:eastAsia="等线" w:cs="Times New Roman"/>
          <w:kern w:val="2"/>
          <w:sz w:val="21"/>
          <w:szCs w:val="21"/>
          <w:u w:val="single"/>
          <w:lang w:val="en-US" w:eastAsia="zh-CN"/>
        </w:rPr>
        <w:t>2</w:t>
      </w:r>
      <w:r>
        <w:rPr>
          <w:rFonts w:hint="eastAsia" w:eastAsia="等线" w:cs="Times New Roman"/>
          <w:kern w:val="2"/>
          <w:sz w:val="21"/>
          <w:szCs w:val="21"/>
          <w:u w:val="single"/>
        </w:rPr>
        <w:t>0</w:t>
      </w:r>
      <w:r>
        <w:rPr>
          <w:rFonts w:eastAsia="等线" w:cs="Times New Roman"/>
          <w:kern w:val="2"/>
          <w:sz w:val="21"/>
          <w:szCs w:val="21"/>
        </w:rPr>
        <w:t>%（与第一笔付款之和为合同价款的</w:t>
      </w:r>
      <w:r>
        <w:rPr>
          <w:rFonts w:hint="eastAsia" w:eastAsia="等线" w:cs="Times New Roman"/>
          <w:kern w:val="2"/>
          <w:sz w:val="21"/>
          <w:szCs w:val="21"/>
          <w:lang w:val="en-US" w:eastAsia="zh-CN"/>
        </w:rPr>
        <w:t>9</w:t>
      </w:r>
      <w:r>
        <w:rPr>
          <w:rFonts w:eastAsia="等线" w:cs="Times New Roman"/>
          <w:kern w:val="2"/>
          <w:sz w:val="21"/>
          <w:szCs w:val="21"/>
        </w:rPr>
        <w:t>0%），即</w:t>
      </w:r>
      <w:r>
        <w:rPr>
          <w:rFonts w:eastAsia="等线" w:cs="Times New Roman"/>
          <w:bCs/>
          <w:kern w:val="2"/>
          <w:sz w:val="21"/>
          <w:szCs w:val="21"/>
        </w:rPr>
        <w:t>￥</w:t>
      </w:r>
      <w:r>
        <w:rPr>
          <w:rFonts w:eastAsia="等线" w:cs="Times New Roman"/>
          <w:bCs/>
          <w:kern w:val="2"/>
          <w:sz w:val="21"/>
          <w:szCs w:val="21"/>
          <w:u w:val="single"/>
        </w:rPr>
        <w:t xml:space="preserve">        </w:t>
      </w:r>
      <w:r>
        <w:rPr>
          <w:rFonts w:eastAsia="等线" w:cs="Times New Roman"/>
          <w:bCs/>
          <w:kern w:val="2"/>
          <w:sz w:val="21"/>
          <w:szCs w:val="21"/>
        </w:rPr>
        <w:t>（大写：人民币</w:t>
      </w:r>
      <w:r>
        <w:rPr>
          <w:rFonts w:eastAsia="等线" w:cs="Times New Roman"/>
          <w:bCs/>
          <w:kern w:val="2"/>
          <w:sz w:val="21"/>
          <w:szCs w:val="21"/>
          <w:u w:val="single"/>
        </w:rPr>
        <w:t xml:space="preserve">           </w:t>
      </w:r>
      <w:r>
        <w:rPr>
          <w:rFonts w:eastAsia="等线" w:cs="Times New Roman"/>
          <w:bCs/>
          <w:kern w:val="2"/>
          <w:sz w:val="21"/>
          <w:szCs w:val="21"/>
        </w:rPr>
        <w:t>）。</w:t>
      </w:r>
    </w:p>
    <w:p>
      <w:pPr>
        <w:adjustRightInd/>
        <w:spacing w:line="340" w:lineRule="exact"/>
        <w:ind w:firstLine="420" w:firstLineChars="200"/>
        <w:jc w:val="both"/>
        <w:textAlignment w:val="auto"/>
        <w:rPr>
          <w:rFonts w:eastAsia="等线" w:cs="Times New Roman"/>
          <w:kern w:val="2"/>
          <w:sz w:val="21"/>
          <w:szCs w:val="21"/>
        </w:rPr>
      </w:pPr>
      <w:r>
        <w:rPr>
          <w:rFonts w:hint="eastAsia" w:ascii="宋体" w:hAnsi="宋体" w:cs="宋体"/>
          <w:kern w:val="2"/>
          <w:sz w:val="21"/>
          <w:szCs w:val="21"/>
        </w:rPr>
        <w:t xml:space="preserve">① </w:t>
      </w:r>
      <w:r>
        <w:rPr>
          <w:rFonts w:eastAsia="等线" w:cs="Times New Roman"/>
          <w:kern w:val="2"/>
          <w:sz w:val="21"/>
          <w:szCs w:val="21"/>
        </w:rPr>
        <w:t>乙方出具的交货清单原件一份；</w:t>
      </w:r>
    </w:p>
    <w:p>
      <w:pPr>
        <w:adjustRightInd/>
        <w:spacing w:line="340" w:lineRule="exact"/>
        <w:ind w:firstLine="420" w:firstLineChars="200"/>
        <w:jc w:val="both"/>
        <w:textAlignment w:val="auto"/>
        <w:rPr>
          <w:rFonts w:eastAsia="等线" w:cs="Times New Roman"/>
          <w:kern w:val="2"/>
          <w:sz w:val="21"/>
          <w:szCs w:val="21"/>
        </w:rPr>
      </w:pPr>
      <w:r>
        <w:rPr>
          <w:rFonts w:hint="eastAsia" w:ascii="宋体" w:hAnsi="宋体" w:cs="宋体"/>
          <w:kern w:val="2"/>
          <w:sz w:val="21"/>
          <w:szCs w:val="21"/>
        </w:rPr>
        <w:t xml:space="preserve">② </w:t>
      </w:r>
      <w:r>
        <w:rPr>
          <w:rFonts w:eastAsia="等线" w:cs="Times New Roman"/>
          <w:kern w:val="2"/>
          <w:sz w:val="21"/>
          <w:szCs w:val="21"/>
        </w:rPr>
        <w:t>甲方签署的收货清单复印件一份；</w:t>
      </w:r>
    </w:p>
    <w:p>
      <w:pPr>
        <w:adjustRightInd/>
        <w:spacing w:line="340" w:lineRule="exact"/>
        <w:ind w:firstLine="420" w:firstLineChars="200"/>
        <w:jc w:val="both"/>
        <w:textAlignment w:val="auto"/>
        <w:rPr>
          <w:rFonts w:eastAsia="等线" w:cs="Times New Roman"/>
          <w:kern w:val="2"/>
          <w:sz w:val="21"/>
          <w:szCs w:val="21"/>
        </w:rPr>
      </w:pPr>
      <w:r>
        <w:rPr>
          <w:rFonts w:hint="eastAsia" w:ascii="宋体" w:hAnsi="宋体" w:cs="宋体"/>
          <w:kern w:val="2"/>
          <w:sz w:val="21"/>
          <w:szCs w:val="21"/>
        </w:rPr>
        <w:t xml:space="preserve">③ </w:t>
      </w:r>
      <w:r>
        <w:rPr>
          <w:rFonts w:eastAsia="等线" w:cs="Times New Roman"/>
          <w:kern w:val="2"/>
          <w:sz w:val="21"/>
          <w:szCs w:val="21"/>
        </w:rPr>
        <w:t>货物验收</w:t>
      </w:r>
      <w:r>
        <w:rPr>
          <w:rFonts w:hint="eastAsia" w:eastAsia="等线" w:cs="Times New Roman"/>
          <w:kern w:val="2"/>
          <w:sz w:val="21"/>
          <w:szCs w:val="21"/>
        </w:rPr>
        <w:t>记录</w:t>
      </w:r>
      <w:r>
        <w:rPr>
          <w:rFonts w:eastAsia="等线" w:cs="Times New Roman"/>
          <w:kern w:val="2"/>
          <w:sz w:val="21"/>
          <w:szCs w:val="21"/>
        </w:rPr>
        <w:t>复印件一份；</w:t>
      </w:r>
    </w:p>
    <w:p>
      <w:pPr>
        <w:adjustRightInd/>
        <w:spacing w:line="340" w:lineRule="exact"/>
        <w:ind w:firstLine="420" w:firstLineChars="200"/>
        <w:jc w:val="both"/>
        <w:textAlignment w:val="auto"/>
        <w:rPr>
          <w:rFonts w:eastAsia="等线" w:cs="Times New Roman"/>
          <w:kern w:val="2"/>
          <w:sz w:val="21"/>
          <w:szCs w:val="21"/>
        </w:rPr>
      </w:pPr>
      <w:r>
        <w:rPr>
          <w:rFonts w:hint="eastAsia" w:ascii="宋体" w:hAnsi="宋体" w:cs="宋体"/>
          <w:kern w:val="2"/>
          <w:sz w:val="21"/>
          <w:szCs w:val="21"/>
        </w:rPr>
        <w:t xml:space="preserve">④ </w:t>
      </w:r>
      <w:r>
        <w:rPr>
          <w:rFonts w:eastAsia="等线" w:cs="Times New Roman"/>
          <w:kern w:val="2"/>
          <w:sz w:val="21"/>
          <w:szCs w:val="21"/>
        </w:rPr>
        <w:t>制造商出具的出厂质量合格证原件一份；</w:t>
      </w:r>
    </w:p>
    <w:p>
      <w:pPr>
        <w:adjustRightInd/>
        <w:spacing w:line="340" w:lineRule="exact"/>
        <w:ind w:firstLine="420" w:firstLineChars="200"/>
        <w:jc w:val="both"/>
        <w:textAlignment w:val="auto"/>
        <w:rPr>
          <w:rFonts w:eastAsia="等线" w:cs="Times New Roman"/>
          <w:kern w:val="2"/>
          <w:sz w:val="21"/>
          <w:szCs w:val="21"/>
        </w:rPr>
      </w:pPr>
      <w:r>
        <w:rPr>
          <w:rFonts w:hint="eastAsia" w:ascii="宋体" w:hAnsi="宋体" w:cs="宋体"/>
          <w:kern w:val="2"/>
          <w:sz w:val="21"/>
          <w:szCs w:val="21"/>
        </w:rPr>
        <w:t xml:space="preserve">⑤ </w:t>
      </w:r>
      <w:r>
        <w:rPr>
          <w:rFonts w:eastAsia="等线" w:cs="Times New Roman"/>
          <w:b/>
          <w:kern w:val="2"/>
          <w:sz w:val="21"/>
          <w:szCs w:val="21"/>
        </w:rPr>
        <w:t>增值税</w:t>
      </w:r>
      <w:r>
        <w:rPr>
          <w:rFonts w:hint="eastAsia" w:eastAsia="等线" w:cs="Times New Roman"/>
          <w:b/>
          <w:kern w:val="2"/>
          <w:sz w:val="21"/>
          <w:szCs w:val="21"/>
        </w:rPr>
        <w:t>（</w:t>
      </w:r>
      <w:r>
        <w:rPr>
          <w:rFonts w:hint="eastAsia" w:eastAsia="等线" w:cs="Times New Roman"/>
          <w:kern w:val="2"/>
          <w:sz w:val="21"/>
          <w:szCs w:val="21"/>
        </w:rPr>
        <w:sym w:font="Wingdings" w:char="00FE"/>
      </w:r>
      <w:r>
        <w:rPr>
          <w:rFonts w:hint="eastAsia" w:eastAsia="等线" w:cs="Times New Roman"/>
          <w:b/>
          <w:kern w:val="2"/>
          <w:sz w:val="21"/>
          <w:szCs w:val="21"/>
        </w:rPr>
        <w:t>专用/</w:t>
      </w:r>
      <w:r>
        <w:rPr>
          <w:rFonts w:hint="eastAsia" w:eastAsia="等线" w:cs="Times New Roman"/>
          <w:kern w:val="2"/>
          <w:sz w:val="21"/>
          <w:szCs w:val="21"/>
        </w:rPr>
        <w:sym w:font="Wingdings" w:char="00A8"/>
      </w:r>
      <w:r>
        <w:rPr>
          <w:rFonts w:eastAsia="等线" w:cs="Times New Roman"/>
          <w:b/>
          <w:kern w:val="2"/>
          <w:sz w:val="21"/>
          <w:szCs w:val="21"/>
        </w:rPr>
        <w:t>普通</w:t>
      </w:r>
      <w:r>
        <w:rPr>
          <w:rFonts w:hint="eastAsia" w:eastAsia="等线" w:cs="Times New Roman"/>
          <w:b/>
          <w:kern w:val="2"/>
          <w:sz w:val="21"/>
          <w:szCs w:val="21"/>
        </w:rPr>
        <w:t>）</w:t>
      </w:r>
      <w:r>
        <w:rPr>
          <w:rFonts w:eastAsia="等线" w:cs="Times New Roman"/>
          <w:b/>
          <w:kern w:val="2"/>
          <w:sz w:val="21"/>
          <w:szCs w:val="21"/>
        </w:rPr>
        <w:t>发票原件一份</w:t>
      </w:r>
      <w:r>
        <w:rPr>
          <w:rFonts w:hint="eastAsia" w:eastAsia="等线" w:cs="Times New Roman"/>
          <w:b/>
          <w:kern w:val="2"/>
          <w:sz w:val="21"/>
          <w:szCs w:val="21"/>
        </w:rPr>
        <w:t>（与第一笔付款之和为合同价款的</w:t>
      </w:r>
      <w:r>
        <w:rPr>
          <w:rFonts w:hint="eastAsia" w:eastAsia="等线" w:cs="Times New Roman"/>
          <w:b/>
          <w:kern w:val="2"/>
          <w:sz w:val="21"/>
          <w:szCs w:val="21"/>
          <w:lang w:val="en-US" w:eastAsia="zh-CN"/>
        </w:rPr>
        <w:t>9</w:t>
      </w:r>
      <w:r>
        <w:rPr>
          <w:rFonts w:hint="eastAsia" w:eastAsia="等线" w:cs="Times New Roman"/>
          <w:b/>
          <w:kern w:val="2"/>
          <w:sz w:val="21"/>
          <w:szCs w:val="21"/>
        </w:rPr>
        <w:t>0%）</w:t>
      </w:r>
      <w:r>
        <w:rPr>
          <w:rFonts w:eastAsia="等线" w:cs="Times New Roman"/>
          <w:kern w:val="2"/>
          <w:sz w:val="21"/>
          <w:szCs w:val="21"/>
        </w:rPr>
        <w:t>。</w:t>
      </w:r>
    </w:p>
    <w:p>
      <w:pPr>
        <w:adjustRightInd/>
        <w:spacing w:line="340" w:lineRule="exact"/>
        <w:ind w:firstLine="420" w:firstLineChars="200"/>
        <w:jc w:val="both"/>
        <w:textAlignment w:val="auto"/>
        <w:rPr>
          <w:rFonts w:eastAsia="等线" w:cs="Times New Roman"/>
          <w:bCs/>
          <w:kern w:val="2"/>
          <w:sz w:val="21"/>
          <w:szCs w:val="21"/>
        </w:rPr>
      </w:pPr>
      <w:r>
        <w:rPr>
          <w:rFonts w:eastAsia="等线" w:cs="Times New Roman"/>
          <w:kern w:val="2"/>
          <w:sz w:val="21"/>
          <w:szCs w:val="21"/>
        </w:rPr>
        <w:t>（3）在</w:t>
      </w:r>
      <w:r>
        <w:rPr>
          <w:rFonts w:hint="eastAsia" w:eastAsia="等线" w:cs="Times New Roman"/>
          <w:kern w:val="2"/>
          <w:sz w:val="21"/>
          <w:szCs w:val="21"/>
        </w:rPr>
        <w:t>货物验收合格并稳定运行3个月后，在</w:t>
      </w:r>
      <w:r>
        <w:rPr>
          <w:rFonts w:eastAsia="等线" w:cs="Times New Roman"/>
          <w:kern w:val="2"/>
          <w:sz w:val="21"/>
          <w:szCs w:val="21"/>
        </w:rPr>
        <w:t>收到</w:t>
      </w:r>
      <w:r>
        <w:rPr>
          <w:rFonts w:hint="eastAsia" w:eastAsia="等线" w:cs="Times New Roman"/>
          <w:kern w:val="2"/>
          <w:sz w:val="21"/>
          <w:szCs w:val="21"/>
        </w:rPr>
        <w:t>乙方</w:t>
      </w:r>
      <w:r>
        <w:rPr>
          <w:rFonts w:eastAsia="等线" w:cs="Times New Roman"/>
          <w:b/>
          <w:kern w:val="2"/>
          <w:sz w:val="21"/>
          <w:szCs w:val="21"/>
        </w:rPr>
        <w:t>增值税</w:t>
      </w:r>
      <w:r>
        <w:rPr>
          <w:rFonts w:hint="eastAsia" w:eastAsia="等线" w:cs="Times New Roman"/>
          <w:b/>
          <w:kern w:val="2"/>
          <w:sz w:val="21"/>
          <w:szCs w:val="21"/>
        </w:rPr>
        <w:t>（</w:t>
      </w:r>
      <w:r>
        <w:rPr>
          <w:rFonts w:hint="eastAsia" w:eastAsia="等线" w:cs="Times New Roman"/>
          <w:kern w:val="2"/>
          <w:sz w:val="21"/>
          <w:szCs w:val="21"/>
        </w:rPr>
        <w:sym w:font="Wingdings" w:char="00FE"/>
      </w:r>
      <w:r>
        <w:rPr>
          <w:rFonts w:hint="eastAsia" w:eastAsia="等线" w:cs="Times New Roman"/>
          <w:b/>
          <w:kern w:val="2"/>
          <w:sz w:val="21"/>
          <w:szCs w:val="21"/>
        </w:rPr>
        <w:t>专用/</w:t>
      </w:r>
      <w:r>
        <w:rPr>
          <w:rFonts w:hint="eastAsia" w:eastAsia="等线" w:cs="Times New Roman"/>
          <w:kern w:val="2"/>
          <w:sz w:val="21"/>
          <w:szCs w:val="21"/>
        </w:rPr>
        <w:sym w:font="Wingdings" w:char="00A8"/>
      </w:r>
      <w:r>
        <w:rPr>
          <w:rFonts w:eastAsia="等线" w:cs="Times New Roman"/>
          <w:b/>
          <w:kern w:val="2"/>
          <w:sz w:val="21"/>
          <w:szCs w:val="21"/>
        </w:rPr>
        <w:t>普通</w:t>
      </w:r>
      <w:r>
        <w:rPr>
          <w:rFonts w:hint="eastAsia" w:eastAsia="等线" w:cs="Times New Roman"/>
          <w:b/>
          <w:kern w:val="2"/>
          <w:sz w:val="21"/>
          <w:szCs w:val="21"/>
        </w:rPr>
        <w:t>）</w:t>
      </w:r>
      <w:r>
        <w:rPr>
          <w:rFonts w:eastAsia="等线" w:cs="Times New Roman"/>
          <w:kern w:val="2"/>
          <w:sz w:val="21"/>
          <w:szCs w:val="21"/>
        </w:rPr>
        <w:t>发票原件一份并经审核无误后</w:t>
      </w:r>
      <w:r>
        <w:rPr>
          <w:rFonts w:hint="eastAsia" w:eastAsia="等线" w:cs="Times New Roman"/>
          <w:kern w:val="2"/>
          <w:sz w:val="21"/>
          <w:szCs w:val="21"/>
          <w:u w:val="single"/>
        </w:rPr>
        <w:t>5</w:t>
      </w:r>
      <w:r>
        <w:rPr>
          <w:rFonts w:eastAsia="等线" w:cs="Times New Roman"/>
          <w:kern w:val="2"/>
          <w:sz w:val="21"/>
          <w:szCs w:val="21"/>
        </w:rPr>
        <w:t>日内，</w:t>
      </w:r>
      <w:r>
        <w:rPr>
          <w:rFonts w:hint="eastAsia" w:eastAsia="等线" w:cs="Times New Roman"/>
          <w:kern w:val="2"/>
          <w:sz w:val="21"/>
          <w:szCs w:val="21"/>
        </w:rPr>
        <w:t>甲方</w:t>
      </w:r>
      <w:r>
        <w:rPr>
          <w:rFonts w:eastAsia="等线" w:cs="Times New Roman"/>
          <w:kern w:val="2"/>
          <w:sz w:val="21"/>
          <w:szCs w:val="21"/>
        </w:rPr>
        <w:t>向乙方支付合同价格的</w:t>
      </w:r>
      <w:r>
        <w:rPr>
          <w:rFonts w:hint="eastAsia" w:eastAsia="等线" w:cs="Times New Roman"/>
          <w:kern w:val="2"/>
          <w:sz w:val="21"/>
          <w:szCs w:val="21"/>
          <w:lang w:val="en-US" w:eastAsia="zh-CN"/>
        </w:rPr>
        <w:t>1</w:t>
      </w:r>
      <w:r>
        <w:rPr>
          <w:rFonts w:eastAsia="等线" w:cs="Times New Roman"/>
          <w:kern w:val="2"/>
          <w:sz w:val="21"/>
          <w:szCs w:val="21"/>
        </w:rPr>
        <w:t>0%，即</w:t>
      </w:r>
      <w:r>
        <w:rPr>
          <w:rFonts w:eastAsia="等线" w:cs="Times New Roman"/>
          <w:bCs/>
          <w:kern w:val="2"/>
          <w:sz w:val="21"/>
          <w:szCs w:val="21"/>
        </w:rPr>
        <w:t>￥</w:t>
      </w:r>
      <w:r>
        <w:rPr>
          <w:rFonts w:eastAsia="等线" w:cs="Times New Roman"/>
          <w:bCs/>
          <w:kern w:val="2"/>
          <w:sz w:val="21"/>
          <w:szCs w:val="21"/>
          <w:u w:val="single"/>
        </w:rPr>
        <w:t xml:space="preserve">       </w:t>
      </w:r>
      <w:r>
        <w:rPr>
          <w:rFonts w:eastAsia="等线" w:cs="Times New Roman"/>
          <w:bCs/>
          <w:kern w:val="2"/>
          <w:sz w:val="21"/>
          <w:szCs w:val="21"/>
        </w:rPr>
        <w:t>（大写：人民币</w:t>
      </w:r>
      <w:r>
        <w:rPr>
          <w:rFonts w:eastAsia="等线" w:cs="Times New Roman"/>
          <w:bCs/>
          <w:kern w:val="2"/>
          <w:sz w:val="21"/>
          <w:szCs w:val="21"/>
          <w:u w:val="single"/>
        </w:rPr>
        <w:t xml:space="preserve">           </w:t>
      </w:r>
      <w:r>
        <w:rPr>
          <w:rFonts w:eastAsia="等线" w:cs="Times New Roman"/>
          <w:bCs/>
          <w:kern w:val="2"/>
          <w:sz w:val="21"/>
          <w:szCs w:val="21"/>
        </w:rPr>
        <w:t>）。</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如果乙方不履行合同约定的义务或其履行义务不符合合同的约定，甲方有权直接从应付乙方的任何一笔款项中扣减甲方应得之补偿。不足部分，甲方有权继续向乙方进行追偿。</w:t>
      </w:r>
    </w:p>
    <w:p>
      <w:pPr>
        <w:adjustRightInd/>
        <w:spacing w:line="340" w:lineRule="exact"/>
        <w:ind w:firstLine="420" w:firstLineChars="200"/>
        <w:jc w:val="both"/>
        <w:textAlignment w:val="auto"/>
        <w:rPr>
          <w:rFonts w:eastAsia="等线" w:cs="Times New Roman"/>
          <w:kern w:val="2"/>
          <w:sz w:val="21"/>
          <w:szCs w:val="21"/>
        </w:rPr>
      </w:pPr>
      <w:r>
        <w:rPr>
          <w:rFonts w:hint="eastAsia" w:eastAsia="等线" w:cs="Times New Roman"/>
          <w:kern w:val="2"/>
          <w:sz w:val="21"/>
          <w:szCs w:val="21"/>
        </w:rPr>
        <w:t>（4）质量保证期自验收合格之日起计。</w:t>
      </w:r>
    </w:p>
    <w:p>
      <w:pPr>
        <w:spacing w:before="120" w:after="60" w:line="340" w:lineRule="exact"/>
        <w:outlineLvl w:val="0"/>
        <w:rPr>
          <w:rFonts w:ascii="Times New Roman" w:hAnsi="Times New Roman" w:eastAsia="等线" w:cs="Times New Roman"/>
          <w:b/>
          <w:bCs/>
          <w:kern w:val="2"/>
          <w:sz w:val="21"/>
          <w:szCs w:val="21"/>
        </w:rPr>
      </w:pPr>
      <w:bookmarkStart w:id="65" w:name="_Toc32038"/>
      <w:r>
        <w:rPr>
          <w:rFonts w:ascii="Times New Roman" w:hAnsi="Times New Roman" w:eastAsia="等线" w:cs="Times New Roman"/>
          <w:b/>
          <w:bCs/>
          <w:kern w:val="2"/>
          <w:sz w:val="21"/>
          <w:szCs w:val="21"/>
        </w:rPr>
        <w:t>第五条 监造及交货前检验</w:t>
      </w:r>
      <w:bookmarkEnd w:id="65"/>
    </w:p>
    <w:p>
      <w:pPr>
        <w:adjustRightInd/>
        <w:spacing w:line="340" w:lineRule="exact"/>
        <w:ind w:firstLine="420" w:firstLineChars="200"/>
        <w:jc w:val="both"/>
        <w:textAlignment w:val="auto"/>
        <w:rPr>
          <w:rFonts w:eastAsia="等线" w:cs="Times New Roman"/>
          <w:b/>
          <w:bCs/>
          <w:kern w:val="2"/>
          <w:sz w:val="21"/>
          <w:szCs w:val="21"/>
        </w:rPr>
      </w:pPr>
      <w:r>
        <w:rPr>
          <w:rFonts w:eastAsia="等线" w:cs="Times New Roman"/>
          <w:b/>
          <w:bCs/>
          <w:kern w:val="2"/>
          <w:sz w:val="21"/>
          <w:szCs w:val="21"/>
        </w:rPr>
        <w:t>5.1监造</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在合同货物的制造过程中，甲方可派出监造人员，对合同货物的生产制造进行监造，监督合同货物制造、检验等情况。乙方应免费为甲方监造人员提供必要的工作条件，包括但不限于必要的办公场所、技术资料、检测工具及出入证件等。除本合同另有约定外，甲方监造人员的交通、食宿费用由甲方承担。</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2、甲方监造人员未现场监造，不影响合同货物及其关键部件的制造或检验。且甲方监造人员有权事后了解、查阅、复制相关制造或检验记录。</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3、甲方监造人员在监造中如发现合同货物及其关键部件不符合合同约定的标准，则有权提出意见和建议。乙方应采取必要措施消除合同货物的不符，由此增加的费用和（或）造成的延误由乙方负责。</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4、甲方监造人员对合同货物的监造，不视为对合同货物质量的确认，不影响乙方交货后甲方依照合同约定对合同货物提出质量异议和（或）退货的权利，也不免除乙方依照合同约定对合同货物所应承担的任何义务或责任。</w:t>
      </w:r>
    </w:p>
    <w:p>
      <w:pPr>
        <w:adjustRightInd/>
        <w:spacing w:before="120" w:beforeLines="50" w:line="340" w:lineRule="exact"/>
        <w:ind w:firstLine="420" w:firstLineChars="200"/>
        <w:jc w:val="both"/>
        <w:textAlignment w:val="auto"/>
        <w:rPr>
          <w:rFonts w:eastAsia="等线" w:cs="Times New Roman"/>
          <w:b/>
          <w:bCs/>
          <w:kern w:val="2"/>
          <w:sz w:val="21"/>
          <w:szCs w:val="21"/>
        </w:rPr>
      </w:pPr>
      <w:r>
        <w:rPr>
          <w:rFonts w:eastAsia="等线" w:cs="Times New Roman"/>
          <w:b/>
          <w:bCs/>
          <w:kern w:val="2"/>
          <w:sz w:val="21"/>
          <w:szCs w:val="21"/>
        </w:rPr>
        <w:t>5.2交货前检验</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合同货物交货前，乙方应会同甲方代表根据合同约定对合同货物进行交货前检验并出具交货前检验记录，有关费用由乙方承担。乙方应免费为甲方代表提供工作条件及便利，包括但不限于必要的办公场所、技术资料、检测工具及出入证件等。除本合同另有约定外，甲方代表的交通、食宿费用由甲方承担。</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2、乙方应提前7日将需要甲方代表检验事项通知甲方；如甲方代表未按通知出席，不影响合同货物的检验。若乙方未依照合同约定提前通知甲方而自行检验，则甲方有权要求乙方暂停发货并重新进行检验，由此增加的费用和（或）造成的延误由乙方负责。</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3、甲方代表在检验中如发现合同货物不符合合同约定的标准，则有权提出异议。乙方应采取必要措施消除合同货物的不符，由此增加的费用和（或）造成的延误由乙方负责。</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4、甲方代表参与交货前检验及签署交货前检验记录的行为，不视为对合同货物质量的确认，不影响乙方交货后甲方依照合同约定对合同货物提出质量异议和（或）退货的权利，也不免除乙方依照合同约定对合同货物所应承担的任何义务或责任。</w:t>
      </w:r>
    </w:p>
    <w:p>
      <w:pPr>
        <w:spacing w:before="120" w:after="60" w:line="340" w:lineRule="exact"/>
        <w:outlineLvl w:val="0"/>
        <w:rPr>
          <w:rFonts w:ascii="Times New Roman" w:hAnsi="Times New Roman" w:eastAsia="等线" w:cs="Times New Roman"/>
          <w:b/>
          <w:bCs/>
          <w:kern w:val="2"/>
          <w:sz w:val="21"/>
          <w:szCs w:val="21"/>
        </w:rPr>
      </w:pPr>
      <w:bookmarkStart w:id="66" w:name="_Toc26740"/>
      <w:r>
        <w:rPr>
          <w:rFonts w:ascii="Times New Roman" w:hAnsi="Times New Roman" w:eastAsia="等线" w:cs="Times New Roman"/>
          <w:b/>
          <w:bCs/>
          <w:kern w:val="2"/>
          <w:sz w:val="21"/>
          <w:szCs w:val="21"/>
        </w:rPr>
        <w:t>第六条 包装、标记、运输和交付</w:t>
      </w:r>
      <w:bookmarkEnd w:id="66"/>
    </w:p>
    <w:p>
      <w:pPr>
        <w:adjustRightInd/>
        <w:spacing w:line="340" w:lineRule="exact"/>
        <w:ind w:firstLine="420" w:firstLineChars="200"/>
        <w:jc w:val="both"/>
        <w:textAlignment w:val="auto"/>
        <w:rPr>
          <w:rFonts w:eastAsia="等线" w:cs="Times New Roman"/>
          <w:b/>
          <w:bCs/>
          <w:kern w:val="2"/>
          <w:sz w:val="21"/>
          <w:szCs w:val="21"/>
        </w:rPr>
      </w:pPr>
      <w:r>
        <w:rPr>
          <w:rFonts w:eastAsia="等线" w:cs="Times New Roman"/>
          <w:b/>
          <w:bCs/>
          <w:kern w:val="2"/>
          <w:sz w:val="21"/>
          <w:szCs w:val="21"/>
        </w:rPr>
        <w:t>6.1 包装</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乙方应对合同货物进行妥善包装，以满足合同货物运至甲方指定地点及在甲方指定地点保管的需要。包装应采取防潮、防晒、防锈、防腐蚀、防震动及防止其它损坏的必要保护措施，从而保护合同货物能够经受多次搬运、装卸、长途运输并适宜保管。</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2、每个独立包装箱内应附装箱清单、质量合格证、装配图、说明书、操作指南等资料。乙方未提供相关资料的，甲方有权拒收。</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3、除本合同另有约定外，甲方无需将包装物退还给乙方。</w:t>
      </w:r>
    </w:p>
    <w:p>
      <w:pPr>
        <w:adjustRightInd/>
        <w:spacing w:before="120" w:beforeLines="50" w:line="340" w:lineRule="exact"/>
        <w:ind w:firstLine="420" w:firstLineChars="200"/>
        <w:jc w:val="both"/>
        <w:textAlignment w:val="auto"/>
        <w:rPr>
          <w:rFonts w:eastAsia="等线" w:cs="Times New Roman"/>
          <w:b/>
          <w:bCs/>
          <w:kern w:val="2"/>
          <w:sz w:val="21"/>
          <w:szCs w:val="21"/>
        </w:rPr>
      </w:pPr>
      <w:r>
        <w:rPr>
          <w:rFonts w:eastAsia="等线" w:cs="Times New Roman"/>
          <w:b/>
          <w:bCs/>
          <w:kern w:val="2"/>
          <w:sz w:val="21"/>
          <w:szCs w:val="21"/>
        </w:rPr>
        <w:t>6.2 标记</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1、乙方应在每一包装箱相邻的四个侧面以不可擦除的、明显的方式标记必要的装运信息和标记，以满足合同货物运输和保管的需要。</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2、根据合同货物的特点和运输、保管的不同要求，乙方应在包装箱上清楚地标注“小心轻放”、“此端朝上，请勿倒置”、“保持干燥”等字样和其他适当标记。如合同货物为超大超重件，乙方应在包装箱两侧标注“重心”和“起吊点”以便装卸和搬运。如果发运合同货物含有易燃易爆物品、腐蚀物品、放射性物质等危险品，则应在包装箱上标明危险品标志。</w:t>
      </w:r>
    </w:p>
    <w:p>
      <w:pPr>
        <w:adjustRightInd/>
        <w:spacing w:before="120" w:beforeLines="50" w:line="340" w:lineRule="exact"/>
        <w:ind w:firstLine="420" w:firstLineChars="200"/>
        <w:jc w:val="both"/>
        <w:textAlignment w:val="auto"/>
        <w:rPr>
          <w:rFonts w:eastAsia="等线" w:cs="Times New Roman"/>
          <w:b/>
          <w:bCs/>
          <w:kern w:val="2"/>
          <w:sz w:val="21"/>
          <w:szCs w:val="21"/>
        </w:rPr>
      </w:pPr>
      <w:r>
        <w:rPr>
          <w:rFonts w:eastAsia="等线" w:cs="Times New Roman"/>
          <w:b/>
          <w:bCs/>
          <w:kern w:val="2"/>
          <w:sz w:val="21"/>
          <w:szCs w:val="21"/>
        </w:rPr>
        <w:t>6.3 运输</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1、乙方应自行选择适宜的运输工具及线路安排合同货物运输。</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2、除本合同另有约定或经甲方书面同意外，每件能够独立运行的设备应整套装运。该货物安装、调试、考核和运行所使用的备品、备件、易损易耗件等应随相关的主机一齐装运。</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3、乙方在合同货物预计起运</w:t>
      </w:r>
      <w:r>
        <w:rPr>
          <w:rFonts w:eastAsia="等线" w:cs="Times New Roman"/>
          <w:kern w:val="2"/>
          <w:sz w:val="21"/>
          <w:szCs w:val="21"/>
          <w:u w:val="single"/>
        </w:rPr>
        <w:t xml:space="preserve">  </w:t>
      </w:r>
      <w:r>
        <w:rPr>
          <w:rFonts w:eastAsia="等线" w:cs="Times New Roman"/>
          <w:kern w:val="2"/>
          <w:sz w:val="21"/>
          <w:szCs w:val="21"/>
        </w:rPr>
        <w:t>日前，将合同货物名称、数量、箱数、总毛重、总体积（立方米）、尺寸（长×宽×高）、装运合同货物总金额、运输方式、预计交付日期和合同货物在运输、装卸、保管中的注意事项等预通知甲方，并在合同货物起运后及时通知甲方。</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4、如果合同货物属于超大超重包装，则乙方应将超大和（或）超重的每个包装箱的重量和尺寸通知甲方；如果发运合同货物含有易燃易爆物品、腐蚀物品、放射性物质等危险品，则危险品的品名、性质、在运输、装卸、保管方面的特殊要求、注意事项和处理意外情况的方法等，也应一并通知甲方。</w:t>
      </w:r>
    </w:p>
    <w:p>
      <w:pPr>
        <w:adjustRightInd/>
        <w:spacing w:before="120" w:beforeLines="50" w:line="340" w:lineRule="exact"/>
        <w:ind w:firstLine="420" w:firstLineChars="200"/>
        <w:jc w:val="both"/>
        <w:textAlignment w:val="auto"/>
        <w:rPr>
          <w:rFonts w:eastAsia="等线" w:cs="Times New Roman"/>
          <w:b/>
          <w:bCs/>
          <w:kern w:val="2"/>
          <w:sz w:val="21"/>
          <w:szCs w:val="21"/>
        </w:rPr>
      </w:pPr>
      <w:r>
        <w:rPr>
          <w:rFonts w:eastAsia="等线" w:cs="Times New Roman"/>
          <w:b/>
          <w:bCs/>
          <w:kern w:val="2"/>
          <w:sz w:val="21"/>
          <w:szCs w:val="21"/>
        </w:rPr>
        <w:t>6.4 交付</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1、交付时间：合同签订后</w:t>
      </w:r>
      <w:r>
        <w:rPr>
          <w:rFonts w:eastAsia="等线" w:cs="Times New Roman"/>
          <w:kern w:val="2"/>
          <w:sz w:val="21"/>
          <w:szCs w:val="21"/>
          <w:u w:val="single"/>
        </w:rPr>
        <w:t xml:space="preserve">     </w:t>
      </w:r>
      <w:r>
        <w:rPr>
          <w:rFonts w:eastAsia="等线" w:cs="Times New Roman"/>
          <w:kern w:val="2"/>
          <w:sz w:val="21"/>
          <w:szCs w:val="21"/>
        </w:rPr>
        <w:t>日内。交货地点：清华大学用户指定地点。甲方对乙方交付的合同货物的外观及件数进行清点核验后签发收货清单，甲方签发收货清单不代表对合同货物的接受，双方还应按合同约定进行后续的检验和验收。</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2、合同货物的所有权和风险自交付时起由乙方转移至甲方，合同货物交付给甲方之前包括运输在内的所有风险均由乙方承担。</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3、甲方如果发现技术资料存在短缺和（或）损坏，乙方应在收到甲方的通知后7日内免费补齐短缺和（或）损坏的部分。如果甲方发现乙方提供的技术资料有误，乙方应在收到甲方通知后7日内免费替换。</w:t>
      </w:r>
    </w:p>
    <w:p>
      <w:pPr>
        <w:adjustRightInd/>
        <w:spacing w:line="340" w:lineRule="exact"/>
        <w:ind w:firstLine="420" w:firstLineChars="200"/>
        <w:jc w:val="both"/>
        <w:textAlignment w:val="auto"/>
        <w:rPr>
          <w:rFonts w:eastAsia="等线" w:cs="Times New Roman"/>
          <w:kern w:val="2"/>
          <w:sz w:val="21"/>
          <w:szCs w:val="21"/>
        </w:rPr>
      </w:pPr>
      <w:r>
        <w:rPr>
          <w:rFonts w:hint="eastAsia" w:eastAsia="等线" w:cs="Times New Roman"/>
          <w:kern w:val="2"/>
          <w:sz w:val="21"/>
          <w:szCs w:val="21"/>
        </w:rPr>
        <w:t>4、乙方应对合同中提供的货物在制造、购置、运输、存放及交货过程中的丢失或损坏进行全面保险，还应对其在项目现场进行技术服务的人员进行必要的保险。</w:t>
      </w:r>
    </w:p>
    <w:p>
      <w:pPr>
        <w:spacing w:before="120" w:after="60" w:line="340" w:lineRule="exact"/>
        <w:outlineLvl w:val="0"/>
        <w:rPr>
          <w:rFonts w:ascii="Times New Roman" w:hAnsi="Times New Roman" w:eastAsia="等线" w:cs="Times New Roman"/>
          <w:b/>
          <w:bCs/>
          <w:kern w:val="2"/>
          <w:sz w:val="21"/>
          <w:szCs w:val="21"/>
        </w:rPr>
      </w:pPr>
      <w:bookmarkStart w:id="67" w:name="_Toc9901"/>
      <w:r>
        <w:rPr>
          <w:rFonts w:ascii="Times New Roman" w:hAnsi="Times New Roman" w:eastAsia="等线" w:cs="Times New Roman"/>
          <w:b/>
          <w:bCs/>
          <w:kern w:val="2"/>
          <w:sz w:val="21"/>
          <w:szCs w:val="21"/>
        </w:rPr>
        <w:t>第七条 开箱检验、安装、调试、考核、验收</w:t>
      </w:r>
      <w:bookmarkEnd w:id="67"/>
    </w:p>
    <w:p>
      <w:pPr>
        <w:adjustRightInd/>
        <w:spacing w:line="340" w:lineRule="exact"/>
        <w:ind w:firstLine="420" w:firstLineChars="200"/>
        <w:jc w:val="both"/>
        <w:textAlignment w:val="auto"/>
        <w:rPr>
          <w:rFonts w:eastAsia="等线" w:cs="Times New Roman"/>
          <w:b/>
          <w:bCs/>
          <w:kern w:val="2"/>
          <w:sz w:val="21"/>
          <w:szCs w:val="21"/>
        </w:rPr>
      </w:pPr>
      <w:r>
        <w:rPr>
          <w:rFonts w:eastAsia="等线" w:cs="Times New Roman"/>
          <w:b/>
          <w:bCs/>
          <w:kern w:val="2"/>
          <w:sz w:val="21"/>
          <w:szCs w:val="21"/>
        </w:rPr>
        <w:t>7.1开箱检验</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1、合同货物交付后应进行开箱检验，即合同货物数量及外观检验。如果开箱检验不在合同货物交付时进行，甲方应在开箱检验前3日前将开箱检验的时间和地点通知乙方。</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2、开箱检验应由双方共同进行，乙方应自负费用派遣代表到场参加开箱检验。</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3、开箱检验中，双方应共同签署数量、外观检验报告，报告应列明检验结果，包括检验合格或发现的任何缺陷、损坏或其他与合同约定不符的情形。</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4、如果乙方代表未能依约或按甲方通知到场参加开箱检验，甲方有权在乙方代表未在场的情况下进行开箱检验，并签署数量、外观检验报告，对于该检验报告和检验结果，视为乙方已接受。</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5、开箱检验中发现的合同货物的短缺、损坏或其它与合同约定不符的情形，由乙方负责，乙方应补齐、更换及采取其他补救措施。</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6、开箱检验的检验结果不能对抗在合同货物的安装、调试、考核、验收中及质量保证期内发现的合同货物质量问题，也不能免除或影响乙方按照合同约定对甲方负有的包括合同货物质量在内的任何义务或责任。</w:t>
      </w:r>
    </w:p>
    <w:p>
      <w:pPr>
        <w:adjustRightInd/>
        <w:spacing w:before="120" w:beforeLines="50" w:line="340" w:lineRule="exact"/>
        <w:ind w:firstLine="420" w:firstLineChars="200"/>
        <w:jc w:val="both"/>
        <w:textAlignment w:val="auto"/>
        <w:rPr>
          <w:rFonts w:eastAsia="等线" w:cs="Times New Roman"/>
          <w:b/>
          <w:bCs/>
          <w:kern w:val="2"/>
          <w:sz w:val="21"/>
          <w:szCs w:val="21"/>
        </w:rPr>
      </w:pPr>
      <w:r>
        <w:rPr>
          <w:rFonts w:eastAsia="等线" w:cs="Times New Roman"/>
          <w:b/>
          <w:bCs/>
          <w:kern w:val="2"/>
          <w:sz w:val="21"/>
          <w:szCs w:val="21"/>
        </w:rPr>
        <w:t>7.2安装、调试</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1、开箱检验完成后，由乙方负责合同货物的安装、调试，以使其具备考核的状态。安装、调试中所需各种工具、仪器仪表及易损件，由乙方自备。</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2、双方应对合同货物的安装、调试情况共同及时进行记录。</w:t>
      </w:r>
    </w:p>
    <w:p>
      <w:pPr>
        <w:adjustRightInd/>
        <w:spacing w:before="120" w:beforeLines="50" w:line="340" w:lineRule="exact"/>
        <w:ind w:firstLine="420" w:firstLineChars="200"/>
        <w:jc w:val="both"/>
        <w:textAlignment w:val="auto"/>
        <w:rPr>
          <w:rFonts w:eastAsia="等线" w:cs="Times New Roman"/>
          <w:b/>
          <w:bCs/>
          <w:kern w:val="2"/>
          <w:sz w:val="21"/>
          <w:szCs w:val="21"/>
        </w:rPr>
      </w:pPr>
      <w:r>
        <w:rPr>
          <w:rFonts w:eastAsia="等线" w:cs="Times New Roman"/>
          <w:b/>
          <w:bCs/>
          <w:kern w:val="2"/>
          <w:sz w:val="21"/>
          <w:szCs w:val="21"/>
        </w:rPr>
        <w:t xml:space="preserve">7.3 </w:t>
      </w:r>
      <w:r>
        <w:rPr>
          <w:rFonts w:hint="eastAsia" w:eastAsia="等线" w:cs="Times New Roman"/>
          <w:b/>
          <w:bCs/>
          <w:kern w:val="2"/>
          <w:sz w:val="21"/>
          <w:szCs w:val="21"/>
        </w:rPr>
        <w:t>培训</w:t>
      </w:r>
    </w:p>
    <w:p>
      <w:pPr>
        <w:adjustRightInd/>
        <w:spacing w:line="340" w:lineRule="exact"/>
        <w:ind w:firstLine="420" w:firstLineChars="200"/>
        <w:jc w:val="both"/>
        <w:textAlignment w:val="auto"/>
        <w:rPr>
          <w:rFonts w:eastAsia="等线" w:cs="Times New Roman"/>
          <w:kern w:val="2"/>
          <w:sz w:val="21"/>
          <w:szCs w:val="21"/>
        </w:rPr>
      </w:pPr>
      <w:r>
        <w:rPr>
          <w:rFonts w:hint="eastAsia" w:eastAsia="等线" w:cs="Times New Roman"/>
          <w:kern w:val="2"/>
          <w:sz w:val="21"/>
          <w:szCs w:val="21"/>
        </w:rPr>
        <w:t>免费提供原厂技术人员对采购人的操作技术培训和相关技术资料，培训时间不少于</w:t>
      </w:r>
      <w:r>
        <w:rPr>
          <w:rFonts w:hint="eastAsia" w:eastAsia="等线" w:cs="Times New Roman"/>
          <w:kern w:val="2"/>
          <w:sz w:val="21"/>
          <w:szCs w:val="21"/>
          <w:u w:val="single"/>
        </w:rPr>
        <w:t xml:space="preserve">  </w:t>
      </w:r>
      <w:r>
        <w:rPr>
          <w:rFonts w:eastAsia="等线" w:cs="Times New Roman"/>
          <w:kern w:val="2"/>
          <w:sz w:val="21"/>
          <w:szCs w:val="21"/>
          <w:u w:val="single"/>
        </w:rPr>
        <w:t xml:space="preserve"> </w:t>
      </w:r>
      <w:r>
        <w:rPr>
          <w:rFonts w:hint="eastAsia" w:eastAsia="等线" w:cs="Times New Roman"/>
          <w:kern w:val="2"/>
          <w:sz w:val="21"/>
          <w:szCs w:val="21"/>
          <w:u w:val="single"/>
        </w:rPr>
        <w:t xml:space="preserve"> </w:t>
      </w:r>
      <w:r>
        <w:rPr>
          <w:rFonts w:hint="eastAsia" w:eastAsia="等线" w:cs="Times New Roman"/>
          <w:kern w:val="2"/>
          <w:sz w:val="21"/>
          <w:szCs w:val="21"/>
        </w:rPr>
        <w:t>天。</w:t>
      </w:r>
    </w:p>
    <w:p>
      <w:pPr>
        <w:adjustRightInd/>
        <w:spacing w:before="120" w:beforeLines="50" w:line="340" w:lineRule="exact"/>
        <w:ind w:firstLine="420" w:firstLineChars="200"/>
        <w:jc w:val="both"/>
        <w:textAlignment w:val="auto"/>
        <w:rPr>
          <w:rFonts w:eastAsia="等线" w:cs="Times New Roman"/>
          <w:b/>
          <w:kern w:val="2"/>
          <w:sz w:val="21"/>
          <w:szCs w:val="21"/>
        </w:rPr>
      </w:pPr>
      <w:r>
        <w:rPr>
          <w:rFonts w:hint="eastAsia" w:eastAsia="等线" w:cs="Times New Roman"/>
          <w:b/>
          <w:kern w:val="2"/>
          <w:sz w:val="21"/>
          <w:szCs w:val="21"/>
        </w:rPr>
        <w:t>7</w:t>
      </w:r>
      <w:r>
        <w:rPr>
          <w:rFonts w:eastAsia="等线" w:cs="Times New Roman"/>
          <w:b/>
          <w:kern w:val="2"/>
          <w:sz w:val="21"/>
          <w:szCs w:val="21"/>
        </w:rPr>
        <w:t xml:space="preserve">.4 </w:t>
      </w:r>
      <w:r>
        <w:rPr>
          <w:rFonts w:hint="eastAsia" w:eastAsia="等线" w:cs="Times New Roman"/>
          <w:b/>
          <w:kern w:val="2"/>
          <w:sz w:val="21"/>
          <w:szCs w:val="21"/>
        </w:rPr>
        <w:t>考核</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1、安装、调试完成后，双方应对合同货物进行考核，以确定合同货物是否达到合同约定的技术性能考核指标。</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2、如由于乙方原因合同货物在考核中未能达到合同约定的技术性能考核指标，则乙方应在双方同意的期限内采取措施消除合同货物中存在的缺陷，并在缺陷消除以后，尽快进行再次考核。</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3、由于乙方原因未能达到技术性能考核指标时，为乙方进行考核的机会不超过三次。如由于乙方原因，三次考核均未能达到合同约定的技术性能考核指标，则甲方有权解除合同。</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4、对于未达到技术性能考核指标的，应如实记录货物表现、可能原因及处理情况等。</w:t>
      </w:r>
    </w:p>
    <w:p>
      <w:pPr>
        <w:adjustRightInd/>
        <w:spacing w:before="120" w:beforeLines="50" w:line="340" w:lineRule="exact"/>
        <w:ind w:firstLine="420" w:firstLineChars="200"/>
        <w:jc w:val="both"/>
        <w:textAlignment w:val="auto"/>
        <w:rPr>
          <w:rFonts w:eastAsia="等线" w:cs="Times New Roman"/>
          <w:b/>
          <w:bCs/>
          <w:kern w:val="2"/>
          <w:sz w:val="21"/>
          <w:szCs w:val="21"/>
        </w:rPr>
      </w:pPr>
      <w:r>
        <w:rPr>
          <w:rFonts w:eastAsia="等线" w:cs="Times New Roman"/>
          <w:b/>
          <w:bCs/>
          <w:kern w:val="2"/>
          <w:sz w:val="21"/>
          <w:szCs w:val="21"/>
        </w:rPr>
        <w:t>7.5验收</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1、如合同货物在考核中达到技术性能考核指标，则双方应在考核完成后7日内签署验收证书一式两份，双方各持一份。验收日期为合同货物达到技术性能考核指标的日期。</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2、甲方可以邀请参加本项目的其他投标人或者第三方机构参与验收，参与验收的投标人或者第三方机构的意见作为签署验收证书的参考资料一并存档。</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3、验收证书的签署不能免除乙方在质量保证期内对合同货物应承担的保证责任。</w:t>
      </w:r>
    </w:p>
    <w:p>
      <w:pPr>
        <w:spacing w:before="120" w:after="60" w:line="340" w:lineRule="exact"/>
        <w:outlineLvl w:val="0"/>
        <w:rPr>
          <w:rFonts w:ascii="Times New Roman" w:hAnsi="Times New Roman" w:eastAsia="等线" w:cs="Times New Roman"/>
          <w:b/>
          <w:bCs/>
          <w:kern w:val="2"/>
          <w:sz w:val="21"/>
          <w:szCs w:val="21"/>
        </w:rPr>
      </w:pPr>
      <w:bookmarkStart w:id="68" w:name="_Toc4873"/>
      <w:r>
        <w:rPr>
          <w:rFonts w:ascii="Times New Roman" w:hAnsi="Times New Roman" w:eastAsia="等线" w:cs="Times New Roman"/>
          <w:b/>
          <w:bCs/>
          <w:kern w:val="2"/>
          <w:sz w:val="21"/>
          <w:szCs w:val="21"/>
        </w:rPr>
        <w:t>第八条 质量保证期</w:t>
      </w:r>
      <w:bookmarkEnd w:id="68"/>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8.1合同货物整体质量保证期为验收合格之日起</w:t>
      </w:r>
      <w:r>
        <w:rPr>
          <w:rFonts w:eastAsia="等线" w:cs="Times New Roman"/>
          <w:kern w:val="2"/>
          <w:sz w:val="21"/>
          <w:szCs w:val="21"/>
        </w:rPr>
        <w:softHyphen/>
      </w:r>
      <w:r>
        <w:rPr>
          <w:rFonts w:eastAsia="等线" w:cs="Times New Roman"/>
          <w:kern w:val="2"/>
          <w:sz w:val="21"/>
          <w:szCs w:val="21"/>
        </w:rPr>
        <w:softHyphen/>
      </w:r>
      <w:r>
        <w:rPr>
          <w:rFonts w:eastAsia="等线" w:cs="Times New Roman"/>
          <w:kern w:val="2"/>
          <w:sz w:val="21"/>
          <w:szCs w:val="21"/>
        </w:rPr>
        <w:softHyphen/>
      </w:r>
      <w:r>
        <w:rPr>
          <w:rFonts w:eastAsia="等线" w:cs="Times New Roman"/>
          <w:kern w:val="2"/>
          <w:sz w:val="21"/>
          <w:szCs w:val="21"/>
          <w:u w:val="single"/>
        </w:rPr>
        <w:t xml:space="preserve">    </w:t>
      </w:r>
      <w:r>
        <w:rPr>
          <w:rFonts w:eastAsia="等线" w:cs="Times New Roman"/>
          <w:kern w:val="2"/>
          <w:sz w:val="21"/>
          <w:szCs w:val="21"/>
        </w:rPr>
        <w:t>个月。如果对合同货物中关键部件的质量保证期有特殊要求的，双方可以在补充条款中约定。</w:t>
      </w:r>
      <w:r>
        <w:rPr>
          <w:rFonts w:hint="eastAsia" w:eastAsia="等线" w:cs="Times New Roman"/>
          <w:kern w:val="2"/>
          <w:sz w:val="21"/>
          <w:szCs w:val="21"/>
        </w:rPr>
        <w:t>供货方在质量保证期内应对设备进行定期巡检。</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8.2在质量保证期内如合同货物出现故障，乙方应自负费用提供质量保证期服务，对相关合同货物进行修理或更换以消除故障。更换的货物和（或）关键部件的质量保证期应重新计算。</w:t>
      </w:r>
    </w:p>
    <w:p>
      <w:pPr>
        <w:spacing w:before="120" w:after="120" w:line="340" w:lineRule="exact"/>
        <w:outlineLvl w:val="0"/>
        <w:rPr>
          <w:rFonts w:ascii="Times New Roman" w:hAnsi="Times New Roman" w:eastAsia="等线" w:cs="Times New Roman"/>
          <w:b/>
          <w:bCs/>
          <w:kern w:val="2"/>
          <w:sz w:val="21"/>
          <w:szCs w:val="21"/>
        </w:rPr>
      </w:pPr>
      <w:bookmarkStart w:id="69" w:name="_Toc8848"/>
      <w:r>
        <w:rPr>
          <w:rFonts w:ascii="Times New Roman" w:hAnsi="Times New Roman" w:eastAsia="等线" w:cs="Times New Roman"/>
          <w:b/>
          <w:bCs/>
          <w:kern w:val="2"/>
          <w:sz w:val="21"/>
          <w:szCs w:val="21"/>
        </w:rPr>
        <w:t>第九条 质量保证期服务</w:t>
      </w:r>
      <w:bookmarkEnd w:id="69"/>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9.1乙方应为质量保证期服务配备充足的技术人员、工具和备件并保证提供的联系方式畅通。乙方应在收到甲方通知后24小时内作出响应，如需乙方到合同货物现场，乙方应在收到甲方通知后48小时内到达，并在到达后7日内解决合同货物的故障（重大故障除外）。如果乙方未在上述时间内作出响应，则甲方有权自行或委托他人解决相关问题或查找和解决合同货物的故障，乙方应承担由此发生的全部费用。</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9.2如乙方技术人员需到合同货物现场进行质量保证期服务，则乙方技术人员的交通、食宿等费用由乙方承担。乙方技术人员应遵守甲方现场的各项规章制度和安全操作规程，并服从甲方的现场管理。</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9.3如果乙方的任何技术人员不合格，甲方有权要求乙方撤换，因撤换而产生的费用由乙方承担。</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9.4乙方在就合同货物现场进行质量保证期服务的情况进行记录，记载合同货物故障发生的时间、原因及解决情况等，由甲方签字确认，并在质量保证期结束后提交给甲方。</w:t>
      </w:r>
    </w:p>
    <w:p>
      <w:pPr>
        <w:spacing w:before="120" w:after="60" w:line="340" w:lineRule="exact"/>
        <w:outlineLvl w:val="0"/>
        <w:rPr>
          <w:rFonts w:ascii="Times New Roman" w:hAnsi="Times New Roman" w:eastAsia="等线" w:cs="Times New Roman"/>
          <w:b/>
          <w:bCs/>
          <w:kern w:val="2"/>
          <w:sz w:val="21"/>
          <w:szCs w:val="21"/>
        </w:rPr>
      </w:pPr>
      <w:bookmarkStart w:id="70" w:name="_Toc22806"/>
      <w:r>
        <w:rPr>
          <w:rFonts w:ascii="Times New Roman" w:hAnsi="Times New Roman" w:eastAsia="等线" w:cs="Times New Roman"/>
          <w:b/>
          <w:bCs/>
          <w:kern w:val="2"/>
          <w:sz w:val="21"/>
          <w:szCs w:val="21"/>
        </w:rPr>
        <w:t>第十条 履约保证金（非必选项）</w:t>
      </w:r>
      <w:bookmarkEnd w:id="70"/>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10.1除本合同另有约定外，自本合同生效之日起</w:t>
      </w:r>
      <w:r>
        <w:rPr>
          <w:rFonts w:eastAsia="等线" w:cs="Times New Roman"/>
          <w:kern w:val="2"/>
          <w:sz w:val="21"/>
          <w:szCs w:val="21"/>
          <w:u w:val="single"/>
        </w:rPr>
        <w:t xml:space="preserve">   </w:t>
      </w:r>
      <w:r>
        <w:rPr>
          <w:rFonts w:eastAsia="等线" w:cs="Times New Roman"/>
          <w:kern w:val="2"/>
          <w:sz w:val="21"/>
          <w:szCs w:val="21"/>
        </w:rPr>
        <w:t>日内，乙方以支票、汇款的方式向甲方支付合同价款</w:t>
      </w:r>
      <w:r>
        <w:rPr>
          <w:rFonts w:eastAsia="等线" w:cs="Times New Roman"/>
          <w:kern w:val="2"/>
          <w:sz w:val="21"/>
          <w:szCs w:val="21"/>
          <w:u w:val="single"/>
        </w:rPr>
        <w:t xml:space="preserve">    </w:t>
      </w:r>
      <w:r>
        <w:rPr>
          <w:rFonts w:eastAsia="等线" w:cs="Times New Roman"/>
          <w:kern w:val="2"/>
          <w:sz w:val="21"/>
          <w:szCs w:val="21"/>
        </w:rPr>
        <w:t>%（不超过10%且不低于5%），即</w:t>
      </w:r>
      <w:r>
        <w:rPr>
          <w:rFonts w:eastAsia="等线" w:cs="Times New Roman"/>
          <w:bCs/>
          <w:kern w:val="2"/>
          <w:sz w:val="21"/>
          <w:szCs w:val="21"/>
        </w:rPr>
        <w:t>￥</w:t>
      </w:r>
      <w:r>
        <w:rPr>
          <w:rFonts w:eastAsia="等线" w:cs="Times New Roman"/>
          <w:bCs/>
          <w:kern w:val="2"/>
          <w:sz w:val="21"/>
          <w:szCs w:val="21"/>
          <w:u w:val="single"/>
        </w:rPr>
        <w:t xml:space="preserve">        元</w:t>
      </w:r>
      <w:r>
        <w:rPr>
          <w:rFonts w:eastAsia="等线" w:cs="Times New Roman"/>
          <w:kern w:val="2"/>
          <w:sz w:val="21"/>
          <w:szCs w:val="21"/>
        </w:rPr>
        <w:t>的履约保证金。</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10.2如果乙方不履行合同约定的义务或其履行义务不符合合同的约定，甲方有权直接从履约保证金中划扣甲方应得之补偿。履约保证金不足以补偿甲方之损失的，甲方有权继续向乙方进行追偿。</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10.3合同货物经甲方验收合格满</w:t>
      </w:r>
      <w:r>
        <w:rPr>
          <w:rFonts w:eastAsia="等线" w:cs="Times New Roman"/>
          <w:kern w:val="2"/>
          <w:sz w:val="21"/>
          <w:szCs w:val="21"/>
          <w:u w:val="single"/>
        </w:rPr>
        <w:t xml:space="preserve">    </w:t>
      </w:r>
      <w:r>
        <w:rPr>
          <w:rFonts w:eastAsia="等线" w:cs="Times New Roman"/>
          <w:kern w:val="2"/>
          <w:sz w:val="21"/>
          <w:szCs w:val="21"/>
        </w:rPr>
        <w:t>月（一般不少于3个月），甲方把履约保证金无息退还给乙方。</w:t>
      </w:r>
    </w:p>
    <w:p>
      <w:pPr>
        <w:spacing w:before="120" w:after="60" w:line="340" w:lineRule="exact"/>
        <w:outlineLvl w:val="0"/>
        <w:rPr>
          <w:rFonts w:ascii="Times New Roman" w:hAnsi="Times New Roman" w:eastAsia="等线" w:cs="Times New Roman"/>
          <w:b/>
          <w:bCs/>
          <w:kern w:val="2"/>
          <w:sz w:val="21"/>
          <w:szCs w:val="21"/>
        </w:rPr>
      </w:pPr>
      <w:bookmarkStart w:id="71" w:name="_Toc7522"/>
      <w:r>
        <w:rPr>
          <w:rFonts w:ascii="Times New Roman" w:hAnsi="Times New Roman" w:eastAsia="等线" w:cs="Times New Roman"/>
          <w:b/>
          <w:bCs/>
          <w:kern w:val="2"/>
          <w:sz w:val="21"/>
          <w:szCs w:val="21"/>
        </w:rPr>
        <w:t>第十一条 保证</w:t>
      </w:r>
      <w:bookmarkEnd w:id="71"/>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11.1乙方保证其具有完全的能力履行本合同项下的全部义务。</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11.2乙方保证其所提供的合同货物及对合同的履行符合所有应适用的法律、行政法规、地方性法规、自治条例和单行条例、规章及其他规范性文件的强制性规定。</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11.3乙方保证其对合同货物的销售不损害任何第三方的合法权益和社会公共利益。任何第三方不会因乙方原因而基于所有权、抵押权、留置权或其他任何权利或事由对合同货物主张权利。</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11.4乙方保证合同货物符合合同约定的规格、标准、技术性能考核指标等，能够安全和稳定地运行，且合同货物（包含全部部件）全新、完整、未使用过。</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11.5乙方保证，乙方所提供的技术资料完整、清晰、准确，符合合同约定并且能够满足合同货物的安装、调试、考核、操作以及维修和保养的需要。</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11.6乙方保证合同范围内提供的备品备件能够满足合同货物在质量保证期结束前正常运行及维修的需要，如在质量保证期结束前出现备品备件短缺影响合同货物正常运行的，乙方应免费提供。</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11.7如果在合同货物设计使用寿命期内发生合同项下备品备件停止生产的情况，乙方应事先将拟停止生产的计划通知甲方，使甲方有足够的时间考虑备品备件的需求量。根据甲方要求，乙方应：</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（1）以不高于同期市场价格或其向任何第三方销售同类产品的价格提供合同货物正常运行所需的全部备品备件。</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2）免费提供可供甲方或第三方制造停产产品备品备件所需的全部技术资料，以便甲方持续获得上述备品备件以满足合同货物在寿命期内正常运行的需要。乙方保证甲方或甲方委托的第三方制造及甲方使用这些备品备件不侵犯任何人的知识产权。</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11.8乙方保证，在合同货物设计使用寿命期内，如果乙方发现合同货物由于设计、制造、标识等原因存在危及人身、财产安全的缺陷，乙方应及时通知甲方并及时采取修正或者补充标识、修理、更换等措施消除缺陷。</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11.9乙方同意甲方按照政府采购法实施条例的有关规定于本合同生效之日起2个工作日内在省级以上人民政府财政部门指定的媒体上公告本合同。在本合同签订前，经乙方书面申请并经甲方审核确认，涉及国家秘密、商业秘密的除外。</w:t>
      </w:r>
    </w:p>
    <w:p>
      <w:pPr>
        <w:spacing w:before="120" w:after="60" w:line="340" w:lineRule="exact"/>
        <w:outlineLvl w:val="0"/>
        <w:rPr>
          <w:rFonts w:ascii="Times New Roman" w:hAnsi="Times New Roman" w:eastAsia="等线" w:cs="Times New Roman"/>
          <w:b/>
          <w:bCs/>
          <w:kern w:val="2"/>
          <w:sz w:val="21"/>
          <w:szCs w:val="21"/>
        </w:rPr>
      </w:pPr>
      <w:bookmarkStart w:id="72" w:name="_Toc4953"/>
      <w:r>
        <w:rPr>
          <w:rFonts w:ascii="Times New Roman" w:hAnsi="Times New Roman" w:eastAsia="等线" w:cs="Times New Roman"/>
          <w:b/>
          <w:bCs/>
          <w:kern w:val="2"/>
          <w:sz w:val="21"/>
          <w:szCs w:val="21"/>
        </w:rPr>
        <w:t>第十二条 廉洁条款</w:t>
      </w:r>
      <w:bookmarkEnd w:id="72"/>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乙方保证并承诺，在政府采购、合同签订、履行过程中，未向评标委员会、竞争性谈判小组或者询价小组成员、采购代理机构工作人员、甲方工作人员行贿或者提供其他不正当利益。</w:t>
      </w:r>
    </w:p>
    <w:p>
      <w:pPr>
        <w:spacing w:before="120" w:after="60" w:line="340" w:lineRule="exact"/>
        <w:outlineLvl w:val="0"/>
        <w:rPr>
          <w:rFonts w:ascii="Times New Roman" w:hAnsi="Times New Roman" w:eastAsia="等线" w:cs="Times New Roman"/>
          <w:b/>
          <w:bCs/>
          <w:kern w:val="2"/>
          <w:sz w:val="21"/>
          <w:szCs w:val="21"/>
        </w:rPr>
      </w:pPr>
      <w:bookmarkStart w:id="73" w:name="_Toc14734"/>
      <w:r>
        <w:rPr>
          <w:rFonts w:ascii="Times New Roman" w:hAnsi="Times New Roman" w:eastAsia="等线" w:cs="Times New Roman"/>
          <w:b/>
          <w:bCs/>
          <w:kern w:val="2"/>
          <w:sz w:val="21"/>
          <w:szCs w:val="21"/>
        </w:rPr>
        <w:t>第十三条 知识产权</w:t>
      </w:r>
      <w:bookmarkEnd w:id="73"/>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13.1甲方在履行合同过程中提供给乙方的全部图纸、文件和其他含有数据和信息的资料，其知识产权属于甲方。未经甲方同意，乙方不得将其用于本合同目的之外的其他用途，且不得擅自向第三方转让、披露。</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13.2如合同货物涉及知识产权，则乙方保证甲方在使用合同货物的过程中免于受到第三方提出的有关知识产权侵权的主张、索赔或诉讼的损失。</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13.3如果甲方收到任何第三方有关知识产权的主张、索赔或诉讼，乙方应自负费用处理与第三方的索赔或诉讼，并赔偿甲方因此发生的费用和遭受的损失。如果乙方拒绝处理前述索赔或诉讼，甲方以自己的名义进行这些索赔或诉讼，因此发生的费用和遭受的损失均由乙方承担。</w:t>
      </w:r>
    </w:p>
    <w:p>
      <w:pPr>
        <w:spacing w:before="120" w:after="60" w:line="340" w:lineRule="exact"/>
        <w:outlineLvl w:val="0"/>
        <w:rPr>
          <w:rFonts w:ascii="Times New Roman" w:hAnsi="Times New Roman" w:eastAsia="等线" w:cs="Times New Roman"/>
          <w:b/>
          <w:bCs/>
          <w:kern w:val="2"/>
          <w:sz w:val="21"/>
          <w:szCs w:val="21"/>
        </w:rPr>
      </w:pPr>
      <w:bookmarkStart w:id="74" w:name="_Toc31888"/>
      <w:r>
        <w:rPr>
          <w:rFonts w:ascii="Times New Roman" w:hAnsi="Times New Roman" w:eastAsia="等线" w:cs="Times New Roman"/>
          <w:b/>
          <w:bCs/>
          <w:kern w:val="2"/>
          <w:sz w:val="21"/>
          <w:szCs w:val="21"/>
        </w:rPr>
        <w:t>第十四条 保密</w:t>
      </w:r>
      <w:bookmarkEnd w:id="74"/>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14.1合同双方应对因履行合同而取得的另一方当事人的信息、资料等予以保密。未经另一方当事人书面同意，任何一方均不得为与履行合同无关的目的使用或向第三方披露另一方当事人提供的信息、资料。</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14.2合同当事人的保密义务不适用于下列信息：</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（1）非因接受信息一方的过失现在或以后进入公共领域的信息；</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（2）接受信息一方当事人合法地从第三方获得并且据其善意了解第三方也不对此承担保密义务的信息；</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（3）法律或法律的执行要求披露的信息。</w:t>
      </w:r>
    </w:p>
    <w:p>
      <w:pPr>
        <w:spacing w:before="240" w:after="60" w:line="340" w:lineRule="exact"/>
        <w:outlineLvl w:val="0"/>
        <w:rPr>
          <w:rFonts w:ascii="Times New Roman" w:hAnsi="Times New Roman" w:eastAsia="等线" w:cs="Times New Roman"/>
          <w:b/>
          <w:bCs/>
          <w:kern w:val="2"/>
          <w:sz w:val="21"/>
          <w:szCs w:val="21"/>
        </w:rPr>
      </w:pPr>
      <w:bookmarkStart w:id="75" w:name="_Toc26841"/>
      <w:r>
        <w:rPr>
          <w:rFonts w:ascii="Times New Roman" w:hAnsi="Times New Roman" w:eastAsia="等线" w:cs="Times New Roman"/>
          <w:b/>
          <w:bCs/>
          <w:kern w:val="2"/>
          <w:sz w:val="21"/>
          <w:szCs w:val="21"/>
        </w:rPr>
        <w:t>第十五条 违约责任</w:t>
      </w:r>
      <w:bookmarkEnd w:id="75"/>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15.1合同一方不履行合同义务、履行合同义务不符合约定或者违反合同项下所作保证的，应向对方承担继续履行、采取修理、更换、退货等补救措施或者赔偿损失等违约责任。</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15.2乙方未能按时交付合同货物（包含仅延迟交付技术资料但足以导致合同货物安装、调试、考核、验收工作推迟的）的，乙方按照每逾期一日合同价款万分之五的标准向甲方支付迟延交付违约金，逾期超过30日，甲方有权解除合同，并要求乙方支付合同价款</w:t>
      </w:r>
      <w:r>
        <w:rPr>
          <w:rFonts w:hint="eastAsia" w:eastAsia="等线" w:cs="Times New Roman"/>
          <w:kern w:val="2"/>
          <w:sz w:val="21"/>
          <w:szCs w:val="21"/>
          <w:u w:val="single"/>
        </w:rPr>
        <w:t>万分之五</w:t>
      </w:r>
      <w:r>
        <w:rPr>
          <w:rFonts w:eastAsia="等线" w:cs="Times New Roman"/>
          <w:kern w:val="2"/>
          <w:sz w:val="21"/>
          <w:szCs w:val="21"/>
        </w:rPr>
        <w:t>的违约金，违约金不足以弥补甲方损失的，乙方应继续赔偿甲方所有损失。</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15.3乙方提供的合同货物为假冒伪劣产品的，甲方有权解除合同，并按照合同价款</w:t>
      </w:r>
      <w:r>
        <w:rPr>
          <w:rFonts w:hint="eastAsia" w:eastAsia="等线" w:cs="Times New Roman"/>
          <w:kern w:val="2"/>
          <w:sz w:val="21"/>
          <w:szCs w:val="21"/>
          <w:u w:val="single"/>
        </w:rPr>
        <w:t>万分之五</w:t>
      </w:r>
      <w:r>
        <w:rPr>
          <w:rFonts w:eastAsia="等线" w:cs="Times New Roman"/>
          <w:kern w:val="2"/>
          <w:sz w:val="21"/>
          <w:szCs w:val="21"/>
        </w:rPr>
        <w:t>向甲方支付违约金。</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15.4乙方将本合同项下的义务转包给第三方的，甲方有权解除合同，并要求乙方支付合同价款</w:t>
      </w:r>
      <w:r>
        <w:rPr>
          <w:rFonts w:eastAsia="等线" w:cs="Times New Roman"/>
          <w:kern w:val="2"/>
          <w:sz w:val="21"/>
          <w:szCs w:val="21"/>
          <w:u w:val="single"/>
        </w:rPr>
        <w:t xml:space="preserve"> </w:t>
      </w:r>
      <w:r>
        <w:rPr>
          <w:rFonts w:hint="eastAsia" w:eastAsia="等线" w:cs="Times New Roman"/>
          <w:kern w:val="2"/>
          <w:sz w:val="21"/>
          <w:szCs w:val="21"/>
          <w:u w:val="single"/>
        </w:rPr>
        <w:t>万分之五</w:t>
      </w:r>
      <w:r>
        <w:rPr>
          <w:rFonts w:eastAsia="等线" w:cs="Times New Roman"/>
          <w:kern w:val="2"/>
          <w:sz w:val="21"/>
          <w:szCs w:val="21"/>
        </w:rPr>
        <w:t>的违约金，违约金不足以弥补甲方损失的，乙方应继续赔偿甲方所有损失</w:t>
      </w:r>
      <w:r>
        <w:rPr>
          <w:rFonts w:hint="eastAsia" w:eastAsia="等线" w:cs="Times New Roman"/>
          <w:kern w:val="2"/>
          <w:sz w:val="21"/>
          <w:szCs w:val="21"/>
        </w:rPr>
        <w:t>。</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15.5乙方擅自将合同转包或提供假冒伪劣产品或擅自变更、中止、终止合同，甲方在要求乙方承担违约责任的同时，</w:t>
      </w:r>
      <w:r>
        <w:rPr>
          <w:rFonts w:hint="eastAsia" w:eastAsia="等线" w:cs="Times New Roman"/>
          <w:kern w:val="2"/>
          <w:sz w:val="21"/>
          <w:szCs w:val="21"/>
        </w:rPr>
        <w:t>保留向相关主管部门投诉、举报等相关权利</w:t>
      </w:r>
      <w:r>
        <w:rPr>
          <w:rFonts w:eastAsia="等线" w:cs="Times New Roman"/>
          <w:kern w:val="2"/>
          <w:sz w:val="21"/>
          <w:szCs w:val="21"/>
        </w:rPr>
        <w:t>。</w:t>
      </w:r>
    </w:p>
    <w:p>
      <w:pPr>
        <w:spacing w:before="120" w:after="60" w:line="340" w:lineRule="exact"/>
        <w:outlineLvl w:val="0"/>
        <w:rPr>
          <w:rFonts w:ascii="Times New Roman" w:hAnsi="Times New Roman" w:eastAsia="等线" w:cs="Times New Roman"/>
          <w:b/>
          <w:bCs/>
          <w:kern w:val="2"/>
          <w:sz w:val="21"/>
          <w:szCs w:val="21"/>
        </w:rPr>
      </w:pPr>
      <w:bookmarkStart w:id="76" w:name="_Toc16764"/>
      <w:r>
        <w:rPr>
          <w:rFonts w:ascii="Times New Roman" w:hAnsi="Times New Roman" w:eastAsia="等线" w:cs="Times New Roman"/>
          <w:b/>
          <w:bCs/>
          <w:kern w:val="2"/>
          <w:sz w:val="21"/>
          <w:szCs w:val="21"/>
        </w:rPr>
        <w:t>第十六条 合同的解除、终止</w:t>
      </w:r>
      <w:bookmarkEnd w:id="76"/>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16.1有下列情形之一，当事人可以发出书面通知解除合同，合同自通知到达对方时解除：</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（1）乙方迟延交付合同货物超过30日；</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（2）合同货物由于乙方原因三次考核均未能达到技术性能考核指标；</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（3）合同一方当事人出现破产、清算、资不抵债、成为失信被执行人等可能丧失履约能力的情形，且未能提供令对方满意的担保；</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（4）乙方提供的合同货物为假冒伪劣产品；</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（5）乙方将本合同项下的义务转包给第三方。</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16.2乙方分批交付货物，其中一批货物不交付或者交付后由于乙方原因三次考核均未能达到技术性能考核指标的，甲方有权解除本合同。</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16.3本合同继续履行将损害国家利益和社会公共利益的，双方当事人应当变更、中止或者终止合同。</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 xml:space="preserve">16.4 </w:t>
      </w:r>
      <w:r>
        <w:rPr>
          <w:rFonts w:hint="eastAsia" w:eastAsia="等线" w:cs="Times New Roman"/>
          <w:kern w:val="2"/>
          <w:sz w:val="21"/>
          <w:szCs w:val="21"/>
        </w:rPr>
        <w:t>因乙方原因造成合同解除的，乙方应退回甲方所有交付款项并承担违约责任。</w:t>
      </w:r>
    </w:p>
    <w:p>
      <w:pPr>
        <w:spacing w:before="120" w:after="60" w:line="340" w:lineRule="exact"/>
        <w:outlineLvl w:val="0"/>
        <w:rPr>
          <w:rFonts w:ascii="Times New Roman" w:hAnsi="Times New Roman" w:eastAsia="等线" w:cs="Times New Roman"/>
          <w:b/>
          <w:bCs/>
          <w:kern w:val="2"/>
          <w:sz w:val="21"/>
          <w:szCs w:val="21"/>
        </w:rPr>
      </w:pPr>
      <w:bookmarkStart w:id="77" w:name="_Toc26313"/>
      <w:r>
        <w:rPr>
          <w:rFonts w:ascii="Times New Roman" w:hAnsi="Times New Roman" w:eastAsia="等线" w:cs="Times New Roman"/>
          <w:b/>
          <w:bCs/>
          <w:kern w:val="2"/>
          <w:sz w:val="21"/>
          <w:szCs w:val="21"/>
        </w:rPr>
        <w:t>第十七条 不可抗力</w:t>
      </w:r>
      <w:bookmarkEnd w:id="77"/>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17.1如果任何一方当事人受到不能预见、不能避免且不能克服的不可抗力事件的影响，例如战争、严重的火灾、台风、地震、洪水、流行性疾病，而无法履行合同项下的任何义务，则受影响的一方当事人应立即将此类事件的发生通知另一方当事人，并应在不可抗力事件发生后28日内将有关当局或机构出具的证明文件提交给另一方当事人。</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17.2受不可抗力事件影响的一方当事人对于不可抗力事件导致的任何合同义务的迟延履行或不能履行不承担违约责任，但该方当事人应尽快将不可抗力事件结束或消除的情况通知另一方当事人。</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17.3双方应在不可抗力事件结束或其影响消除后协商继续履行或终止合同。</w:t>
      </w:r>
    </w:p>
    <w:p>
      <w:pPr>
        <w:spacing w:before="120" w:after="60" w:line="340" w:lineRule="exact"/>
        <w:outlineLvl w:val="0"/>
        <w:rPr>
          <w:rFonts w:ascii="Times New Roman" w:hAnsi="Times New Roman" w:eastAsia="等线" w:cs="Times New Roman"/>
          <w:b/>
          <w:bCs/>
          <w:kern w:val="2"/>
          <w:sz w:val="21"/>
          <w:szCs w:val="21"/>
        </w:rPr>
      </w:pPr>
      <w:bookmarkStart w:id="78" w:name="_Toc4659"/>
      <w:r>
        <w:rPr>
          <w:rFonts w:ascii="Times New Roman" w:hAnsi="Times New Roman" w:eastAsia="等线" w:cs="Times New Roman"/>
          <w:b/>
          <w:bCs/>
          <w:kern w:val="2"/>
          <w:sz w:val="21"/>
          <w:szCs w:val="21"/>
        </w:rPr>
        <w:t>第十八条 争议解决</w:t>
      </w:r>
      <w:bookmarkEnd w:id="78"/>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双方因履行本合同而发生争议的，应友好协商解决。协商不成的，任何一方有权诉讼至北京市海淀区有管辖权的人民法院。</w:t>
      </w:r>
      <w:r>
        <w:rPr>
          <w:rFonts w:hint="eastAsia" w:eastAsia="等线" w:cs="Times New Roman"/>
          <w:kern w:val="2"/>
          <w:sz w:val="21"/>
          <w:szCs w:val="21"/>
        </w:rPr>
        <w:t>解决争议期间，除争议事项外，双方应继续履行本合同规定的其他各项条款。</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诉讼过程中产生的诉讼费、律师费、保全费、保全担保费、公告费等所有费用均由败诉方承担。</w:t>
      </w:r>
    </w:p>
    <w:p>
      <w:pPr>
        <w:spacing w:before="120" w:after="60" w:line="340" w:lineRule="exact"/>
        <w:outlineLvl w:val="0"/>
        <w:rPr>
          <w:rFonts w:ascii="Times New Roman" w:hAnsi="Times New Roman" w:eastAsia="等线" w:cs="Times New Roman"/>
          <w:b/>
          <w:bCs/>
          <w:kern w:val="2"/>
          <w:sz w:val="21"/>
          <w:szCs w:val="21"/>
        </w:rPr>
      </w:pPr>
      <w:bookmarkStart w:id="79" w:name="_Toc823"/>
      <w:r>
        <w:rPr>
          <w:rFonts w:ascii="Times New Roman" w:hAnsi="Times New Roman" w:eastAsia="等线" w:cs="Times New Roman"/>
          <w:b/>
          <w:bCs/>
          <w:kern w:val="2"/>
          <w:sz w:val="21"/>
          <w:szCs w:val="21"/>
        </w:rPr>
        <w:t>第十九条 补充条款</w:t>
      </w:r>
      <w:bookmarkEnd w:id="79"/>
    </w:p>
    <w:p>
      <w:pPr>
        <w:adjustRightInd/>
        <w:spacing w:line="340" w:lineRule="exact"/>
        <w:ind w:firstLine="420" w:firstLineChars="200"/>
        <w:jc w:val="both"/>
        <w:textAlignment w:val="auto"/>
        <w:rPr>
          <w:rFonts w:eastAsia="等线" w:cs="Times New Roman"/>
          <w:b/>
          <w:bCs/>
          <w:kern w:val="2"/>
          <w:sz w:val="21"/>
          <w:szCs w:val="21"/>
          <w:u w:val="single"/>
        </w:rPr>
      </w:pPr>
      <w:r>
        <w:rPr>
          <w:rFonts w:eastAsia="等线" w:cs="Times New Roman"/>
          <w:b/>
          <w:bCs/>
          <w:kern w:val="2"/>
          <w:sz w:val="21"/>
          <w:szCs w:val="21"/>
          <w:u w:val="single"/>
        </w:rPr>
        <w:t xml:space="preserve">                                                                           </w:t>
      </w:r>
    </w:p>
    <w:p>
      <w:pPr>
        <w:adjustRightInd/>
        <w:spacing w:line="340" w:lineRule="exact"/>
        <w:jc w:val="both"/>
        <w:textAlignment w:val="auto"/>
        <w:rPr>
          <w:rFonts w:eastAsia="等线" w:cs="Times New Roman"/>
          <w:b/>
          <w:bCs/>
          <w:kern w:val="2"/>
          <w:sz w:val="21"/>
          <w:szCs w:val="21"/>
          <w:u w:val="single"/>
        </w:rPr>
      </w:pPr>
      <w:r>
        <w:rPr>
          <w:rFonts w:eastAsia="等线" w:cs="Times New Roman"/>
          <w:b/>
          <w:bCs/>
          <w:kern w:val="2"/>
          <w:sz w:val="21"/>
          <w:szCs w:val="21"/>
          <w:u w:val="single"/>
        </w:rPr>
        <w:t xml:space="preserve">                                                                               </w:t>
      </w:r>
    </w:p>
    <w:p>
      <w:pPr>
        <w:spacing w:before="120" w:after="60" w:line="340" w:lineRule="exact"/>
        <w:outlineLvl w:val="0"/>
        <w:rPr>
          <w:rFonts w:ascii="Times New Roman" w:hAnsi="Times New Roman" w:eastAsia="等线" w:cs="Times New Roman"/>
          <w:b/>
          <w:bCs/>
          <w:kern w:val="2"/>
          <w:sz w:val="21"/>
          <w:szCs w:val="21"/>
        </w:rPr>
      </w:pPr>
      <w:bookmarkStart w:id="80" w:name="_Toc18135"/>
      <w:r>
        <w:rPr>
          <w:rFonts w:ascii="Times New Roman" w:hAnsi="Times New Roman" w:eastAsia="等线" w:cs="Times New Roman"/>
          <w:b/>
          <w:bCs/>
          <w:kern w:val="2"/>
          <w:sz w:val="21"/>
          <w:szCs w:val="21"/>
        </w:rPr>
        <w:t>第二十条 合同生效与其他</w:t>
      </w:r>
      <w:bookmarkEnd w:id="80"/>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20.1本合同的所有附件（如有）、采购文件、投标文件、中标通知书、供货要求、报价表、技术性能指标的详细描述、技术服务和质量保证期服务计划等均是合同不可分割的部分，并与合同正文具有同等法律效力。</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20.2本合同经甲乙双方法定代表人或授权代表签字</w:t>
      </w:r>
      <w:r>
        <w:rPr>
          <w:rFonts w:hint="eastAsia" w:eastAsia="等线" w:cs="Times New Roman"/>
          <w:kern w:val="2"/>
          <w:sz w:val="21"/>
          <w:szCs w:val="21"/>
        </w:rPr>
        <w:t>、</w:t>
      </w:r>
      <w:r>
        <w:rPr>
          <w:rFonts w:eastAsia="等线" w:cs="Times New Roman"/>
          <w:kern w:val="2"/>
          <w:sz w:val="21"/>
          <w:szCs w:val="21"/>
        </w:rPr>
        <w:t>加盖单位公章或合同专用章后生效。</w:t>
      </w:r>
      <w:r>
        <w:rPr>
          <w:rFonts w:hint="eastAsia" w:eastAsia="等线" w:cs="Times New Roman"/>
          <w:kern w:val="2"/>
          <w:sz w:val="21"/>
          <w:szCs w:val="21"/>
        </w:rPr>
        <w:t>合同签订日期以双方中最后一方签署、加盖公章或合同专用章的日期为准。</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20.3本合同一式</w:t>
      </w:r>
      <w:r>
        <w:rPr>
          <w:rFonts w:hint="eastAsia" w:eastAsia="等线" w:cs="Times New Roman"/>
          <w:kern w:val="2"/>
          <w:sz w:val="21"/>
          <w:szCs w:val="21"/>
          <w:u w:val="single"/>
        </w:rPr>
        <w:t xml:space="preserve">   </w:t>
      </w:r>
      <w:r>
        <w:rPr>
          <w:rFonts w:eastAsia="等线" w:cs="Times New Roman"/>
          <w:kern w:val="2"/>
          <w:sz w:val="21"/>
          <w:szCs w:val="21"/>
        </w:rPr>
        <w:t>份，甲方执</w:t>
      </w:r>
      <w:r>
        <w:rPr>
          <w:rFonts w:hint="eastAsia" w:eastAsia="等线" w:cs="Times New Roman"/>
          <w:kern w:val="2"/>
          <w:sz w:val="21"/>
          <w:szCs w:val="21"/>
          <w:u w:val="single"/>
        </w:rPr>
        <w:t xml:space="preserve"> </w:t>
      </w:r>
      <w:r>
        <w:rPr>
          <w:rFonts w:eastAsia="等线" w:cs="Times New Roman"/>
          <w:kern w:val="2"/>
          <w:sz w:val="21"/>
          <w:szCs w:val="21"/>
          <w:u w:val="single"/>
        </w:rPr>
        <w:t xml:space="preserve"> </w:t>
      </w:r>
      <w:r>
        <w:rPr>
          <w:rFonts w:hint="eastAsia" w:eastAsia="等线" w:cs="Times New Roman"/>
          <w:kern w:val="2"/>
          <w:sz w:val="21"/>
          <w:szCs w:val="21"/>
          <w:u w:val="single"/>
        </w:rPr>
        <w:t xml:space="preserve"> </w:t>
      </w:r>
      <w:r>
        <w:rPr>
          <w:rFonts w:eastAsia="等线" w:cs="Times New Roman"/>
          <w:kern w:val="2"/>
          <w:sz w:val="21"/>
          <w:szCs w:val="21"/>
        </w:rPr>
        <w:t>份，乙方执</w:t>
      </w:r>
      <w:r>
        <w:rPr>
          <w:rFonts w:hint="eastAsia" w:eastAsia="等线" w:cs="Times New Roman"/>
          <w:kern w:val="2"/>
          <w:sz w:val="21"/>
          <w:szCs w:val="21"/>
          <w:u w:val="single"/>
        </w:rPr>
        <w:t xml:space="preserve"> </w:t>
      </w:r>
      <w:r>
        <w:rPr>
          <w:rFonts w:eastAsia="等线" w:cs="Times New Roman"/>
          <w:kern w:val="2"/>
          <w:sz w:val="21"/>
          <w:szCs w:val="21"/>
          <w:u w:val="single"/>
        </w:rPr>
        <w:t xml:space="preserve"> </w:t>
      </w:r>
      <w:r>
        <w:rPr>
          <w:rFonts w:hint="eastAsia" w:eastAsia="等线" w:cs="Times New Roman"/>
          <w:kern w:val="2"/>
          <w:sz w:val="21"/>
          <w:szCs w:val="21"/>
          <w:u w:val="single"/>
        </w:rPr>
        <w:t xml:space="preserve"> </w:t>
      </w:r>
      <w:r>
        <w:rPr>
          <w:rFonts w:eastAsia="等线" w:cs="Times New Roman"/>
          <w:kern w:val="2"/>
          <w:sz w:val="21"/>
          <w:szCs w:val="21"/>
        </w:rPr>
        <w:t>份。</w:t>
      </w:r>
    </w:p>
    <w:p>
      <w:pPr>
        <w:adjustRightInd/>
        <w:spacing w:line="340" w:lineRule="exact"/>
        <w:ind w:firstLine="420" w:firstLineChars="200"/>
        <w:jc w:val="both"/>
        <w:textAlignment w:val="auto"/>
        <w:rPr>
          <w:rFonts w:eastAsia="等线" w:cs="Times New Roman"/>
          <w:kern w:val="2"/>
          <w:sz w:val="21"/>
          <w:szCs w:val="21"/>
        </w:rPr>
      </w:pPr>
      <w:r>
        <w:rPr>
          <w:rFonts w:eastAsia="等线" w:cs="Times New Roman"/>
          <w:kern w:val="2"/>
          <w:sz w:val="21"/>
          <w:szCs w:val="21"/>
        </w:rPr>
        <w:t>20.4本合同有效期：</w:t>
      </w:r>
      <w:r>
        <w:rPr>
          <w:rFonts w:eastAsia="等线" w:cs="Times New Roman"/>
          <w:kern w:val="2"/>
          <w:sz w:val="21"/>
          <w:szCs w:val="21"/>
          <w:u w:val="single"/>
        </w:rPr>
        <w:t xml:space="preserve">    </w:t>
      </w:r>
      <w:r>
        <w:rPr>
          <w:rFonts w:eastAsia="等线" w:cs="Times New Roman"/>
          <w:kern w:val="2"/>
          <w:sz w:val="21"/>
          <w:szCs w:val="21"/>
        </w:rPr>
        <w:t>年（应大于或者等于质保期限）。</w:t>
      </w:r>
    </w:p>
    <w:p>
      <w:pPr>
        <w:adjustRightInd/>
        <w:spacing w:line="340" w:lineRule="exact"/>
        <w:ind w:firstLine="420" w:firstLineChars="200"/>
        <w:jc w:val="both"/>
        <w:textAlignment w:val="auto"/>
        <w:rPr>
          <w:rFonts w:eastAsia="等线" w:cs="Times New Roman"/>
          <w:b/>
          <w:bCs/>
          <w:kern w:val="2"/>
          <w:sz w:val="21"/>
          <w:szCs w:val="21"/>
        </w:rPr>
      </w:pPr>
    </w:p>
    <w:p>
      <w:pPr>
        <w:adjustRightInd/>
        <w:spacing w:line="340" w:lineRule="exact"/>
        <w:ind w:firstLine="420" w:firstLineChars="200"/>
        <w:jc w:val="both"/>
        <w:textAlignment w:val="auto"/>
        <w:rPr>
          <w:rFonts w:eastAsia="等线" w:cs="Times New Roman"/>
          <w:bCs/>
          <w:kern w:val="2"/>
          <w:sz w:val="21"/>
          <w:szCs w:val="21"/>
        </w:rPr>
      </w:pPr>
      <w:r>
        <w:rPr>
          <w:rFonts w:eastAsia="等线" w:cs="Times New Roman"/>
          <w:bCs/>
          <w:kern w:val="2"/>
          <w:sz w:val="21"/>
          <w:szCs w:val="21"/>
        </w:rPr>
        <w:t>双方已充分理解并同意本合同项下全部条款、权利、义务以及风险，且不存在任何其他不明条款，故签订本合同。</w:t>
      </w:r>
    </w:p>
    <w:p>
      <w:pPr>
        <w:adjustRightInd/>
        <w:spacing w:line="340" w:lineRule="exact"/>
        <w:ind w:firstLine="420" w:firstLineChars="200"/>
        <w:jc w:val="both"/>
        <w:textAlignment w:val="auto"/>
        <w:rPr>
          <w:rFonts w:eastAsia="等线" w:cs="Times New Roman"/>
          <w:bCs/>
          <w:kern w:val="2"/>
          <w:sz w:val="21"/>
          <w:szCs w:val="21"/>
        </w:rPr>
      </w:pPr>
      <w:r>
        <w:rPr>
          <w:rFonts w:eastAsia="等线" w:cs="Times New Roman"/>
          <w:bCs/>
          <w:kern w:val="2"/>
          <w:sz w:val="21"/>
          <w:szCs w:val="21"/>
        </w:rPr>
        <w:t>以下无正文。</w:t>
      </w:r>
    </w:p>
    <w:p>
      <w:pPr>
        <w:adjustRightInd/>
        <w:spacing w:line="240" w:lineRule="auto"/>
        <w:jc w:val="both"/>
        <w:textAlignment w:val="auto"/>
        <w:rPr>
          <w:rFonts w:cs="Times New Roman"/>
          <w:kern w:val="2"/>
          <w:sz w:val="21"/>
        </w:rPr>
      </w:pPr>
    </w:p>
    <w:p>
      <w:pPr>
        <w:rPr>
          <w:rFonts w:ascii="Times New Roman" w:cs="Times New Roman"/>
          <w:b/>
          <w:color w:val="000000"/>
          <w:kern w:val="44"/>
          <w:sz w:val="32"/>
          <w:szCs w:val="20"/>
        </w:rPr>
      </w:pPr>
      <w:r>
        <w:rPr>
          <w:rFonts w:hint="eastAsia" w:ascii="Times New Roman" w:cs="Times New Roman"/>
          <w:b/>
          <w:color w:val="000000"/>
          <w:kern w:val="44"/>
          <w:sz w:val="32"/>
          <w:szCs w:val="20"/>
        </w:rPr>
        <w:br w:type="page"/>
      </w:r>
    </w:p>
    <w:p>
      <w:pPr>
        <w:pStyle w:val="3"/>
        <w:snapToGrid w:val="0"/>
        <w:spacing w:line="480" w:lineRule="exact"/>
        <w:rPr>
          <w:rFonts w:ascii="宋体" w:hAnsi="宋体" w:eastAsia="宋体" w:cs="宋体"/>
        </w:rPr>
      </w:pPr>
      <w:bookmarkStart w:id="81" w:name="_Toc9891"/>
      <w:r>
        <w:rPr>
          <w:rFonts w:hint="eastAsia" w:ascii="宋体" w:hAnsi="宋体" w:eastAsia="宋体" w:cs="宋体"/>
        </w:rPr>
        <w:t>第六章 投标文件格式</w:t>
      </w:r>
      <w:bookmarkEnd w:id="81"/>
    </w:p>
    <w:p>
      <w:pPr>
        <w:snapToGrid w:val="0"/>
        <w:spacing w:line="400" w:lineRule="exact"/>
        <w:jc w:val="center"/>
        <w:rPr>
          <w:rFonts w:ascii="宋体" w:hAnsi="宋体" w:cs="宋体"/>
          <w:b/>
          <w:bCs/>
        </w:rPr>
      </w:pPr>
    </w:p>
    <w:p>
      <w:pPr>
        <w:snapToGrid w:val="0"/>
        <w:spacing w:line="400" w:lineRule="exact"/>
        <w:jc w:val="center"/>
        <w:rPr>
          <w:rFonts w:ascii="宋体" w:hAnsi="宋体" w:cs="宋体"/>
          <w:b/>
          <w:bCs/>
          <w:sz w:val="32"/>
          <w:szCs w:val="32"/>
        </w:rPr>
      </w:pPr>
      <w:r>
        <w:rPr>
          <w:rFonts w:hint="eastAsia" w:ascii="宋体" w:hAnsi="宋体" w:cs="宋体"/>
          <w:b/>
          <w:bCs/>
          <w:sz w:val="32"/>
          <w:szCs w:val="32"/>
        </w:rPr>
        <w:t>投标人提交文件须知：</w:t>
      </w:r>
    </w:p>
    <w:p>
      <w:pPr>
        <w:snapToGrid w:val="0"/>
        <w:spacing w:line="400" w:lineRule="exact"/>
        <w:jc w:val="center"/>
        <w:rPr>
          <w:rFonts w:ascii="宋体" w:hAnsi="宋体" w:cs="宋体"/>
          <w:b/>
          <w:bCs/>
          <w:sz w:val="32"/>
          <w:szCs w:val="32"/>
        </w:rPr>
      </w:pPr>
    </w:p>
    <w:p>
      <w:pPr>
        <w:pStyle w:val="41"/>
        <w:adjustRightInd w:val="0"/>
        <w:snapToGrid w:val="0"/>
        <w:spacing w:before="0" w:after="0" w:line="480" w:lineRule="exact"/>
        <w:ind w:firstLine="480"/>
        <w:jc w:val="both"/>
        <w:rPr>
          <w:rFonts w:ascii="宋体" w:hAnsi="宋体" w:eastAsia="宋体" w:cs="宋体"/>
          <w:color w:val="auto"/>
          <w:sz w:val="24"/>
          <w:szCs w:val="24"/>
        </w:rPr>
      </w:pPr>
      <w:r>
        <w:rPr>
          <w:rFonts w:hint="eastAsia" w:ascii="宋体" w:hAnsi="宋体" w:eastAsia="宋体" w:cs="宋体"/>
          <w:color w:val="auto"/>
          <w:sz w:val="24"/>
          <w:szCs w:val="24"/>
        </w:rPr>
        <w:t>1.本部分内容仅提供格式要求，并不代表所有列出格式的文件本项目全部必须提交。</w:t>
      </w:r>
    </w:p>
    <w:p>
      <w:pPr>
        <w:pStyle w:val="41"/>
        <w:tabs>
          <w:tab w:val="left" w:pos="168"/>
        </w:tabs>
        <w:adjustRightInd w:val="0"/>
        <w:snapToGrid w:val="0"/>
        <w:spacing w:before="0" w:after="0" w:line="480" w:lineRule="exact"/>
        <w:ind w:firstLine="480"/>
        <w:jc w:val="both"/>
        <w:rPr>
          <w:rFonts w:ascii="宋体" w:hAnsi="宋体" w:eastAsia="宋体" w:cs="宋体"/>
          <w:color w:val="auto"/>
          <w:sz w:val="24"/>
          <w:szCs w:val="24"/>
        </w:rPr>
      </w:pPr>
      <w:r>
        <w:rPr>
          <w:rFonts w:hint="eastAsia" w:ascii="宋体" w:hAnsi="宋体" w:eastAsia="宋体" w:cs="宋体"/>
          <w:color w:val="auto"/>
          <w:sz w:val="24"/>
          <w:szCs w:val="24"/>
        </w:rPr>
        <w:t>2.投标人应严格按照以下目录顺序填写和提交下述规定的全部格式文件以及其他有关资料，混乱的编排导致投标文件被误读或查找不到，后果由投标人承担。</w:t>
      </w:r>
    </w:p>
    <w:p>
      <w:pPr>
        <w:pStyle w:val="41"/>
        <w:tabs>
          <w:tab w:val="left" w:pos="168"/>
        </w:tabs>
        <w:adjustRightInd w:val="0"/>
        <w:snapToGrid w:val="0"/>
        <w:spacing w:before="0" w:after="0" w:line="480" w:lineRule="exact"/>
        <w:ind w:firstLine="480"/>
        <w:jc w:val="both"/>
        <w:rPr>
          <w:rFonts w:ascii="宋体" w:hAnsi="宋体" w:eastAsia="宋体" w:cs="宋体"/>
          <w:color w:val="auto"/>
          <w:sz w:val="24"/>
          <w:szCs w:val="24"/>
        </w:rPr>
      </w:pPr>
      <w:r>
        <w:rPr>
          <w:rFonts w:hint="eastAsia" w:ascii="宋体" w:hAnsi="宋体" w:eastAsia="宋体" w:cs="宋体"/>
          <w:color w:val="auto"/>
          <w:sz w:val="24"/>
          <w:szCs w:val="24"/>
        </w:rPr>
        <w:t>3.所附表格中要求回答的全部问题和信息都必须正面回答。</w:t>
      </w:r>
    </w:p>
    <w:p>
      <w:pPr>
        <w:pStyle w:val="41"/>
        <w:tabs>
          <w:tab w:val="left" w:pos="168"/>
        </w:tabs>
        <w:adjustRightInd w:val="0"/>
        <w:snapToGrid w:val="0"/>
        <w:spacing w:before="0" w:after="0" w:line="480" w:lineRule="exact"/>
        <w:ind w:firstLine="480"/>
        <w:jc w:val="both"/>
        <w:rPr>
          <w:rFonts w:ascii="宋体" w:hAnsi="宋体" w:eastAsia="宋体" w:cs="宋体"/>
          <w:color w:val="auto"/>
          <w:sz w:val="24"/>
          <w:szCs w:val="24"/>
        </w:rPr>
      </w:pPr>
      <w:r>
        <w:rPr>
          <w:rFonts w:hint="eastAsia" w:ascii="宋体" w:hAnsi="宋体" w:eastAsia="宋体" w:cs="宋体"/>
          <w:color w:val="auto"/>
          <w:sz w:val="24"/>
          <w:szCs w:val="24"/>
        </w:rPr>
        <w:t>4.投标人提交的材料不予退还。</w:t>
      </w:r>
    </w:p>
    <w:p>
      <w:pPr>
        <w:pStyle w:val="41"/>
        <w:tabs>
          <w:tab w:val="left" w:pos="168"/>
        </w:tabs>
        <w:adjustRightInd w:val="0"/>
        <w:snapToGrid w:val="0"/>
        <w:spacing w:before="0" w:after="0" w:line="480" w:lineRule="exact"/>
        <w:ind w:firstLine="480"/>
        <w:jc w:val="both"/>
        <w:rPr>
          <w:rFonts w:ascii="宋体" w:hAnsi="宋体" w:eastAsia="宋体" w:cs="宋体"/>
          <w:color w:val="auto"/>
          <w:sz w:val="24"/>
          <w:szCs w:val="24"/>
        </w:rPr>
      </w:pPr>
      <w:r>
        <w:rPr>
          <w:rFonts w:hint="eastAsia" w:ascii="宋体" w:hAnsi="宋体" w:eastAsia="宋体" w:cs="宋体"/>
          <w:color w:val="auto"/>
          <w:sz w:val="24"/>
          <w:szCs w:val="24"/>
        </w:rPr>
        <w:t>5.全部文件应按投标人须知以及前附表中规定的语言和份数提交。</w:t>
      </w:r>
    </w:p>
    <w:p>
      <w:pPr>
        <w:pStyle w:val="41"/>
        <w:tabs>
          <w:tab w:val="left" w:pos="168"/>
        </w:tabs>
        <w:adjustRightInd w:val="0"/>
        <w:snapToGrid w:val="0"/>
        <w:spacing w:before="0" w:after="0" w:line="480" w:lineRule="exact"/>
        <w:ind w:firstLine="480"/>
        <w:jc w:val="both"/>
        <w:rPr>
          <w:rFonts w:ascii="宋体" w:hAnsi="宋体" w:eastAsia="宋体" w:cs="宋体"/>
          <w:color w:val="auto"/>
          <w:sz w:val="24"/>
          <w:szCs w:val="24"/>
        </w:rPr>
      </w:pPr>
      <w:r>
        <w:rPr>
          <w:rFonts w:hint="eastAsia" w:ascii="宋体" w:hAnsi="宋体" w:eastAsia="宋体" w:cs="宋体"/>
          <w:color w:val="auto"/>
          <w:sz w:val="24"/>
          <w:szCs w:val="24"/>
        </w:rPr>
        <w:t>6.对投标人须知前附表中涉及</w:t>
      </w:r>
      <w:r>
        <w:rPr>
          <w:rFonts w:hint="eastAsia" w:ascii="宋体" w:hAnsi="宋体" w:eastAsia="宋体" w:cs="宋体"/>
          <w:color w:val="auto"/>
          <w:sz w:val="24"/>
          <w:szCs w:val="24"/>
          <w:lang w:val="en-US"/>
        </w:rPr>
        <w:t>★的格式文件，</w:t>
      </w:r>
      <w:r>
        <w:rPr>
          <w:rFonts w:hint="eastAsia" w:ascii="宋体" w:hAnsi="宋体" w:eastAsia="宋体" w:cs="宋体"/>
          <w:color w:val="auto"/>
          <w:sz w:val="24"/>
          <w:szCs w:val="24"/>
        </w:rPr>
        <w:t>除可填报项目外，任何实质性修改将被视为非实质性响应投标，从而导致该投标被拒绝。</w:t>
      </w:r>
    </w:p>
    <w:p>
      <w:pPr>
        <w:pStyle w:val="41"/>
        <w:tabs>
          <w:tab w:val="left" w:pos="168"/>
        </w:tabs>
        <w:adjustRightInd w:val="0"/>
        <w:snapToGrid w:val="0"/>
        <w:spacing w:before="0" w:after="0" w:line="480" w:lineRule="exact"/>
        <w:ind w:firstLine="480"/>
        <w:jc w:val="both"/>
        <w:rPr>
          <w:rFonts w:ascii="宋体" w:hAnsi="宋体" w:eastAsia="宋体" w:cs="宋体"/>
          <w:color w:val="auto"/>
          <w:sz w:val="24"/>
          <w:szCs w:val="24"/>
        </w:rPr>
      </w:pPr>
      <w:r>
        <w:rPr>
          <w:rFonts w:hint="eastAsia" w:ascii="宋体" w:hAnsi="宋体" w:eastAsia="宋体" w:cs="宋体"/>
          <w:color w:val="auto"/>
          <w:sz w:val="24"/>
          <w:szCs w:val="24"/>
        </w:rPr>
        <w:t>7.投标文件应按照投标文件格式逐项填写，无相应内容可填的项应填写“无”“未测试”“没有相应指标”等明确的回答文字。</w:t>
      </w:r>
    </w:p>
    <w:p>
      <w:pPr>
        <w:widowControl/>
        <w:snapToGrid w:val="0"/>
        <w:spacing w:line="400" w:lineRule="exact"/>
        <w:textAlignment w:val="auto"/>
        <w:rPr>
          <w:rFonts w:ascii="宋体" w:hAnsi="宋体" w:cs="宋体"/>
          <w:b/>
          <w:bCs/>
          <w:sz w:val="28"/>
          <w:szCs w:val="28"/>
        </w:rPr>
      </w:pPr>
    </w:p>
    <w:p>
      <w:pPr>
        <w:adjustRightInd/>
        <w:spacing w:line="240" w:lineRule="auto"/>
        <w:jc w:val="center"/>
        <w:textAlignment w:val="auto"/>
        <w:rPr>
          <w:rFonts w:ascii="宋体" w:hAnsi="宋体" w:cs="宋体"/>
          <w:b/>
          <w:bCs/>
          <w:kern w:val="44"/>
          <w:sz w:val="44"/>
          <w:szCs w:val="44"/>
        </w:rPr>
      </w:pPr>
      <w:bookmarkStart w:id="82" w:name="_Toc477185302"/>
      <w:r>
        <w:rPr>
          <w:rFonts w:hint="eastAsia" w:ascii="宋体" w:hAnsi="宋体" w:cs="宋体"/>
          <w:b/>
          <w:bCs/>
          <w:kern w:val="2"/>
          <w:sz w:val="21"/>
          <w:szCs w:val="21"/>
        </w:rPr>
        <w:br w:type="page"/>
      </w:r>
      <w:bookmarkEnd w:id="82"/>
    </w:p>
    <w:p>
      <w:pPr>
        <w:pStyle w:val="63"/>
        <w:adjustRightInd w:val="0"/>
        <w:snapToGrid w:val="0"/>
        <w:spacing w:line="400" w:lineRule="exact"/>
        <w:jc w:val="left"/>
        <w:rPr>
          <w:rFonts w:hAnsi="宋体" w:cs="宋体"/>
        </w:rPr>
      </w:pPr>
      <w:bookmarkStart w:id="83" w:name="_Toc1419"/>
      <w:bookmarkStart w:id="84" w:name="_Toc21470"/>
      <w:bookmarkStart w:id="85" w:name="_Toc86156778"/>
      <w:bookmarkStart w:id="86" w:name="_Toc3449"/>
      <w:bookmarkStart w:id="87" w:name="_Toc95326682"/>
      <w:bookmarkStart w:id="88" w:name="_Toc31529"/>
      <w:bookmarkStart w:id="89" w:name="_Toc10580"/>
      <w:bookmarkStart w:id="90" w:name="_Toc25142"/>
      <w:bookmarkStart w:id="91" w:name="_Toc7635"/>
      <w:bookmarkStart w:id="92" w:name="_Toc22120"/>
      <w:bookmarkStart w:id="93" w:name="_Toc477185303"/>
      <w:r>
        <w:rPr>
          <w:rFonts w:hint="eastAsia" w:hAnsi="宋体" w:cs="宋体"/>
        </w:rPr>
        <w:t>★附件1：</w:t>
      </w:r>
      <w:bookmarkEnd w:id="83"/>
      <w:bookmarkEnd w:id="84"/>
      <w:bookmarkEnd w:id="85"/>
      <w:bookmarkEnd w:id="86"/>
      <w:bookmarkEnd w:id="87"/>
      <w:bookmarkEnd w:id="88"/>
      <w:bookmarkEnd w:id="89"/>
      <w:bookmarkEnd w:id="90"/>
      <w:bookmarkEnd w:id="91"/>
      <w:bookmarkEnd w:id="92"/>
      <w:bookmarkEnd w:id="93"/>
    </w:p>
    <w:p>
      <w:pPr>
        <w:snapToGrid w:val="0"/>
        <w:spacing w:line="400" w:lineRule="exact"/>
        <w:jc w:val="center"/>
        <w:rPr>
          <w:rFonts w:ascii="宋体" w:hAnsi="宋体" w:cs="宋体"/>
          <w:caps/>
          <w:sz w:val="36"/>
          <w:szCs w:val="36"/>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投标函</w:t>
      </w:r>
    </w:p>
    <w:p>
      <w:pPr>
        <w:snapToGrid w:val="0"/>
        <w:spacing w:line="400" w:lineRule="exact"/>
        <w:rPr>
          <w:rFonts w:ascii="宋体" w:hAnsi="宋体" w:cs="宋体"/>
          <w:u w:val="single"/>
        </w:rPr>
      </w:pPr>
    </w:p>
    <w:p>
      <w:pPr>
        <w:snapToGrid w:val="0"/>
        <w:spacing w:line="400" w:lineRule="exact"/>
        <w:rPr>
          <w:rFonts w:ascii="宋体" w:hAnsi="宋体" w:cs="宋体"/>
        </w:rPr>
      </w:pPr>
      <w:r>
        <w:rPr>
          <w:rFonts w:hint="eastAsia" w:ascii="宋体" w:hAnsi="宋体" w:cs="宋体"/>
          <w:u w:val="single"/>
        </w:rPr>
        <w:t>（北京中教仪国际招标代理有限公司）</w:t>
      </w:r>
      <w:r>
        <w:rPr>
          <w:rFonts w:hint="eastAsia" w:ascii="宋体" w:hAnsi="宋体" w:cs="宋体"/>
        </w:rPr>
        <w:t>：</w:t>
      </w:r>
    </w:p>
    <w:p>
      <w:pPr>
        <w:snapToGrid w:val="0"/>
        <w:spacing w:line="400" w:lineRule="exact"/>
        <w:ind w:firstLine="480" w:firstLineChars="200"/>
        <w:jc w:val="both"/>
        <w:rPr>
          <w:rFonts w:ascii="宋体" w:hAnsi="宋体" w:cs="宋体"/>
          <w:b/>
          <w:bCs/>
        </w:rPr>
      </w:pPr>
      <w:r>
        <w:rPr>
          <w:rFonts w:hint="eastAsia" w:ascii="宋体" w:hAnsi="宋体" w:cs="宋体"/>
        </w:rPr>
        <w:t>我方参加贵方组织的</w:t>
      </w:r>
      <w:r>
        <w:rPr>
          <w:rFonts w:hint="eastAsia" w:ascii="宋体" w:hAnsi="宋体" w:cs="宋体"/>
          <w:u w:val="single"/>
        </w:rPr>
        <w:t>(</w:t>
      </w:r>
      <w:r>
        <w:rPr>
          <w:rFonts w:hint="eastAsia" w:ascii="宋体" w:hAnsi="宋体" w:cs="宋体"/>
          <w:u w:val="single"/>
          <w:lang w:eastAsia="zh-CN"/>
        </w:rPr>
        <w:t>清华大学形态学虚拟仿真教学系统采购项目</w:t>
      </w:r>
      <w:r>
        <w:rPr>
          <w:rFonts w:hint="eastAsia" w:ascii="宋体" w:hAnsi="宋体" w:cs="宋体"/>
          <w:u w:val="single"/>
        </w:rPr>
        <w:t>)</w:t>
      </w:r>
      <w:r>
        <w:rPr>
          <w:rFonts w:hint="eastAsia" w:ascii="宋体" w:hAnsi="宋体" w:cs="宋体"/>
        </w:rPr>
        <w:t>、</w:t>
      </w:r>
      <w:r>
        <w:rPr>
          <w:rFonts w:hint="eastAsia" w:ascii="宋体" w:hAnsi="宋体" w:cs="宋体"/>
          <w:u w:val="single"/>
        </w:rPr>
        <w:t>（</w:t>
      </w:r>
      <w:r>
        <w:rPr>
          <w:rFonts w:hint="eastAsia" w:ascii="宋体" w:hAnsi="宋体" w:cs="宋体"/>
          <w:u w:val="single"/>
          <w:lang w:eastAsia="zh-CN"/>
        </w:rPr>
        <w:t>清设招第2022849号（0873-2201HW3L0895）</w:t>
      </w:r>
      <w:r>
        <w:rPr>
          <w:rFonts w:hint="eastAsia" w:ascii="宋体" w:hAnsi="宋体" w:cs="宋体"/>
          <w:u w:val="single"/>
        </w:rPr>
        <w:t>）</w:t>
      </w:r>
      <w:r>
        <w:rPr>
          <w:rFonts w:hint="eastAsia" w:ascii="宋体" w:hAnsi="宋体" w:cs="宋体"/>
        </w:rPr>
        <w:t>、</w:t>
      </w:r>
      <w:r>
        <w:rPr>
          <w:rFonts w:hint="eastAsia" w:ascii="宋体" w:hAnsi="宋体" w:cs="宋体"/>
          <w:u w:val="single"/>
        </w:rPr>
        <w:t>（填写包号）</w:t>
      </w:r>
      <w:r>
        <w:rPr>
          <w:rFonts w:hint="eastAsia" w:ascii="宋体" w:hAnsi="宋体" w:cs="宋体"/>
        </w:rPr>
        <w:t>招标的有关活动，并对此项目进行投标。为此</w:t>
      </w:r>
      <w:r>
        <w:rPr>
          <w:rFonts w:hint="eastAsia" w:ascii="宋体" w:hAnsi="宋体" w:cs="宋体"/>
          <w:b/>
          <w:bCs/>
        </w:rPr>
        <w:t>，我方承诺如下：</w:t>
      </w:r>
    </w:p>
    <w:p>
      <w:pPr>
        <w:pStyle w:val="41"/>
        <w:adjustRightInd w:val="0"/>
        <w:snapToGrid w:val="0"/>
        <w:spacing w:before="0" w:after="0" w:line="400" w:lineRule="exact"/>
        <w:ind w:firstLine="480"/>
        <w:jc w:val="both"/>
        <w:rPr>
          <w:rFonts w:ascii="宋体" w:hAnsi="宋体" w:eastAsia="宋体" w:cs="宋体"/>
          <w:color w:val="auto"/>
          <w:sz w:val="24"/>
          <w:szCs w:val="24"/>
        </w:rPr>
      </w:pPr>
      <w:r>
        <w:rPr>
          <w:rFonts w:hint="eastAsia" w:ascii="宋体" w:hAnsi="宋体" w:eastAsia="宋体" w:cs="宋体"/>
          <w:color w:val="auto"/>
          <w:sz w:val="24"/>
          <w:szCs w:val="24"/>
        </w:rPr>
        <w:t>1.同意在本项目招标文件中规定的开标日起</w:t>
      </w:r>
      <w:r>
        <w:rPr>
          <w:rFonts w:hint="eastAsia" w:ascii="宋体" w:hAnsi="宋体" w:eastAsia="宋体" w:cs="宋体"/>
          <w:color w:val="auto"/>
          <w:sz w:val="24"/>
          <w:szCs w:val="24"/>
          <w:u w:val="single"/>
        </w:rPr>
        <w:t>90</w:t>
      </w:r>
      <w:r>
        <w:rPr>
          <w:rFonts w:hint="eastAsia" w:ascii="宋体" w:hAnsi="宋体" w:eastAsia="宋体" w:cs="宋体"/>
          <w:color w:val="auto"/>
          <w:sz w:val="24"/>
          <w:szCs w:val="24"/>
        </w:rPr>
        <w:t>天内遵守本投标文件中的承诺且在此期限期满之前均具有约束力。</w:t>
      </w:r>
    </w:p>
    <w:p>
      <w:pPr>
        <w:pStyle w:val="41"/>
        <w:adjustRightInd w:val="0"/>
        <w:snapToGrid w:val="0"/>
        <w:spacing w:before="0" w:after="0" w:line="400" w:lineRule="exact"/>
        <w:ind w:firstLine="480"/>
        <w:jc w:val="both"/>
        <w:rPr>
          <w:rFonts w:ascii="宋体" w:hAnsi="宋体" w:eastAsia="宋体" w:cs="宋体"/>
          <w:color w:val="auto"/>
          <w:sz w:val="24"/>
          <w:szCs w:val="24"/>
        </w:rPr>
      </w:pPr>
      <w:r>
        <w:rPr>
          <w:rFonts w:hint="eastAsia" w:ascii="宋体" w:hAnsi="宋体" w:eastAsia="宋体" w:cs="宋体"/>
          <w:color w:val="auto"/>
          <w:sz w:val="24"/>
          <w:szCs w:val="24"/>
        </w:rPr>
        <w:t>2.已经具备政府采购法律法规和招标文件中规定的参加政府采购活动的供应商应当具备的条件。</w:t>
      </w:r>
    </w:p>
    <w:p>
      <w:pPr>
        <w:pStyle w:val="41"/>
        <w:adjustRightInd w:val="0"/>
        <w:snapToGrid w:val="0"/>
        <w:spacing w:before="0" w:after="0" w:line="400" w:lineRule="exact"/>
        <w:ind w:firstLineChars="0"/>
        <w:jc w:val="both"/>
        <w:rPr>
          <w:rFonts w:ascii="宋体" w:hAnsi="宋体" w:eastAsia="宋体" w:cs="宋体"/>
          <w:color w:val="auto"/>
          <w:sz w:val="24"/>
          <w:szCs w:val="24"/>
        </w:rPr>
      </w:pPr>
      <w:r>
        <w:rPr>
          <w:rFonts w:hint="eastAsia" w:ascii="宋体" w:hAnsi="宋体" w:eastAsia="宋体" w:cs="宋体"/>
          <w:color w:val="auto"/>
          <w:sz w:val="24"/>
          <w:szCs w:val="24"/>
        </w:rPr>
        <w:t>3.提供招标文件规定的全部投标文件，包括投标文件正本1份、副本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份、开标一览表和电子文档1份等。</w:t>
      </w:r>
    </w:p>
    <w:p>
      <w:pPr>
        <w:pStyle w:val="41"/>
        <w:adjustRightInd w:val="0"/>
        <w:snapToGrid w:val="0"/>
        <w:spacing w:before="0" w:after="0" w:line="400" w:lineRule="exact"/>
        <w:ind w:firstLineChars="175"/>
        <w:jc w:val="both"/>
        <w:rPr>
          <w:rFonts w:ascii="宋体" w:hAnsi="宋体" w:eastAsia="宋体" w:cs="宋体"/>
          <w:color w:val="auto"/>
          <w:sz w:val="24"/>
          <w:szCs w:val="24"/>
        </w:rPr>
      </w:pPr>
      <w:r>
        <w:rPr>
          <w:rFonts w:hint="eastAsia" w:ascii="宋体" w:hAnsi="宋体" w:eastAsia="宋体" w:cs="宋体"/>
          <w:color w:val="auto"/>
          <w:sz w:val="24"/>
          <w:szCs w:val="24"/>
        </w:rPr>
        <w:t>4.提供单独密封的开标一览表1份。</w:t>
      </w:r>
    </w:p>
    <w:p>
      <w:pPr>
        <w:pStyle w:val="41"/>
        <w:adjustRightInd w:val="0"/>
        <w:snapToGrid w:val="0"/>
        <w:spacing w:before="0" w:after="0" w:line="400" w:lineRule="exact"/>
        <w:ind w:firstLineChars="0"/>
        <w:jc w:val="both"/>
        <w:rPr>
          <w:rFonts w:ascii="宋体" w:hAnsi="宋体" w:eastAsia="宋体" w:cs="宋体"/>
          <w:color w:val="auto"/>
          <w:sz w:val="24"/>
          <w:szCs w:val="24"/>
        </w:rPr>
      </w:pPr>
      <w:r>
        <w:rPr>
          <w:rFonts w:hint="eastAsia" w:ascii="宋体" w:hAnsi="宋体" w:eastAsia="宋体" w:cs="宋体"/>
          <w:color w:val="auto"/>
          <w:sz w:val="24"/>
          <w:szCs w:val="24"/>
        </w:rPr>
        <w:t>5.保证遵守招标文件中的有关规定和收费标准（投标保证金采用</w:t>
      </w:r>
      <w:r>
        <w:rPr>
          <w:rFonts w:hint="eastAsia" w:ascii="宋体" w:hAnsi="宋体" w:eastAsia="宋体" w:cs="宋体"/>
          <w:color w:val="auto"/>
          <w:sz w:val="24"/>
          <w:szCs w:val="24"/>
          <w:u w:val="single"/>
        </w:rPr>
        <w:t>支票/汇</w:t>
      </w:r>
      <w:r>
        <w:rPr>
          <w:rFonts w:hint="eastAsia" w:ascii="宋体" w:hAnsi="宋体" w:eastAsia="宋体" w:cs="宋体"/>
          <w:color w:val="auto"/>
          <w:sz w:val="24"/>
          <w:szCs w:val="24"/>
          <w:u w:val="single"/>
          <w:lang w:val="en-US"/>
        </w:rPr>
        <w:t>款/</w:t>
      </w:r>
      <w:r>
        <w:rPr>
          <w:rFonts w:hint="eastAsia" w:ascii="宋体" w:hAnsi="宋体" w:eastAsia="宋体" w:cs="宋体"/>
          <w:color w:val="auto"/>
          <w:sz w:val="24"/>
          <w:szCs w:val="24"/>
          <w:u w:val="single"/>
        </w:rPr>
        <w:t>投标保证金担保函）</w:t>
      </w:r>
      <w:r>
        <w:rPr>
          <w:rFonts w:hint="eastAsia" w:ascii="宋体" w:hAnsi="宋体" w:eastAsia="宋体" w:cs="宋体"/>
          <w:color w:val="auto"/>
          <w:sz w:val="24"/>
          <w:szCs w:val="24"/>
        </w:rPr>
        <w:t>形式）。</w:t>
      </w:r>
    </w:p>
    <w:p>
      <w:pPr>
        <w:pStyle w:val="41"/>
        <w:adjustRightInd w:val="0"/>
        <w:snapToGrid w:val="0"/>
        <w:spacing w:before="0" w:after="0" w:line="400" w:lineRule="exact"/>
        <w:ind w:left="420" w:firstLine="0" w:firstLineChars="0"/>
        <w:jc w:val="both"/>
        <w:rPr>
          <w:rFonts w:ascii="宋体" w:hAnsi="宋体" w:eastAsia="宋体" w:cs="宋体"/>
          <w:color w:val="auto"/>
          <w:sz w:val="24"/>
          <w:szCs w:val="24"/>
        </w:rPr>
      </w:pPr>
      <w:r>
        <w:rPr>
          <w:rFonts w:hint="eastAsia" w:ascii="宋体" w:hAnsi="宋体" w:eastAsia="宋体" w:cs="宋体"/>
          <w:color w:val="auto"/>
          <w:sz w:val="24"/>
          <w:szCs w:val="24"/>
        </w:rPr>
        <w:t>6.保证忠实地执行双方所签订的合同，并承担合同规定的责任和义务。</w:t>
      </w:r>
    </w:p>
    <w:p>
      <w:pPr>
        <w:pStyle w:val="41"/>
        <w:adjustRightInd w:val="0"/>
        <w:snapToGrid w:val="0"/>
        <w:spacing w:before="0" w:after="0" w:line="400" w:lineRule="exact"/>
        <w:ind w:firstLineChars="0"/>
        <w:jc w:val="both"/>
        <w:rPr>
          <w:rFonts w:ascii="宋体" w:hAnsi="宋体" w:eastAsia="宋体" w:cs="宋体"/>
          <w:color w:val="auto"/>
          <w:sz w:val="24"/>
          <w:szCs w:val="24"/>
        </w:rPr>
      </w:pPr>
      <w:r>
        <w:rPr>
          <w:rFonts w:hint="eastAsia" w:ascii="宋体" w:hAnsi="宋体" w:eastAsia="宋体" w:cs="宋体"/>
          <w:color w:val="auto"/>
          <w:sz w:val="24"/>
          <w:szCs w:val="24"/>
        </w:rPr>
        <w:t>7.完全理解招标文件中的各项商务和技术要求，若有偏差，已在投标文件商务条款偏离表中予以明确特别说明。</w:t>
      </w:r>
    </w:p>
    <w:p>
      <w:pPr>
        <w:pStyle w:val="41"/>
        <w:adjustRightInd w:val="0"/>
        <w:snapToGrid w:val="0"/>
        <w:spacing w:before="0" w:after="0" w:line="400" w:lineRule="exact"/>
        <w:ind w:left="420" w:firstLine="0" w:firstLineChars="0"/>
        <w:jc w:val="both"/>
        <w:rPr>
          <w:rFonts w:ascii="宋体" w:hAnsi="宋体" w:eastAsia="宋体" w:cs="宋体"/>
          <w:color w:val="auto"/>
          <w:sz w:val="24"/>
          <w:szCs w:val="24"/>
        </w:rPr>
      </w:pPr>
      <w:r>
        <w:rPr>
          <w:rFonts w:hint="eastAsia" w:ascii="宋体" w:hAnsi="宋体" w:eastAsia="宋体" w:cs="宋体"/>
          <w:color w:val="auto"/>
          <w:sz w:val="24"/>
          <w:szCs w:val="24"/>
        </w:rPr>
        <w:t>8.完全理解贵方不一定接受最低价的投标或收到的任何投标。</w:t>
      </w:r>
    </w:p>
    <w:p>
      <w:pPr>
        <w:pStyle w:val="41"/>
        <w:adjustRightInd w:val="0"/>
        <w:snapToGrid w:val="0"/>
        <w:spacing w:before="0" w:after="0" w:line="400" w:lineRule="exact"/>
        <w:ind w:firstLineChars="0"/>
        <w:jc w:val="both"/>
        <w:rPr>
          <w:rFonts w:ascii="宋体" w:hAnsi="宋体" w:eastAsia="宋体" w:cs="宋体"/>
          <w:color w:val="auto"/>
          <w:sz w:val="24"/>
          <w:szCs w:val="24"/>
        </w:rPr>
      </w:pPr>
      <w:r>
        <w:rPr>
          <w:rFonts w:hint="eastAsia" w:ascii="宋体" w:hAnsi="宋体" w:eastAsia="宋体" w:cs="宋体"/>
          <w:color w:val="auto"/>
          <w:sz w:val="24"/>
          <w:szCs w:val="24"/>
        </w:rPr>
        <w:t>9.愿意向贵方提供任何与本项投标有关的数据、情况和技术资料。若贵方需要，我方愿意提供我方作出的一切承诺的证明材料。</w:t>
      </w:r>
    </w:p>
    <w:p>
      <w:pPr>
        <w:pStyle w:val="41"/>
        <w:adjustRightInd w:val="0"/>
        <w:snapToGrid w:val="0"/>
        <w:spacing w:before="0" w:after="0" w:line="400" w:lineRule="exact"/>
        <w:ind w:firstLineChars="0"/>
        <w:jc w:val="both"/>
        <w:rPr>
          <w:rFonts w:ascii="宋体" w:hAnsi="宋体" w:eastAsia="宋体" w:cs="宋体"/>
          <w:color w:val="auto"/>
          <w:sz w:val="24"/>
          <w:szCs w:val="24"/>
        </w:rPr>
      </w:pPr>
      <w:r>
        <w:rPr>
          <w:rFonts w:hint="eastAsia" w:ascii="宋体" w:hAnsi="宋体" w:eastAsia="宋体" w:cs="宋体"/>
          <w:color w:val="auto"/>
          <w:sz w:val="24"/>
          <w:szCs w:val="24"/>
        </w:rPr>
        <w:t>10.我方已详细审核全部投标文件，包括投标文件修改书（如有的话）、参考资料及有关附件，确认无误。</w:t>
      </w:r>
    </w:p>
    <w:p>
      <w:pPr>
        <w:pStyle w:val="41"/>
        <w:adjustRightInd w:val="0"/>
        <w:snapToGrid w:val="0"/>
        <w:spacing w:before="0" w:after="0" w:line="400" w:lineRule="exact"/>
        <w:ind w:firstLineChars="0"/>
        <w:jc w:val="both"/>
        <w:rPr>
          <w:rFonts w:ascii="宋体" w:hAnsi="宋体" w:eastAsia="宋体" w:cs="宋体"/>
          <w:color w:val="auto"/>
          <w:sz w:val="24"/>
          <w:szCs w:val="24"/>
        </w:rPr>
      </w:pPr>
      <w:r>
        <w:rPr>
          <w:rFonts w:hint="eastAsia" w:ascii="宋体" w:hAnsi="宋体" w:eastAsia="宋体" w:cs="宋体"/>
          <w:color w:val="auto"/>
          <w:sz w:val="24"/>
          <w:szCs w:val="24"/>
        </w:rPr>
        <w:t>11.采购人若需追加采购本项目招标文件所列相关服务的，在不改变合同其他实质性条款的前提下，按相同折扣率保证供货。</w:t>
      </w:r>
    </w:p>
    <w:p>
      <w:pPr>
        <w:pStyle w:val="41"/>
        <w:adjustRightInd w:val="0"/>
        <w:snapToGrid w:val="0"/>
        <w:spacing w:before="0" w:after="0" w:line="400" w:lineRule="exact"/>
        <w:ind w:left="420" w:firstLine="0" w:firstLineChars="0"/>
        <w:jc w:val="both"/>
        <w:rPr>
          <w:rFonts w:ascii="宋体" w:hAnsi="宋体" w:eastAsia="宋体" w:cs="宋体"/>
          <w:color w:val="auto"/>
          <w:sz w:val="24"/>
          <w:szCs w:val="24"/>
        </w:rPr>
      </w:pPr>
      <w:r>
        <w:rPr>
          <w:rFonts w:hint="eastAsia" w:ascii="宋体" w:hAnsi="宋体" w:eastAsia="宋体" w:cs="宋体"/>
          <w:color w:val="auto"/>
          <w:sz w:val="24"/>
          <w:szCs w:val="24"/>
        </w:rPr>
        <w:t>12.接受招标文件中合同的全部条款且无任何异议。</w:t>
      </w:r>
    </w:p>
    <w:p>
      <w:pPr>
        <w:snapToGrid w:val="0"/>
        <w:spacing w:line="400" w:lineRule="exact"/>
        <w:ind w:firstLine="480" w:firstLineChars="200"/>
        <w:rPr>
          <w:rFonts w:ascii="宋体" w:hAnsi="宋体" w:cs="宋体"/>
        </w:rPr>
      </w:pPr>
    </w:p>
    <w:p>
      <w:pPr>
        <w:snapToGrid w:val="0"/>
        <w:spacing w:line="400" w:lineRule="exact"/>
        <w:ind w:firstLine="480" w:firstLineChars="200"/>
        <w:rPr>
          <w:rFonts w:ascii="宋体" w:hAnsi="宋体" w:cs="宋体"/>
        </w:rPr>
      </w:pPr>
      <w:r>
        <w:rPr>
          <w:rFonts w:hint="eastAsia" w:ascii="宋体" w:hAnsi="宋体" w:cs="宋体"/>
        </w:rPr>
        <w:t>如果我方违反上述承诺，或承诺内容不属实，我方愿意承担一切不利的法律后果。</w:t>
      </w:r>
    </w:p>
    <w:p>
      <w:pPr>
        <w:snapToGrid w:val="0"/>
        <w:spacing w:line="400" w:lineRule="exact"/>
        <w:rPr>
          <w:rFonts w:ascii="宋体" w:hAnsi="宋体" w:cs="宋体"/>
        </w:rPr>
      </w:pPr>
    </w:p>
    <w:p>
      <w:pPr>
        <w:snapToGrid w:val="0"/>
        <w:spacing w:line="400" w:lineRule="exact"/>
        <w:ind w:firstLine="480" w:firstLineChars="200"/>
        <w:rPr>
          <w:rFonts w:ascii="宋体" w:hAnsi="宋体" w:cs="宋体"/>
        </w:rPr>
      </w:pPr>
      <w:r>
        <w:rPr>
          <w:rFonts w:hint="eastAsia" w:ascii="宋体" w:hAnsi="宋体" w:cs="宋体"/>
        </w:rPr>
        <w:t>与本投标有关的一切往来通讯请寄：</w:t>
      </w:r>
    </w:p>
    <w:p>
      <w:pPr>
        <w:snapToGrid w:val="0"/>
        <w:spacing w:line="400" w:lineRule="exact"/>
        <w:ind w:firstLine="480" w:firstLineChars="200"/>
        <w:rPr>
          <w:rFonts w:ascii="宋体" w:hAnsi="宋体" w:cs="宋体"/>
        </w:rPr>
      </w:pPr>
      <w:r>
        <w:rPr>
          <w:rFonts w:hint="eastAsia" w:ascii="宋体" w:hAnsi="宋体" w:cs="宋体"/>
        </w:rPr>
        <w:t>地址：</w:t>
      </w:r>
    </w:p>
    <w:p>
      <w:pPr>
        <w:snapToGrid w:val="0"/>
        <w:spacing w:line="400" w:lineRule="exact"/>
        <w:ind w:firstLine="480" w:firstLineChars="200"/>
        <w:rPr>
          <w:rFonts w:ascii="宋体" w:hAnsi="宋体" w:cs="宋体"/>
        </w:rPr>
      </w:pPr>
      <w:r>
        <w:rPr>
          <w:rFonts w:hint="eastAsia" w:ascii="宋体" w:hAnsi="宋体" w:cs="宋体"/>
        </w:rPr>
        <w:t>邮编：</w:t>
      </w:r>
    </w:p>
    <w:p>
      <w:pPr>
        <w:snapToGrid w:val="0"/>
        <w:spacing w:line="400" w:lineRule="exact"/>
        <w:ind w:firstLine="480" w:firstLineChars="200"/>
        <w:rPr>
          <w:rFonts w:ascii="宋体" w:hAnsi="宋体" w:cs="宋体"/>
        </w:rPr>
      </w:pPr>
      <w:r>
        <w:rPr>
          <w:rFonts w:hint="eastAsia" w:ascii="宋体" w:hAnsi="宋体" w:cs="宋体"/>
        </w:rPr>
        <w:t>电话：</w:t>
      </w:r>
    </w:p>
    <w:p>
      <w:pPr>
        <w:snapToGrid w:val="0"/>
        <w:spacing w:line="400" w:lineRule="exact"/>
        <w:ind w:firstLine="480" w:firstLineChars="200"/>
        <w:rPr>
          <w:rFonts w:ascii="宋体" w:hAnsi="宋体" w:cs="宋体"/>
        </w:rPr>
      </w:pPr>
      <w:r>
        <w:rPr>
          <w:rFonts w:hint="eastAsia" w:ascii="宋体" w:hAnsi="宋体" w:cs="宋体"/>
        </w:rPr>
        <w:t>传真：</w:t>
      </w:r>
    </w:p>
    <w:p>
      <w:pPr>
        <w:snapToGrid w:val="0"/>
        <w:spacing w:line="400" w:lineRule="exact"/>
        <w:ind w:firstLine="480" w:firstLineChars="200"/>
        <w:rPr>
          <w:rFonts w:ascii="宋体" w:hAnsi="宋体" w:cs="宋体"/>
        </w:rPr>
      </w:pPr>
      <w:r>
        <w:rPr>
          <w:rFonts w:hint="eastAsia" w:ascii="宋体" w:hAnsi="宋体" w:cs="宋体"/>
        </w:rPr>
        <w:t>电子信箱：</w:t>
      </w:r>
    </w:p>
    <w:p>
      <w:pPr>
        <w:snapToGrid w:val="0"/>
        <w:spacing w:line="400" w:lineRule="exact"/>
        <w:ind w:firstLine="480" w:firstLineChars="200"/>
        <w:rPr>
          <w:rFonts w:ascii="宋体" w:hAnsi="宋体" w:cs="宋体"/>
        </w:rPr>
      </w:pPr>
      <w:r>
        <w:rPr>
          <w:rFonts w:hint="eastAsia" w:ascii="宋体" w:hAnsi="宋体" w:cs="宋体"/>
        </w:rPr>
        <w:t>法定代表人或授权代表签字：</w:t>
      </w:r>
    </w:p>
    <w:p>
      <w:pPr>
        <w:snapToGrid w:val="0"/>
        <w:spacing w:line="400" w:lineRule="exact"/>
        <w:ind w:firstLine="480" w:firstLineChars="200"/>
        <w:rPr>
          <w:rFonts w:ascii="宋体" w:hAnsi="宋体" w:cs="宋体"/>
        </w:rPr>
      </w:pPr>
      <w:r>
        <w:rPr>
          <w:rFonts w:hint="eastAsia" w:ascii="宋体" w:hAnsi="宋体" w:cs="宋体"/>
        </w:rPr>
        <w:t>投标人名称：</w:t>
      </w:r>
    </w:p>
    <w:p>
      <w:pPr>
        <w:snapToGrid w:val="0"/>
        <w:spacing w:line="400" w:lineRule="exact"/>
        <w:ind w:firstLine="480" w:firstLineChars="200"/>
        <w:rPr>
          <w:rFonts w:ascii="宋体" w:hAnsi="宋体" w:cs="宋体"/>
        </w:rPr>
      </w:pPr>
      <w:r>
        <w:rPr>
          <w:rFonts w:hint="eastAsia" w:ascii="宋体" w:hAnsi="宋体" w:cs="宋体"/>
        </w:rPr>
        <w:t>公章：</w:t>
      </w:r>
      <w:r>
        <w:rPr>
          <w:rFonts w:hint="eastAsia" w:ascii="宋体" w:hAnsi="宋体" w:cs="宋体"/>
        </w:rPr>
        <w:tab/>
      </w:r>
    </w:p>
    <w:p>
      <w:pPr>
        <w:snapToGrid w:val="0"/>
        <w:spacing w:line="400" w:lineRule="exact"/>
        <w:rPr>
          <w:rFonts w:ascii="宋体" w:hAnsi="宋体" w:cs="宋体"/>
        </w:rPr>
      </w:pPr>
    </w:p>
    <w:p>
      <w:pPr>
        <w:snapToGrid w:val="0"/>
        <w:spacing w:line="400" w:lineRule="exact"/>
        <w:ind w:right="420" w:firstLine="4080" w:firstLineChars="1700"/>
        <w:rPr>
          <w:rFonts w:ascii="宋体" w:hAnsi="宋体" w:cs="宋体"/>
        </w:rPr>
      </w:pPr>
      <w:r>
        <w:rPr>
          <w:rFonts w:hint="eastAsia" w:ascii="宋体" w:hAnsi="宋体" w:cs="宋体"/>
        </w:rPr>
        <w:t>日期：</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w:t>
      </w:r>
    </w:p>
    <w:p>
      <w:pPr>
        <w:widowControl/>
        <w:snapToGrid w:val="0"/>
        <w:spacing w:line="400" w:lineRule="exact"/>
        <w:textAlignment w:val="auto"/>
        <w:rPr>
          <w:rFonts w:ascii="宋体" w:hAnsi="宋体" w:cs="宋体"/>
        </w:rPr>
      </w:pPr>
    </w:p>
    <w:p>
      <w:pPr>
        <w:pStyle w:val="63"/>
        <w:adjustRightInd w:val="0"/>
        <w:snapToGrid w:val="0"/>
        <w:spacing w:line="400" w:lineRule="exact"/>
        <w:jc w:val="left"/>
        <w:rPr>
          <w:rFonts w:hAnsi="宋体" w:cs="宋体"/>
        </w:rPr>
      </w:pPr>
      <w:r>
        <w:rPr>
          <w:rFonts w:hint="eastAsia" w:hAnsi="宋体" w:cs="宋体"/>
          <w:b w:val="0"/>
          <w:bCs/>
        </w:rPr>
        <w:br w:type="page"/>
      </w:r>
      <w:bookmarkStart w:id="94" w:name="_Toc95326683"/>
      <w:bookmarkStart w:id="95" w:name="_Toc13699"/>
      <w:bookmarkStart w:id="96" w:name="_Toc15817"/>
      <w:bookmarkStart w:id="97" w:name="_Toc13663"/>
      <w:bookmarkStart w:id="98" w:name="_Toc157"/>
      <w:bookmarkStart w:id="99" w:name="_Toc9953"/>
      <w:bookmarkStart w:id="100" w:name="_Toc86156779"/>
      <w:bookmarkStart w:id="101" w:name="_Toc477185304"/>
      <w:bookmarkStart w:id="102" w:name="_Toc2471"/>
      <w:bookmarkStart w:id="103" w:name="_Toc1542"/>
      <w:bookmarkStart w:id="104" w:name="_Toc9485"/>
      <w:r>
        <w:rPr>
          <w:rFonts w:hint="eastAsia" w:hAnsi="宋体" w:cs="宋体"/>
          <w:b w:val="0"/>
          <w:bCs/>
        </w:rPr>
        <w:t>★</w:t>
      </w:r>
      <w:r>
        <w:rPr>
          <w:rFonts w:hint="eastAsia" w:hAnsi="宋体" w:cs="宋体"/>
        </w:rPr>
        <w:t>附件2：</w:t>
      </w:r>
      <w:bookmarkEnd w:id="94"/>
      <w:bookmarkEnd w:id="95"/>
      <w:bookmarkEnd w:id="96"/>
      <w:bookmarkEnd w:id="97"/>
      <w:bookmarkEnd w:id="98"/>
      <w:bookmarkEnd w:id="99"/>
      <w:bookmarkEnd w:id="100"/>
      <w:bookmarkEnd w:id="101"/>
      <w:bookmarkEnd w:id="102"/>
      <w:bookmarkEnd w:id="103"/>
      <w:bookmarkEnd w:id="104"/>
    </w:p>
    <w:p>
      <w:pPr>
        <w:snapToGrid w:val="0"/>
        <w:spacing w:line="400" w:lineRule="exact"/>
        <w:jc w:val="center"/>
        <w:rPr>
          <w:rFonts w:ascii="宋体" w:hAnsi="宋体" w:cs="宋体"/>
          <w:caps/>
          <w:sz w:val="32"/>
          <w:szCs w:val="32"/>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开标一览表</w:t>
      </w:r>
    </w:p>
    <w:p>
      <w:pPr>
        <w:tabs>
          <w:tab w:val="left" w:pos="1800"/>
          <w:tab w:val="left" w:pos="5580"/>
        </w:tabs>
        <w:snapToGrid w:val="0"/>
        <w:spacing w:line="400" w:lineRule="exact"/>
        <w:rPr>
          <w:rFonts w:ascii="宋体" w:hAnsi="宋体" w:cs="宋体"/>
        </w:rPr>
      </w:pPr>
    </w:p>
    <w:p>
      <w:pPr>
        <w:tabs>
          <w:tab w:val="left" w:pos="1800"/>
          <w:tab w:val="left" w:pos="5580"/>
        </w:tabs>
        <w:snapToGrid w:val="0"/>
        <w:spacing w:line="400" w:lineRule="exact"/>
        <w:rPr>
          <w:rFonts w:ascii="宋体" w:hAnsi="宋体" w:cs="宋体"/>
          <w:u w:val="single"/>
        </w:rPr>
      </w:pPr>
      <w:r>
        <w:rPr>
          <w:rFonts w:hint="eastAsia" w:ascii="宋体" w:hAnsi="宋体" w:cs="宋体"/>
        </w:rPr>
        <w:t>投标人名称：</w:t>
      </w:r>
    </w:p>
    <w:p>
      <w:pPr>
        <w:tabs>
          <w:tab w:val="left" w:pos="1800"/>
          <w:tab w:val="left" w:pos="5580"/>
        </w:tabs>
        <w:snapToGrid w:val="0"/>
        <w:spacing w:line="400" w:lineRule="exact"/>
        <w:rPr>
          <w:rFonts w:hint="eastAsia" w:ascii="宋体" w:hAnsi="宋体" w:eastAsia="宋体" w:cs="宋体"/>
          <w:u w:val="single"/>
          <w:lang w:eastAsia="zh-CN"/>
        </w:rPr>
      </w:pPr>
      <w:r>
        <w:rPr>
          <w:rFonts w:hint="eastAsia" w:ascii="宋体" w:hAnsi="宋体" w:cs="宋体"/>
        </w:rPr>
        <w:t>项目编号：</w:t>
      </w:r>
      <w:r>
        <w:rPr>
          <w:rFonts w:hint="eastAsia" w:ascii="宋体" w:hAnsi="宋体" w:cs="宋体"/>
          <w:lang w:eastAsia="zh-CN"/>
        </w:rPr>
        <w:t>清设招第2022849号（0873-2201HW3L0895）</w:t>
      </w:r>
    </w:p>
    <w:p>
      <w:pPr>
        <w:tabs>
          <w:tab w:val="left" w:pos="1800"/>
          <w:tab w:val="left" w:pos="5580"/>
        </w:tabs>
        <w:snapToGrid w:val="0"/>
        <w:spacing w:line="400" w:lineRule="exact"/>
        <w:rPr>
          <w:rFonts w:hint="eastAsia" w:ascii="宋体" w:hAnsi="宋体" w:eastAsia="宋体" w:cs="宋体"/>
          <w:lang w:eastAsia="zh-CN"/>
        </w:rPr>
      </w:pPr>
      <w:r>
        <w:rPr>
          <w:rFonts w:hint="eastAsia" w:ascii="宋体" w:hAnsi="宋体" w:cs="宋体"/>
        </w:rPr>
        <w:t>项目名称：</w:t>
      </w:r>
      <w:r>
        <w:rPr>
          <w:rFonts w:hint="eastAsia" w:ascii="宋体" w:hAnsi="宋体" w:cs="宋体"/>
          <w:lang w:eastAsia="zh-CN"/>
        </w:rPr>
        <w:t>清华大学形态学虚拟仿真教学系统采购项目</w:t>
      </w:r>
    </w:p>
    <w:p>
      <w:pPr>
        <w:tabs>
          <w:tab w:val="left" w:pos="1800"/>
          <w:tab w:val="left" w:pos="5580"/>
        </w:tabs>
        <w:snapToGrid w:val="0"/>
        <w:spacing w:line="400" w:lineRule="exact"/>
        <w:ind w:right="-758" w:rightChars="-316"/>
        <w:jc w:val="right"/>
        <w:rPr>
          <w:rFonts w:ascii="宋体" w:hAnsi="宋体" w:cs="宋体"/>
        </w:rPr>
      </w:pPr>
      <w:r>
        <w:rPr>
          <w:rFonts w:hint="eastAsia" w:ascii="宋体" w:hAnsi="宋体" w:cs="宋体"/>
        </w:rPr>
        <w:t>价格单位：人民币元</w:t>
      </w:r>
    </w:p>
    <w:tbl>
      <w:tblPr>
        <w:tblStyle w:val="26"/>
        <w:tblW w:w="90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1"/>
        <w:gridCol w:w="3184"/>
        <w:gridCol w:w="4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32" w:hRule="atLeast"/>
        </w:trPr>
        <w:tc>
          <w:tcPr>
            <w:tcW w:w="1511" w:type="dxa"/>
            <w:vAlign w:val="center"/>
          </w:tcPr>
          <w:p>
            <w:pPr>
              <w:snapToGrid w:val="0"/>
              <w:spacing w:before="60" w:after="60" w:line="400" w:lineRule="exact"/>
              <w:jc w:val="center"/>
              <w:rPr>
                <w:rFonts w:ascii="宋体" w:hAnsi="宋体" w:cs="宋体"/>
                <w:b/>
                <w:sz w:val="21"/>
                <w:szCs w:val="21"/>
              </w:rPr>
            </w:pPr>
            <w:r>
              <w:rPr>
                <w:rFonts w:hint="eastAsia" w:ascii="宋体" w:hAnsi="宋体" w:cs="宋体"/>
                <w:b/>
                <w:sz w:val="21"/>
                <w:szCs w:val="21"/>
              </w:rPr>
              <w:t>包号</w:t>
            </w:r>
          </w:p>
        </w:tc>
        <w:tc>
          <w:tcPr>
            <w:tcW w:w="3184" w:type="dxa"/>
            <w:vAlign w:val="center"/>
          </w:tcPr>
          <w:p>
            <w:pPr>
              <w:snapToGrid w:val="0"/>
              <w:spacing w:before="60" w:after="60" w:line="400" w:lineRule="exact"/>
              <w:jc w:val="center"/>
              <w:rPr>
                <w:rFonts w:ascii="宋体" w:hAnsi="宋体" w:cs="宋体"/>
                <w:b/>
                <w:sz w:val="21"/>
                <w:szCs w:val="21"/>
              </w:rPr>
            </w:pPr>
            <w:r>
              <w:rPr>
                <w:rFonts w:hint="eastAsia" w:ascii="宋体" w:hAnsi="宋体" w:cs="宋体"/>
                <w:b/>
                <w:sz w:val="21"/>
                <w:szCs w:val="21"/>
              </w:rPr>
              <w:t>名称</w:t>
            </w:r>
          </w:p>
        </w:tc>
        <w:tc>
          <w:tcPr>
            <w:tcW w:w="4376" w:type="dxa"/>
            <w:vAlign w:val="center"/>
          </w:tcPr>
          <w:p>
            <w:pPr>
              <w:snapToGrid w:val="0"/>
              <w:spacing w:before="120" w:after="120" w:line="400" w:lineRule="exact"/>
              <w:jc w:val="center"/>
              <w:rPr>
                <w:rFonts w:ascii="宋体" w:hAnsi="宋体" w:cs="宋体"/>
                <w:b/>
                <w:sz w:val="21"/>
                <w:szCs w:val="21"/>
              </w:rPr>
            </w:pPr>
            <w:r>
              <w:rPr>
                <w:rFonts w:hint="eastAsia" w:ascii="宋体" w:hAnsi="宋体" w:cs="宋体"/>
                <w:b/>
                <w:sz w:val="21"/>
                <w:szCs w:val="21"/>
              </w:rPr>
              <w:t>投标总价</w:t>
            </w:r>
          </w:p>
          <w:p>
            <w:pPr>
              <w:snapToGrid w:val="0"/>
              <w:spacing w:before="120" w:after="120" w:line="400" w:lineRule="exact"/>
              <w:jc w:val="center"/>
              <w:rPr>
                <w:rFonts w:ascii="宋体" w:hAnsi="宋体" w:cs="宋体"/>
                <w:b/>
                <w:sz w:val="21"/>
                <w:szCs w:val="21"/>
              </w:rPr>
            </w:pPr>
            <w:r>
              <w:rPr>
                <w:rFonts w:hint="eastAsia" w:ascii="宋体" w:hAnsi="宋体" w:cs="宋体"/>
                <w:b/>
                <w:sz w:val="21"/>
                <w:szCs w:val="21"/>
              </w:rPr>
              <w:t>（货到项目现场价）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1511" w:type="dxa"/>
            <w:vAlign w:val="center"/>
          </w:tcPr>
          <w:p>
            <w:pPr>
              <w:snapToGrid w:val="0"/>
              <w:spacing w:before="120" w:after="120" w:line="400" w:lineRule="exact"/>
              <w:jc w:val="center"/>
              <w:rPr>
                <w:rFonts w:ascii="宋体" w:hAnsi="宋体" w:cs="宋体"/>
              </w:rPr>
            </w:pPr>
          </w:p>
        </w:tc>
        <w:tc>
          <w:tcPr>
            <w:tcW w:w="3184" w:type="dxa"/>
            <w:vAlign w:val="center"/>
          </w:tcPr>
          <w:p>
            <w:pPr>
              <w:snapToGrid w:val="0"/>
              <w:spacing w:before="120" w:after="120" w:line="400" w:lineRule="exact"/>
              <w:rPr>
                <w:rFonts w:ascii="宋体" w:hAnsi="宋体" w:cs="宋体"/>
              </w:rPr>
            </w:pPr>
          </w:p>
        </w:tc>
        <w:tc>
          <w:tcPr>
            <w:tcW w:w="4376" w:type="dxa"/>
            <w:vAlign w:val="center"/>
          </w:tcPr>
          <w:p>
            <w:pPr>
              <w:snapToGrid w:val="0"/>
              <w:spacing w:before="120" w:after="120" w:line="400" w:lineRule="exact"/>
              <w:rPr>
                <w:rFonts w:ascii="宋体" w:hAnsi="宋体" w:cs="宋体"/>
              </w:rPr>
            </w:pPr>
          </w:p>
        </w:tc>
      </w:tr>
    </w:tbl>
    <w:p>
      <w:pPr>
        <w:tabs>
          <w:tab w:val="left" w:pos="5580"/>
        </w:tabs>
        <w:adjustRightInd/>
        <w:snapToGrid w:val="0"/>
        <w:spacing w:line="400" w:lineRule="exact"/>
        <w:jc w:val="both"/>
        <w:textAlignment w:val="auto"/>
        <w:rPr>
          <w:rFonts w:ascii="宋体" w:hAnsi="宋体" w:cs="宋体"/>
        </w:rPr>
      </w:pPr>
      <w:r>
        <w:rPr>
          <w:rFonts w:hint="eastAsia" w:ascii="宋体" w:hAnsi="宋体" w:cs="宋体"/>
        </w:rPr>
        <w:t>投标人企业注册资金为：</w:t>
      </w:r>
      <w:r>
        <w:rPr>
          <w:rFonts w:hint="eastAsia" w:ascii="宋体" w:hAnsi="宋体" w:cs="宋体"/>
          <w:u w:val="single"/>
        </w:rPr>
        <w:t xml:space="preserve">         </w:t>
      </w:r>
      <w:r>
        <w:rPr>
          <w:rFonts w:hint="eastAsia" w:ascii="宋体" w:hAnsi="宋体" w:cs="宋体"/>
        </w:rPr>
        <w:t>万元（人民币）</w:t>
      </w:r>
    </w:p>
    <w:p>
      <w:pPr>
        <w:pStyle w:val="15"/>
        <w:tabs>
          <w:tab w:val="left" w:pos="5580"/>
        </w:tabs>
        <w:adjustRightInd w:val="0"/>
        <w:snapToGrid w:val="0"/>
        <w:spacing w:line="400" w:lineRule="exact"/>
        <w:rPr>
          <w:rFonts w:hAnsi="宋体" w:cs="宋体"/>
          <w:b/>
          <w:bCs/>
        </w:rPr>
      </w:pPr>
      <w:r>
        <w:rPr>
          <w:rFonts w:hint="eastAsia" w:hAnsi="宋体" w:cs="宋体"/>
          <w:sz w:val="24"/>
          <w:szCs w:val="24"/>
        </w:rPr>
        <w:t>投标人企业类型：</w:t>
      </w:r>
      <w:r>
        <w:rPr>
          <w:rFonts w:hint="eastAsia" w:hAnsi="宋体" w:cs="宋体"/>
          <w:sz w:val="24"/>
          <w:szCs w:val="24"/>
          <w:u w:val="single"/>
        </w:rPr>
        <w:t xml:space="preserve">       </w:t>
      </w:r>
      <w:r>
        <w:rPr>
          <w:rFonts w:hint="eastAsia" w:hAnsi="宋体" w:cs="宋体"/>
          <w:sz w:val="24"/>
          <w:szCs w:val="24"/>
        </w:rPr>
        <w:t>型企业(请选择填写：大、中、小、微型；划分标准：工信部联企业〔2011〕300号文件）</w:t>
      </w:r>
    </w:p>
    <w:p>
      <w:pPr>
        <w:pStyle w:val="15"/>
        <w:tabs>
          <w:tab w:val="left" w:pos="5580"/>
        </w:tabs>
        <w:adjustRightInd w:val="0"/>
        <w:snapToGrid w:val="0"/>
        <w:spacing w:line="400" w:lineRule="exact"/>
        <w:rPr>
          <w:rFonts w:hAnsi="宋体" w:cs="宋体"/>
          <w:sz w:val="24"/>
          <w:szCs w:val="24"/>
          <w:u w:val="single"/>
        </w:rPr>
      </w:pPr>
    </w:p>
    <w:p>
      <w:pPr>
        <w:pStyle w:val="15"/>
        <w:tabs>
          <w:tab w:val="left" w:pos="5580"/>
        </w:tabs>
        <w:adjustRightInd w:val="0"/>
        <w:snapToGrid w:val="0"/>
        <w:spacing w:line="400" w:lineRule="exact"/>
        <w:rPr>
          <w:rFonts w:hAnsi="宋体" w:cs="宋体"/>
          <w:sz w:val="24"/>
          <w:szCs w:val="24"/>
          <w:u w:val="single"/>
        </w:rPr>
      </w:pPr>
    </w:p>
    <w:p>
      <w:pPr>
        <w:pStyle w:val="15"/>
        <w:tabs>
          <w:tab w:val="left" w:pos="5580"/>
        </w:tabs>
        <w:adjustRightInd w:val="0"/>
        <w:snapToGrid w:val="0"/>
        <w:spacing w:line="400" w:lineRule="exact"/>
        <w:rPr>
          <w:rFonts w:hAnsi="宋体" w:cs="宋体"/>
          <w:sz w:val="24"/>
          <w:szCs w:val="24"/>
        </w:rPr>
      </w:pPr>
      <w:r>
        <w:rPr>
          <w:rFonts w:hint="eastAsia" w:hAnsi="宋体" w:cs="宋体"/>
          <w:sz w:val="24"/>
          <w:szCs w:val="24"/>
        </w:rPr>
        <w:t>投标人（盖章）:</w:t>
      </w:r>
    </w:p>
    <w:p>
      <w:pPr>
        <w:pStyle w:val="15"/>
        <w:tabs>
          <w:tab w:val="left" w:pos="5580"/>
        </w:tabs>
        <w:adjustRightInd w:val="0"/>
        <w:snapToGrid w:val="0"/>
        <w:spacing w:line="400" w:lineRule="exact"/>
        <w:rPr>
          <w:rFonts w:hAnsi="宋体" w:cs="宋体"/>
          <w:sz w:val="24"/>
          <w:szCs w:val="24"/>
        </w:rPr>
      </w:pPr>
      <w:r>
        <w:rPr>
          <w:rFonts w:hint="eastAsia" w:hAnsi="宋体" w:cs="宋体"/>
          <w:sz w:val="24"/>
          <w:szCs w:val="24"/>
        </w:rPr>
        <w:t>法定代表人或投标人授权代表(签字或盖章):</w:t>
      </w:r>
      <w:r>
        <w:rPr>
          <w:rFonts w:hint="eastAsia" w:hAnsi="宋体" w:cs="宋体"/>
          <w:sz w:val="24"/>
          <w:szCs w:val="24"/>
          <w:u w:val="single"/>
        </w:rPr>
        <w:tab/>
      </w:r>
    </w:p>
    <w:p>
      <w:pPr>
        <w:pStyle w:val="15"/>
        <w:tabs>
          <w:tab w:val="left" w:pos="5580"/>
        </w:tabs>
        <w:adjustRightInd w:val="0"/>
        <w:snapToGrid w:val="0"/>
        <w:spacing w:line="400" w:lineRule="exact"/>
        <w:rPr>
          <w:rFonts w:hAnsi="宋体" w:cs="宋体"/>
          <w:sz w:val="24"/>
          <w:szCs w:val="24"/>
          <w:u w:val="single"/>
        </w:rPr>
      </w:pPr>
      <w:r>
        <w:rPr>
          <w:rFonts w:hint="eastAsia" w:hAnsi="宋体" w:cs="宋体"/>
          <w:sz w:val="24"/>
          <w:szCs w:val="24"/>
        </w:rPr>
        <w:t>日期：</w:t>
      </w:r>
    </w:p>
    <w:p>
      <w:pPr>
        <w:pStyle w:val="15"/>
        <w:tabs>
          <w:tab w:val="left" w:pos="5580"/>
        </w:tabs>
        <w:adjustRightInd w:val="0"/>
        <w:snapToGrid w:val="0"/>
        <w:spacing w:line="400" w:lineRule="exact"/>
        <w:ind w:firstLine="1440" w:firstLineChars="600"/>
        <w:rPr>
          <w:rFonts w:hAnsi="宋体" w:cs="宋体"/>
          <w:sz w:val="24"/>
          <w:szCs w:val="24"/>
        </w:rPr>
      </w:pPr>
    </w:p>
    <w:p>
      <w:pPr>
        <w:pStyle w:val="15"/>
        <w:tabs>
          <w:tab w:val="left" w:pos="5580"/>
        </w:tabs>
        <w:adjustRightInd w:val="0"/>
        <w:snapToGrid w:val="0"/>
        <w:spacing w:line="400" w:lineRule="exact"/>
        <w:rPr>
          <w:rFonts w:hAnsi="宋体" w:cs="宋体"/>
          <w:sz w:val="24"/>
          <w:szCs w:val="24"/>
        </w:rPr>
      </w:pPr>
      <w:r>
        <w:rPr>
          <w:rFonts w:hint="eastAsia" w:hAnsi="宋体" w:cs="宋体"/>
          <w:sz w:val="24"/>
          <w:szCs w:val="24"/>
        </w:rPr>
        <w:t>注: 此表需按投标人须知的规定密封标记并单独递交。</w:t>
      </w:r>
    </w:p>
    <w:p>
      <w:pPr>
        <w:widowControl/>
        <w:snapToGrid w:val="0"/>
        <w:spacing w:line="400" w:lineRule="exact"/>
        <w:textAlignment w:val="auto"/>
        <w:rPr>
          <w:rFonts w:ascii="宋体" w:hAnsi="宋体" w:cs="宋体"/>
        </w:rPr>
      </w:pPr>
    </w:p>
    <w:p>
      <w:pPr>
        <w:pStyle w:val="63"/>
        <w:adjustRightInd w:val="0"/>
        <w:snapToGrid w:val="0"/>
        <w:spacing w:line="400" w:lineRule="exact"/>
        <w:jc w:val="left"/>
        <w:rPr>
          <w:rFonts w:hAnsi="宋体" w:cs="宋体"/>
        </w:rPr>
        <w:sectPr>
          <w:headerReference r:id="rId9" w:type="default"/>
          <w:footerReference r:id="rId10" w:type="default"/>
          <w:pgSz w:w="11906" w:h="16838"/>
          <w:pgMar w:top="1440" w:right="1469" w:bottom="1104" w:left="1317" w:header="851" w:footer="992" w:gutter="0"/>
          <w:cols w:space="425" w:num="1"/>
          <w:docGrid w:linePitch="326" w:charSpace="0"/>
        </w:sectPr>
      </w:pPr>
      <w:r>
        <w:rPr>
          <w:rFonts w:hint="eastAsia" w:hAnsi="宋体" w:cs="宋体"/>
        </w:rPr>
        <w:br w:type="page"/>
      </w:r>
      <w:bookmarkStart w:id="105" w:name="_Toc86156780"/>
      <w:bookmarkStart w:id="106" w:name="_Toc477185305"/>
      <w:bookmarkStart w:id="107" w:name="_Toc8581"/>
      <w:bookmarkStart w:id="108" w:name="_Toc95326684"/>
      <w:bookmarkStart w:id="109" w:name="_Toc14750"/>
      <w:bookmarkStart w:id="110" w:name="_Toc31959"/>
      <w:bookmarkStart w:id="111" w:name="_Toc27221"/>
      <w:bookmarkStart w:id="112" w:name="_Toc9823"/>
      <w:bookmarkStart w:id="113" w:name="_Toc9686"/>
    </w:p>
    <w:p>
      <w:pPr>
        <w:pStyle w:val="63"/>
        <w:adjustRightInd w:val="0"/>
        <w:snapToGrid w:val="0"/>
        <w:spacing w:line="400" w:lineRule="exact"/>
        <w:jc w:val="left"/>
        <w:rPr>
          <w:rFonts w:hAnsi="宋体" w:cs="宋体"/>
        </w:rPr>
      </w:pPr>
      <w:bookmarkStart w:id="114" w:name="_Toc2052"/>
      <w:bookmarkStart w:id="115" w:name="_Toc24468"/>
      <w:r>
        <w:rPr>
          <w:rFonts w:hint="eastAsia" w:hAnsi="宋体" w:cs="宋体"/>
        </w:rPr>
        <w:t>★附件3：</w:t>
      </w:r>
      <w:bookmarkEnd w:id="105"/>
      <w:bookmarkEnd w:id="106"/>
      <w:bookmarkEnd w:id="107"/>
      <w:bookmarkEnd w:id="108"/>
      <w:bookmarkEnd w:id="109"/>
      <w:bookmarkEnd w:id="110"/>
      <w:bookmarkEnd w:id="111"/>
      <w:bookmarkEnd w:id="112"/>
      <w:bookmarkEnd w:id="113"/>
      <w:bookmarkEnd w:id="114"/>
      <w:bookmarkEnd w:id="115"/>
    </w:p>
    <w:p>
      <w:pPr>
        <w:snapToGrid w:val="0"/>
        <w:spacing w:line="400" w:lineRule="exact"/>
        <w:ind w:left="-32" w:leftChars="-100" w:hanging="208" w:hangingChars="87"/>
        <w:rPr>
          <w:rFonts w:ascii="宋体" w:hAnsi="宋体" w:cs="宋体"/>
          <w:szCs w:val="21"/>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投标分项报价表</w:t>
      </w:r>
    </w:p>
    <w:p>
      <w:pPr>
        <w:snapToGrid w:val="0"/>
        <w:spacing w:line="400" w:lineRule="exact"/>
        <w:jc w:val="center"/>
        <w:rPr>
          <w:rFonts w:ascii="宋体" w:hAnsi="宋体" w:cs="宋体"/>
          <w:caps/>
          <w:sz w:val="28"/>
          <w:szCs w:val="28"/>
        </w:rPr>
      </w:pPr>
      <w:bookmarkStart w:id="116" w:name="_Toc86156781"/>
      <w:bookmarkStart w:id="117" w:name="_Toc477185306"/>
      <w:bookmarkStart w:id="118" w:name="_Toc17796"/>
      <w:bookmarkStart w:id="119" w:name="_Toc7327"/>
      <w:bookmarkStart w:id="120" w:name="_Toc21191"/>
      <w:bookmarkStart w:id="121" w:name="_Toc95326685"/>
      <w:bookmarkStart w:id="122" w:name="_Toc15330"/>
      <w:bookmarkStart w:id="123" w:name="_Toc31968"/>
      <w:bookmarkStart w:id="124" w:name="_Toc1512"/>
      <w:bookmarkStart w:id="125" w:name="_Toc22748"/>
      <w:r>
        <w:rPr>
          <w:rFonts w:hint="eastAsia" w:ascii="宋体" w:hAnsi="宋体" w:cs="宋体"/>
          <w:caps/>
          <w:sz w:val="28"/>
          <w:szCs w:val="28"/>
        </w:rPr>
        <w:t>附件3-1分项报价表（关境内产品）</w:t>
      </w:r>
    </w:p>
    <w:p>
      <w:pPr>
        <w:adjustRightInd/>
        <w:spacing w:line="240" w:lineRule="auto"/>
        <w:jc w:val="both"/>
        <w:textAlignment w:val="auto"/>
        <w:rPr>
          <w:rFonts w:ascii="宋体" w:hAnsi="宋体" w:cs="宋体"/>
          <w:lang w:val="zh-CN"/>
        </w:rPr>
      </w:pPr>
      <w:r>
        <w:rPr>
          <w:rFonts w:hint="eastAsia" w:ascii="宋体" w:hAnsi="宋体" w:cs="宋体"/>
          <w:szCs w:val="20"/>
          <w:lang w:val="zh-CN"/>
        </w:rPr>
        <w:t>投标人名称:___________ 招标编号:_______________ 包号:______________　　　　　　　　　　报价单位：人民币元</w:t>
      </w:r>
    </w:p>
    <w:tbl>
      <w:tblPr>
        <w:tblStyle w:val="26"/>
        <w:tblW w:w="142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200"/>
        <w:gridCol w:w="1540"/>
        <w:gridCol w:w="1388"/>
        <w:gridCol w:w="898"/>
        <w:gridCol w:w="900"/>
        <w:gridCol w:w="1619"/>
        <w:gridCol w:w="1418"/>
        <w:gridCol w:w="1516"/>
        <w:gridCol w:w="8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pPr>
              <w:adjustRightInd/>
              <w:spacing w:before="156" w:line="240" w:lineRule="auto"/>
              <w:jc w:val="center"/>
              <w:textAlignment w:val="auto"/>
              <w:rPr>
                <w:rFonts w:ascii="宋体" w:hAnsi="宋体" w:cs="宋体"/>
                <w:sz w:val="21"/>
                <w:szCs w:val="21"/>
                <w:lang w:val="zh-CN"/>
              </w:rPr>
            </w:pPr>
            <w:r>
              <w:rPr>
                <w:rFonts w:hint="eastAsia" w:ascii="宋体" w:hAnsi="宋体" w:cs="宋体"/>
                <w:sz w:val="21"/>
                <w:szCs w:val="21"/>
                <w:lang w:val="zh-CN"/>
              </w:rPr>
              <w:t>序号</w:t>
            </w:r>
          </w:p>
        </w:tc>
        <w:tc>
          <w:tcPr>
            <w:tcW w:w="3200" w:type="dxa"/>
            <w:vAlign w:val="center"/>
          </w:tcPr>
          <w:p>
            <w:pPr>
              <w:adjustRightInd/>
              <w:spacing w:before="156" w:line="240" w:lineRule="auto"/>
              <w:jc w:val="center"/>
              <w:textAlignment w:val="auto"/>
              <w:rPr>
                <w:rFonts w:ascii="宋体" w:hAnsi="宋体" w:cs="宋体"/>
                <w:sz w:val="21"/>
                <w:szCs w:val="21"/>
                <w:lang w:val="zh-CN"/>
              </w:rPr>
            </w:pPr>
            <w:r>
              <w:rPr>
                <w:rFonts w:hint="eastAsia" w:ascii="宋体" w:hAnsi="宋体" w:cs="宋体"/>
                <w:sz w:val="21"/>
                <w:szCs w:val="21"/>
                <w:lang w:val="zh-CN"/>
              </w:rPr>
              <w:t>名称</w:t>
            </w:r>
          </w:p>
        </w:tc>
        <w:tc>
          <w:tcPr>
            <w:tcW w:w="1540" w:type="dxa"/>
            <w:vAlign w:val="center"/>
          </w:tcPr>
          <w:p>
            <w:pPr>
              <w:adjustRightInd/>
              <w:spacing w:before="156" w:line="240" w:lineRule="auto"/>
              <w:jc w:val="center"/>
              <w:textAlignment w:val="auto"/>
              <w:rPr>
                <w:rFonts w:ascii="宋体" w:hAnsi="宋体" w:cs="宋体"/>
                <w:sz w:val="21"/>
                <w:szCs w:val="21"/>
                <w:lang w:val="zh-CN"/>
              </w:rPr>
            </w:pPr>
            <w:r>
              <w:rPr>
                <w:rFonts w:hint="eastAsia" w:ascii="宋体" w:hAnsi="宋体" w:cs="宋体"/>
                <w:sz w:val="21"/>
                <w:szCs w:val="21"/>
                <w:lang w:val="zh-CN"/>
              </w:rPr>
              <w:t>型号和规格</w:t>
            </w:r>
          </w:p>
        </w:tc>
        <w:tc>
          <w:tcPr>
            <w:tcW w:w="1388" w:type="dxa"/>
            <w:vAlign w:val="center"/>
          </w:tcPr>
          <w:p>
            <w:pPr>
              <w:adjustRightInd/>
              <w:spacing w:before="156" w:line="240" w:lineRule="auto"/>
              <w:jc w:val="center"/>
              <w:textAlignment w:val="auto"/>
              <w:rPr>
                <w:rFonts w:ascii="宋体" w:hAnsi="宋体" w:cs="宋体"/>
                <w:sz w:val="21"/>
                <w:szCs w:val="21"/>
                <w:lang w:val="zh-CN"/>
              </w:rPr>
            </w:pPr>
            <w:r>
              <w:rPr>
                <w:rFonts w:hint="eastAsia" w:ascii="宋体" w:hAnsi="宋体" w:cs="宋体"/>
                <w:sz w:val="21"/>
                <w:szCs w:val="21"/>
                <w:lang w:val="zh-CN"/>
              </w:rPr>
              <w:t>数量</w:t>
            </w:r>
          </w:p>
        </w:tc>
        <w:tc>
          <w:tcPr>
            <w:tcW w:w="898" w:type="dxa"/>
            <w:vAlign w:val="center"/>
          </w:tcPr>
          <w:p>
            <w:pPr>
              <w:adjustRightInd/>
              <w:spacing w:line="240" w:lineRule="auto"/>
              <w:ind w:right="-17" w:rightChars="-7"/>
              <w:jc w:val="center"/>
              <w:textAlignment w:val="auto"/>
              <w:rPr>
                <w:rFonts w:ascii="宋体" w:hAnsi="宋体" w:cs="宋体"/>
                <w:sz w:val="21"/>
                <w:szCs w:val="21"/>
                <w:lang w:val="zh-CN"/>
              </w:rPr>
            </w:pPr>
            <w:r>
              <w:rPr>
                <w:rFonts w:hint="eastAsia" w:ascii="宋体" w:hAnsi="宋体" w:cs="宋体"/>
                <w:sz w:val="21"/>
                <w:szCs w:val="21"/>
                <w:lang w:val="zh-CN"/>
              </w:rPr>
              <w:t>产地</w:t>
            </w:r>
          </w:p>
        </w:tc>
        <w:tc>
          <w:tcPr>
            <w:tcW w:w="900" w:type="dxa"/>
            <w:vAlign w:val="center"/>
          </w:tcPr>
          <w:p>
            <w:pPr>
              <w:adjustRightInd/>
              <w:spacing w:line="240" w:lineRule="auto"/>
              <w:jc w:val="center"/>
              <w:textAlignment w:val="auto"/>
              <w:rPr>
                <w:rFonts w:ascii="宋体" w:hAnsi="宋体" w:cs="宋体"/>
                <w:sz w:val="21"/>
                <w:szCs w:val="21"/>
                <w:lang w:val="zh-CN"/>
              </w:rPr>
            </w:pPr>
            <w:r>
              <w:rPr>
                <w:rFonts w:hint="eastAsia" w:ascii="宋体" w:hAnsi="宋体" w:cs="宋体"/>
                <w:sz w:val="21"/>
                <w:szCs w:val="21"/>
                <w:lang w:val="zh-CN"/>
              </w:rPr>
              <w:t>制造商名称</w:t>
            </w:r>
          </w:p>
        </w:tc>
        <w:tc>
          <w:tcPr>
            <w:tcW w:w="1619" w:type="dxa"/>
            <w:vAlign w:val="center"/>
          </w:tcPr>
          <w:p>
            <w:pPr>
              <w:adjustRightInd/>
              <w:spacing w:before="156" w:line="240" w:lineRule="auto"/>
              <w:jc w:val="center"/>
              <w:textAlignment w:val="auto"/>
              <w:rPr>
                <w:rFonts w:ascii="宋体" w:hAnsi="宋体" w:cs="宋体"/>
                <w:sz w:val="21"/>
                <w:szCs w:val="21"/>
                <w:lang w:val="zh-CN"/>
              </w:rPr>
            </w:pPr>
            <w:r>
              <w:rPr>
                <w:rFonts w:hint="eastAsia" w:ascii="宋体" w:hAnsi="宋体" w:cs="宋体"/>
                <w:sz w:val="21"/>
                <w:szCs w:val="21"/>
                <w:lang w:val="zh-CN"/>
              </w:rPr>
              <w:t>单价</w:t>
            </w:r>
          </w:p>
        </w:tc>
        <w:tc>
          <w:tcPr>
            <w:tcW w:w="1418" w:type="dxa"/>
            <w:vAlign w:val="center"/>
          </w:tcPr>
          <w:p>
            <w:pPr>
              <w:adjustRightInd/>
              <w:spacing w:before="156" w:line="240" w:lineRule="auto"/>
              <w:jc w:val="center"/>
              <w:textAlignment w:val="auto"/>
              <w:rPr>
                <w:rFonts w:ascii="宋体" w:hAnsi="宋体" w:cs="宋体"/>
                <w:sz w:val="21"/>
                <w:szCs w:val="21"/>
                <w:lang w:val="zh-CN"/>
              </w:rPr>
            </w:pPr>
            <w:r>
              <w:rPr>
                <w:rFonts w:hint="eastAsia" w:ascii="宋体" w:hAnsi="宋体" w:cs="宋体"/>
                <w:sz w:val="21"/>
                <w:szCs w:val="21"/>
                <w:lang w:val="zh-CN"/>
              </w:rPr>
              <w:t>小计</w:t>
            </w:r>
          </w:p>
        </w:tc>
        <w:tc>
          <w:tcPr>
            <w:tcW w:w="1516" w:type="dxa"/>
            <w:vAlign w:val="center"/>
          </w:tcPr>
          <w:p>
            <w:pPr>
              <w:jc w:val="center"/>
              <w:rPr>
                <w:sz w:val="21"/>
                <w:szCs w:val="21"/>
                <w:lang w:val="zh-CN"/>
              </w:rPr>
            </w:pPr>
            <w:r>
              <w:rPr>
                <w:rFonts w:hint="eastAsia"/>
                <w:sz w:val="21"/>
                <w:szCs w:val="21"/>
                <w:lang w:val="zh-CN"/>
              </w:rPr>
              <w:t>是否属于小微企业或监狱企业或残疾人福利性单位产品</w:t>
            </w:r>
          </w:p>
        </w:tc>
        <w:tc>
          <w:tcPr>
            <w:tcW w:w="894" w:type="dxa"/>
            <w:vAlign w:val="center"/>
          </w:tcPr>
          <w:p>
            <w:pPr>
              <w:adjustRightInd/>
              <w:spacing w:before="156" w:line="240" w:lineRule="auto"/>
              <w:jc w:val="center"/>
              <w:textAlignment w:val="auto"/>
              <w:rPr>
                <w:rFonts w:ascii="宋体" w:hAnsi="宋体" w:cs="宋体"/>
                <w:sz w:val="21"/>
                <w:szCs w:val="21"/>
              </w:rPr>
            </w:pPr>
            <w:r>
              <w:rPr>
                <w:rFonts w:hint="eastAsia" w:ascii="宋体" w:hAnsi="宋体" w:cs="宋体"/>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pPr>
              <w:adjustRightInd/>
              <w:spacing w:line="240" w:lineRule="auto"/>
              <w:jc w:val="center"/>
              <w:textAlignment w:val="auto"/>
              <w:rPr>
                <w:rFonts w:ascii="宋体" w:hAnsi="宋体" w:cs="宋体"/>
                <w:szCs w:val="20"/>
              </w:rPr>
            </w:pPr>
            <w:r>
              <w:rPr>
                <w:rFonts w:hint="eastAsia" w:ascii="宋体" w:hAnsi="宋体" w:cs="宋体"/>
                <w:szCs w:val="20"/>
              </w:rPr>
              <w:t>一、</w:t>
            </w:r>
          </w:p>
        </w:tc>
        <w:tc>
          <w:tcPr>
            <w:tcW w:w="3200" w:type="dxa"/>
          </w:tcPr>
          <w:p>
            <w:pPr>
              <w:adjustRightInd/>
              <w:spacing w:line="240" w:lineRule="auto"/>
              <w:jc w:val="both"/>
              <w:textAlignment w:val="auto"/>
              <w:rPr>
                <w:rFonts w:ascii="宋体" w:hAnsi="宋体" w:cs="宋体"/>
                <w:szCs w:val="20"/>
                <w:lang w:val="zh-CN"/>
              </w:rPr>
            </w:pPr>
            <w:r>
              <w:rPr>
                <w:rFonts w:hint="eastAsia" w:ascii="宋体" w:hAnsi="宋体" w:cs="宋体"/>
                <w:szCs w:val="20"/>
                <w:lang w:val="zh-CN"/>
              </w:rPr>
              <w:t>主机和标准附件</w:t>
            </w:r>
          </w:p>
        </w:tc>
        <w:tc>
          <w:tcPr>
            <w:tcW w:w="1540" w:type="dxa"/>
          </w:tcPr>
          <w:p>
            <w:pPr>
              <w:adjustRightInd/>
              <w:spacing w:line="240" w:lineRule="auto"/>
              <w:jc w:val="both"/>
              <w:textAlignment w:val="auto"/>
              <w:rPr>
                <w:rFonts w:ascii="宋体" w:hAnsi="宋体" w:cs="宋体"/>
                <w:szCs w:val="20"/>
                <w:lang w:val="zh-CN"/>
              </w:rPr>
            </w:pPr>
          </w:p>
        </w:tc>
        <w:tc>
          <w:tcPr>
            <w:tcW w:w="1388" w:type="dxa"/>
          </w:tcPr>
          <w:p>
            <w:pPr>
              <w:adjustRightInd/>
              <w:spacing w:line="240" w:lineRule="auto"/>
              <w:jc w:val="both"/>
              <w:textAlignment w:val="auto"/>
              <w:rPr>
                <w:rFonts w:ascii="宋体" w:hAnsi="宋体" w:cs="宋体"/>
                <w:szCs w:val="20"/>
                <w:lang w:val="zh-CN"/>
              </w:rPr>
            </w:pPr>
          </w:p>
        </w:tc>
        <w:tc>
          <w:tcPr>
            <w:tcW w:w="898" w:type="dxa"/>
          </w:tcPr>
          <w:p>
            <w:pPr>
              <w:adjustRightInd/>
              <w:spacing w:line="240" w:lineRule="auto"/>
              <w:jc w:val="both"/>
              <w:textAlignment w:val="auto"/>
              <w:rPr>
                <w:rFonts w:ascii="宋体" w:hAnsi="宋体" w:cs="宋体"/>
                <w:szCs w:val="20"/>
                <w:lang w:val="zh-CN"/>
              </w:rPr>
            </w:pPr>
          </w:p>
        </w:tc>
        <w:tc>
          <w:tcPr>
            <w:tcW w:w="900" w:type="dxa"/>
          </w:tcPr>
          <w:p>
            <w:pPr>
              <w:adjustRightInd/>
              <w:spacing w:line="240" w:lineRule="auto"/>
              <w:jc w:val="both"/>
              <w:textAlignment w:val="auto"/>
              <w:rPr>
                <w:rFonts w:ascii="宋体" w:hAnsi="宋体" w:cs="宋体"/>
                <w:szCs w:val="20"/>
                <w:lang w:val="zh-CN"/>
              </w:rPr>
            </w:pPr>
          </w:p>
        </w:tc>
        <w:tc>
          <w:tcPr>
            <w:tcW w:w="1619" w:type="dxa"/>
          </w:tcPr>
          <w:p>
            <w:pPr>
              <w:adjustRightInd/>
              <w:spacing w:line="240" w:lineRule="auto"/>
              <w:jc w:val="both"/>
              <w:textAlignment w:val="auto"/>
              <w:rPr>
                <w:rFonts w:ascii="宋体" w:hAnsi="宋体" w:cs="宋体"/>
                <w:szCs w:val="20"/>
                <w:lang w:val="zh-CN"/>
              </w:rPr>
            </w:pPr>
          </w:p>
        </w:tc>
        <w:tc>
          <w:tcPr>
            <w:tcW w:w="1418" w:type="dxa"/>
          </w:tcPr>
          <w:p>
            <w:pPr>
              <w:adjustRightInd/>
              <w:spacing w:line="240" w:lineRule="auto"/>
              <w:jc w:val="both"/>
              <w:textAlignment w:val="auto"/>
              <w:rPr>
                <w:rFonts w:ascii="宋体" w:hAnsi="宋体" w:cs="宋体"/>
                <w:szCs w:val="20"/>
                <w:lang w:val="zh-CN"/>
              </w:rPr>
            </w:pPr>
          </w:p>
        </w:tc>
        <w:tc>
          <w:tcPr>
            <w:tcW w:w="1516" w:type="dxa"/>
            <w:vAlign w:val="center"/>
          </w:tcPr>
          <w:p>
            <w:pPr>
              <w:adjustRightInd/>
              <w:spacing w:line="240" w:lineRule="auto"/>
              <w:textAlignment w:val="auto"/>
              <w:rPr>
                <w:rFonts w:ascii="宋体" w:hAnsi="宋体" w:cs="宋体"/>
                <w:szCs w:val="20"/>
                <w:lang w:val="zh-CN"/>
              </w:rPr>
            </w:pPr>
          </w:p>
        </w:tc>
        <w:tc>
          <w:tcPr>
            <w:tcW w:w="894" w:type="dxa"/>
          </w:tcPr>
          <w:p>
            <w:pPr>
              <w:adjustRightInd/>
              <w:spacing w:line="240" w:lineRule="auto"/>
              <w:jc w:val="both"/>
              <w:textAlignment w:val="auto"/>
              <w:rPr>
                <w:rFonts w:ascii="宋体" w:hAnsi="宋体" w:cs="宋体"/>
                <w:szCs w:val="20"/>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pPr>
              <w:adjustRightInd/>
              <w:spacing w:line="240" w:lineRule="auto"/>
              <w:jc w:val="center"/>
              <w:textAlignment w:val="auto"/>
              <w:rPr>
                <w:rFonts w:ascii="宋体" w:hAnsi="宋体" w:cs="宋体"/>
                <w:szCs w:val="20"/>
                <w:lang w:val="zh-CN"/>
              </w:rPr>
            </w:pPr>
            <w:r>
              <w:rPr>
                <w:rFonts w:hint="eastAsia" w:ascii="宋体" w:hAnsi="宋体" w:cs="宋体"/>
                <w:szCs w:val="20"/>
                <w:lang w:val="zh-CN"/>
              </w:rPr>
              <w:t xml:space="preserve"> 1.</w:t>
            </w:r>
          </w:p>
        </w:tc>
        <w:tc>
          <w:tcPr>
            <w:tcW w:w="3200" w:type="dxa"/>
          </w:tcPr>
          <w:p>
            <w:pPr>
              <w:adjustRightInd/>
              <w:spacing w:line="240" w:lineRule="auto"/>
              <w:jc w:val="both"/>
              <w:textAlignment w:val="auto"/>
              <w:rPr>
                <w:rFonts w:ascii="宋体" w:hAnsi="宋体" w:cs="宋体"/>
                <w:szCs w:val="20"/>
                <w:lang w:val="zh-CN"/>
              </w:rPr>
            </w:pPr>
            <w:r>
              <w:rPr>
                <w:rFonts w:hint="eastAsia" w:ascii="宋体" w:hAnsi="宋体" w:cs="宋体"/>
                <w:szCs w:val="20"/>
                <w:lang w:val="zh-CN"/>
              </w:rPr>
              <w:t>……</w:t>
            </w:r>
          </w:p>
        </w:tc>
        <w:tc>
          <w:tcPr>
            <w:tcW w:w="1540" w:type="dxa"/>
          </w:tcPr>
          <w:p>
            <w:pPr>
              <w:adjustRightInd/>
              <w:spacing w:line="240" w:lineRule="auto"/>
              <w:jc w:val="both"/>
              <w:textAlignment w:val="auto"/>
              <w:rPr>
                <w:rFonts w:ascii="宋体" w:hAnsi="宋体" w:cs="宋体"/>
                <w:szCs w:val="20"/>
                <w:lang w:val="zh-CN"/>
              </w:rPr>
            </w:pPr>
          </w:p>
        </w:tc>
        <w:tc>
          <w:tcPr>
            <w:tcW w:w="1388" w:type="dxa"/>
          </w:tcPr>
          <w:p>
            <w:pPr>
              <w:adjustRightInd/>
              <w:spacing w:line="240" w:lineRule="auto"/>
              <w:jc w:val="both"/>
              <w:textAlignment w:val="auto"/>
              <w:rPr>
                <w:rFonts w:ascii="宋体" w:hAnsi="宋体" w:cs="宋体"/>
                <w:szCs w:val="20"/>
                <w:lang w:val="zh-CN"/>
              </w:rPr>
            </w:pPr>
          </w:p>
        </w:tc>
        <w:tc>
          <w:tcPr>
            <w:tcW w:w="898" w:type="dxa"/>
          </w:tcPr>
          <w:p>
            <w:pPr>
              <w:adjustRightInd/>
              <w:spacing w:line="240" w:lineRule="auto"/>
              <w:jc w:val="both"/>
              <w:textAlignment w:val="auto"/>
              <w:rPr>
                <w:rFonts w:ascii="宋体" w:hAnsi="宋体" w:cs="宋体"/>
                <w:szCs w:val="20"/>
                <w:lang w:val="zh-CN"/>
              </w:rPr>
            </w:pPr>
          </w:p>
        </w:tc>
        <w:tc>
          <w:tcPr>
            <w:tcW w:w="900" w:type="dxa"/>
          </w:tcPr>
          <w:p>
            <w:pPr>
              <w:adjustRightInd/>
              <w:spacing w:line="240" w:lineRule="auto"/>
              <w:jc w:val="both"/>
              <w:textAlignment w:val="auto"/>
              <w:rPr>
                <w:rFonts w:ascii="宋体" w:hAnsi="宋体" w:cs="宋体"/>
                <w:szCs w:val="20"/>
                <w:lang w:val="zh-CN"/>
              </w:rPr>
            </w:pPr>
          </w:p>
        </w:tc>
        <w:tc>
          <w:tcPr>
            <w:tcW w:w="1619" w:type="dxa"/>
          </w:tcPr>
          <w:p>
            <w:pPr>
              <w:adjustRightInd/>
              <w:spacing w:line="240" w:lineRule="auto"/>
              <w:jc w:val="both"/>
              <w:textAlignment w:val="auto"/>
              <w:rPr>
                <w:rFonts w:ascii="宋体" w:hAnsi="宋体" w:cs="宋体"/>
                <w:szCs w:val="20"/>
                <w:lang w:val="zh-CN"/>
              </w:rPr>
            </w:pPr>
          </w:p>
        </w:tc>
        <w:tc>
          <w:tcPr>
            <w:tcW w:w="1418" w:type="dxa"/>
          </w:tcPr>
          <w:p>
            <w:pPr>
              <w:adjustRightInd/>
              <w:spacing w:line="240" w:lineRule="auto"/>
              <w:jc w:val="both"/>
              <w:textAlignment w:val="auto"/>
              <w:rPr>
                <w:rFonts w:ascii="宋体" w:hAnsi="宋体" w:cs="宋体"/>
                <w:szCs w:val="20"/>
                <w:lang w:val="zh-CN"/>
              </w:rPr>
            </w:pPr>
          </w:p>
        </w:tc>
        <w:tc>
          <w:tcPr>
            <w:tcW w:w="1516" w:type="dxa"/>
            <w:vAlign w:val="center"/>
          </w:tcPr>
          <w:p>
            <w:pPr>
              <w:adjustRightInd/>
              <w:spacing w:line="240" w:lineRule="auto"/>
              <w:textAlignment w:val="auto"/>
              <w:rPr>
                <w:rFonts w:ascii="宋体" w:hAnsi="宋体" w:cs="宋体"/>
                <w:szCs w:val="20"/>
                <w:lang w:val="zh-CN"/>
              </w:rPr>
            </w:pPr>
          </w:p>
        </w:tc>
        <w:tc>
          <w:tcPr>
            <w:tcW w:w="894" w:type="dxa"/>
          </w:tcPr>
          <w:p>
            <w:pPr>
              <w:adjustRightInd/>
              <w:spacing w:line="240" w:lineRule="auto"/>
              <w:jc w:val="both"/>
              <w:textAlignment w:val="auto"/>
              <w:rPr>
                <w:rFonts w:ascii="宋体" w:hAnsi="宋体" w:cs="宋体"/>
                <w:szCs w:val="20"/>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pPr>
              <w:adjustRightInd/>
              <w:spacing w:line="240" w:lineRule="auto"/>
              <w:jc w:val="center"/>
              <w:textAlignment w:val="auto"/>
              <w:rPr>
                <w:rFonts w:ascii="宋体" w:hAnsi="宋体" w:cs="宋体"/>
                <w:szCs w:val="20"/>
                <w:lang w:val="zh-CN"/>
              </w:rPr>
            </w:pPr>
            <w:r>
              <w:rPr>
                <w:rFonts w:hint="eastAsia" w:ascii="宋体" w:hAnsi="宋体" w:cs="宋体"/>
                <w:szCs w:val="20"/>
                <w:lang w:val="zh-CN"/>
              </w:rPr>
              <w:t xml:space="preserve"> 2.</w:t>
            </w:r>
          </w:p>
        </w:tc>
        <w:tc>
          <w:tcPr>
            <w:tcW w:w="3200" w:type="dxa"/>
          </w:tcPr>
          <w:p>
            <w:pPr>
              <w:adjustRightInd/>
              <w:spacing w:line="240" w:lineRule="auto"/>
              <w:jc w:val="both"/>
              <w:textAlignment w:val="auto"/>
              <w:rPr>
                <w:rFonts w:ascii="宋体" w:hAnsi="宋体" w:cs="宋体"/>
                <w:szCs w:val="20"/>
                <w:lang w:val="zh-CN"/>
              </w:rPr>
            </w:pPr>
            <w:r>
              <w:rPr>
                <w:rFonts w:hint="eastAsia" w:ascii="宋体" w:hAnsi="宋体" w:cs="宋体"/>
                <w:szCs w:val="20"/>
                <w:lang w:val="zh-CN"/>
              </w:rPr>
              <w:t>……</w:t>
            </w:r>
          </w:p>
        </w:tc>
        <w:tc>
          <w:tcPr>
            <w:tcW w:w="1540" w:type="dxa"/>
          </w:tcPr>
          <w:p>
            <w:pPr>
              <w:adjustRightInd/>
              <w:spacing w:line="240" w:lineRule="auto"/>
              <w:jc w:val="both"/>
              <w:textAlignment w:val="auto"/>
              <w:rPr>
                <w:rFonts w:ascii="宋体" w:hAnsi="宋体" w:cs="宋体"/>
                <w:szCs w:val="20"/>
                <w:lang w:val="zh-CN"/>
              </w:rPr>
            </w:pPr>
          </w:p>
        </w:tc>
        <w:tc>
          <w:tcPr>
            <w:tcW w:w="1388" w:type="dxa"/>
          </w:tcPr>
          <w:p>
            <w:pPr>
              <w:adjustRightInd/>
              <w:spacing w:line="240" w:lineRule="auto"/>
              <w:jc w:val="both"/>
              <w:textAlignment w:val="auto"/>
              <w:rPr>
                <w:rFonts w:ascii="宋体" w:hAnsi="宋体" w:cs="宋体"/>
                <w:szCs w:val="20"/>
                <w:lang w:val="zh-CN"/>
              </w:rPr>
            </w:pPr>
          </w:p>
        </w:tc>
        <w:tc>
          <w:tcPr>
            <w:tcW w:w="898" w:type="dxa"/>
          </w:tcPr>
          <w:p>
            <w:pPr>
              <w:adjustRightInd/>
              <w:spacing w:line="240" w:lineRule="auto"/>
              <w:jc w:val="both"/>
              <w:textAlignment w:val="auto"/>
              <w:rPr>
                <w:rFonts w:ascii="宋体" w:hAnsi="宋体" w:cs="宋体"/>
                <w:szCs w:val="20"/>
                <w:lang w:val="zh-CN"/>
              </w:rPr>
            </w:pPr>
          </w:p>
        </w:tc>
        <w:tc>
          <w:tcPr>
            <w:tcW w:w="900" w:type="dxa"/>
          </w:tcPr>
          <w:p>
            <w:pPr>
              <w:adjustRightInd/>
              <w:spacing w:line="240" w:lineRule="auto"/>
              <w:jc w:val="both"/>
              <w:textAlignment w:val="auto"/>
              <w:rPr>
                <w:rFonts w:ascii="宋体" w:hAnsi="宋体" w:cs="宋体"/>
                <w:szCs w:val="20"/>
                <w:lang w:val="zh-CN"/>
              </w:rPr>
            </w:pPr>
          </w:p>
        </w:tc>
        <w:tc>
          <w:tcPr>
            <w:tcW w:w="1619" w:type="dxa"/>
          </w:tcPr>
          <w:p>
            <w:pPr>
              <w:adjustRightInd/>
              <w:spacing w:line="240" w:lineRule="auto"/>
              <w:jc w:val="both"/>
              <w:textAlignment w:val="auto"/>
              <w:rPr>
                <w:rFonts w:ascii="宋体" w:hAnsi="宋体" w:cs="宋体"/>
                <w:szCs w:val="20"/>
                <w:lang w:val="zh-CN"/>
              </w:rPr>
            </w:pPr>
          </w:p>
        </w:tc>
        <w:tc>
          <w:tcPr>
            <w:tcW w:w="1418" w:type="dxa"/>
          </w:tcPr>
          <w:p>
            <w:pPr>
              <w:adjustRightInd/>
              <w:spacing w:line="240" w:lineRule="auto"/>
              <w:jc w:val="both"/>
              <w:textAlignment w:val="auto"/>
              <w:rPr>
                <w:rFonts w:ascii="宋体" w:hAnsi="宋体" w:cs="宋体"/>
                <w:szCs w:val="20"/>
                <w:lang w:val="zh-CN"/>
              </w:rPr>
            </w:pPr>
          </w:p>
        </w:tc>
        <w:tc>
          <w:tcPr>
            <w:tcW w:w="1516" w:type="dxa"/>
            <w:vAlign w:val="center"/>
          </w:tcPr>
          <w:p>
            <w:pPr>
              <w:adjustRightInd/>
              <w:spacing w:line="240" w:lineRule="auto"/>
              <w:textAlignment w:val="auto"/>
              <w:rPr>
                <w:rFonts w:ascii="宋体" w:hAnsi="宋体" w:cs="宋体"/>
                <w:szCs w:val="20"/>
                <w:lang w:val="zh-CN"/>
              </w:rPr>
            </w:pPr>
          </w:p>
        </w:tc>
        <w:tc>
          <w:tcPr>
            <w:tcW w:w="894" w:type="dxa"/>
          </w:tcPr>
          <w:p>
            <w:pPr>
              <w:adjustRightInd/>
              <w:spacing w:line="240" w:lineRule="auto"/>
              <w:jc w:val="both"/>
              <w:textAlignment w:val="auto"/>
              <w:rPr>
                <w:rFonts w:ascii="宋体" w:hAnsi="宋体" w:cs="宋体"/>
                <w:szCs w:val="20"/>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pPr>
              <w:adjustRightInd/>
              <w:spacing w:line="240" w:lineRule="auto"/>
              <w:jc w:val="center"/>
              <w:textAlignment w:val="auto"/>
              <w:rPr>
                <w:rFonts w:ascii="宋体" w:hAnsi="宋体" w:cs="宋体"/>
                <w:szCs w:val="20"/>
                <w:lang w:val="zh-CN"/>
              </w:rPr>
            </w:pPr>
            <w:r>
              <w:rPr>
                <w:rFonts w:hint="eastAsia" w:ascii="宋体" w:hAnsi="宋体" w:cs="宋体"/>
                <w:szCs w:val="20"/>
              </w:rPr>
              <w:t>二、</w:t>
            </w:r>
          </w:p>
        </w:tc>
        <w:tc>
          <w:tcPr>
            <w:tcW w:w="3200" w:type="dxa"/>
          </w:tcPr>
          <w:p>
            <w:pPr>
              <w:adjustRightInd/>
              <w:spacing w:line="240" w:lineRule="auto"/>
              <w:jc w:val="both"/>
              <w:textAlignment w:val="auto"/>
              <w:rPr>
                <w:rFonts w:ascii="宋体" w:hAnsi="宋体" w:cs="宋体"/>
                <w:szCs w:val="20"/>
                <w:lang w:val="zh-CN"/>
              </w:rPr>
            </w:pPr>
            <w:r>
              <w:rPr>
                <w:rFonts w:hint="eastAsia" w:ascii="宋体" w:hAnsi="宋体" w:cs="宋体"/>
                <w:szCs w:val="20"/>
                <w:lang w:val="zh-CN"/>
              </w:rPr>
              <w:t>安装、调试、检验</w:t>
            </w:r>
          </w:p>
        </w:tc>
        <w:tc>
          <w:tcPr>
            <w:tcW w:w="1540" w:type="dxa"/>
          </w:tcPr>
          <w:p>
            <w:pPr>
              <w:adjustRightInd/>
              <w:spacing w:line="240" w:lineRule="auto"/>
              <w:jc w:val="both"/>
              <w:textAlignment w:val="auto"/>
              <w:rPr>
                <w:rFonts w:ascii="宋体" w:hAnsi="宋体" w:cs="宋体"/>
                <w:szCs w:val="20"/>
                <w:lang w:val="zh-CN"/>
              </w:rPr>
            </w:pPr>
          </w:p>
        </w:tc>
        <w:tc>
          <w:tcPr>
            <w:tcW w:w="1388" w:type="dxa"/>
          </w:tcPr>
          <w:p>
            <w:pPr>
              <w:adjustRightInd/>
              <w:spacing w:line="240" w:lineRule="auto"/>
              <w:jc w:val="both"/>
              <w:textAlignment w:val="auto"/>
              <w:rPr>
                <w:rFonts w:ascii="宋体" w:hAnsi="宋体" w:cs="宋体"/>
                <w:szCs w:val="20"/>
                <w:lang w:val="zh-CN"/>
              </w:rPr>
            </w:pPr>
          </w:p>
        </w:tc>
        <w:tc>
          <w:tcPr>
            <w:tcW w:w="898" w:type="dxa"/>
          </w:tcPr>
          <w:p>
            <w:pPr>
              <w:adjustRightInd/>
              <w:spacing w:line="240" w:lineRule="auto"/>
              <w:jc w:val="both"/>
              <w:textAlignment w:val="auto"/>
              <w:rPr>
                <w:rFonts w:ascii="宋体" w:hAnsi="宋体" w:cs="宋体"/>
                <w:szCs w:val="20"/>
                <w:lang w:val="zh-CN"/>
              </w:rPr>
            </w:pPr>
          </w:p>
        </w:tc>
        <w:tc>
          <w:tcPr>
            <w:tcW w:w="900" w:type="dxa"/>
          </w:tcPr>
          <w:p>
            <w:pPr>
              <w:adjustRightInd/>
              <w:spacing w:line="240" w:lineRule="auto"/>
              <w:jc w:val="both"/>
              <w:textAlignment w:val="auto"/>
              <w:rPr>
                <w:rFonts w:ascii="宋体" w:hAnsi="宋体" w:cs="宋体"/>
                <w:szCs w:val="20"/>
                <w:lang w:val="zh-CN"/>
              </w:rPr>
            </w:pPr>
          </w:p>
        </w:tc>
        <w:tc>
          <w:tcPr>
            <w:tcW w:w="1619" w:type="dxa"/>
          </w:tcPr>
          <w:p>
            <w:pPr>
              <w:adjustRightInd/>
              <w:spacing w:line="240" w:lineRule="auto"/>
              <w:jc w:val="both"/>
              <w:textAlignment w:val="auto"/>
              <w:rPr>
                <w:rFonts w:ascii="宋体" w:hAnsi="宋体" w:cs="宋体"/>
                <w:szCs w:val="20"/>
                <w:lang w:val="zh-CN"/>
              </w:rPr>
            </w:pPr>
          </w:p>
        </w:tc>
        <w:tc>
          <w:tcPr>
            <w:tcW w:w="1418" w:type="dxa"/>
          </w:tcPr>
          <w:p>
            <w:pPr>
              <w:adjustRightInd/>
              <w:spacing w:line="240" w:lineRule="auto"/>
              <w:jc w:val="both"/>
              <w:textAlignment w:val="auto"/>
              <w:rPr>
                <w:rFonts w:ascii="宋体" w:hAnsi="宋体" w:cs="宋体"/>
                <w:szCs w:val="20"/>
                <w:lang w:val="zh-CN"/>
              </w:rPr>
            </w:pPr>
          </w:p>
        </w:tc>
        <w:tc>
          <w:tcPr>
            <w:tcW w:w="1516" w:type="dxa"/>
            <w:vAlign w:val="center"/>
          </w:tcPr>
          <w:p>
            <w:pPr>
              <w:adjustRightInd/>
              <w:spacing w:line="240" w:lineRule="auto"/>
              <w:textAlignment w:val="auto"/>
              <w:rPr>
                <w:rFonts w:ascii="宋体" w:hAnsi="宋体" w:cs="宋体"/>
                <w:szCs w:val="20"/>
                <w:lang w:val="zh-CN"/>
              </w:rPr>
            </w:pPr>
          </w:p>
        </w:tc>
        <w:tc>
          <w:tcPr>
            <w:tcW w:w="894" w:type="dxa"/>
          </w:tcPr>
          <w:p>
            <w:pPr>
              <w:adjustRightInd/>
              <w:spacing w:line="240" w:lineRule="auto"/>
              <w:jc w:val="both"/>
              <w:textAlignment w:val="auto"/>
              <w:rPr>
                <w:rFonts w:ascii="宋体" w:hAnsi="宋体" w:cs="宋体"/>
                <w:szCs w:val="20"/>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pPr>
              <w:adjustRightInd/>
              <w:spacing w:line="240" w:lineRule="auto"/>
              <w:jc w:val="center"/>
              <w:textAlignment w:val="auto"/>
              <w:rPr>
                <w:rFonts w:ascii="宋体" w:hAnsi="宋体" w:cs="宋体"/>
                <w:szCs w:val="20"/>
                <w:lang w:val="zh-CN"/>
              </w:rPr>
            </w:pPr>
            <w:r>
              <w:rPr>
                <w:rFonts w:hint="eastAsia" w:ascii="宋体" w:hAnsi="宋体" w:cs="宋体"/>
                <w:szCs w:val="20"/>
              </w:rPr>
              <w:t>三、</w:t>
            </w:r>
          </w:p>
        </w:tc>
        <w:tc>
          <w:tcPr>
            <w:tcW w:w="3200" w:type="dxa"/>
          </w:tcPr>
          <w:p>
            <w:pPr>
              <w:adjustRightInd/>
              <w:spacing w:line="240" w:lineRule="auto"/>
              <w:jc w:val="both"/>
              <w:textAlignment w:val="auto"/>
              <w:rPr>
                <w:rFonts w:ascii="宋体" w:hAnsi="宋体" w:cs="宋体"/>
                <w:szCs w:val="20"/>
                <w:lang w:val="zh-CN"/>
              </w:rPr>
            </w:pPr>
            <w:r>
              <w:rPr>
                <w:rFonts w:hint="eastAsia" w:ascii="宋体" w:hAnsi="宋体" w:cs="宋体"/>
                <w:szCs w:val="20"/>
                <w:lang w:val="zh-CN"/>
              </w:rPr>
              <w:t>培训</w:t>
            </w:r>
          </w:p>
        </w:tc>
        <w:tc>
          <w:tcPr>
            <w:tcW w:w="1540" w:type="dxa"/>
          </w:tcPr>
          <w:p>
            <w:pPr>
              <w:adjustRightInd/>
              <w:spacing w:line="240" w:lineRule="auto"/>
              <w:jc w:val="both"/>
              <w:textAlignment w:val="auto"/>
              <w:rPr>
                <w:rFonts w:ascii="宋体" w:hAnsi="宋体" w:cs="宋体"/>
                <w:szCs w:val="20"/>
                <w:lang w:val="zh-CN"/>
              </w:rPr>
            </w:pPr>
          </w:p>
        </w:tc>
        <w:tc>
          <w:tcPr>
            <w:tcW w:w="1388" w:type="dxa"/>
          </w:tcPr>
          <w:p>
            <w:pPr>
              <w:adjustRightInd/>
              <w:spacing w:line="240" w:lineRule="auto"/>
              <w:jc w:val="both"/>
              <w:textAlignment w:val="auto"/>
              <w:rPr>
                <w:rFonts w:ascii="宋体" w:hAnsi="宋体" w:cs="宋体"/>
                <w:szCs w:val="20"/>
                <w:lang w:val="zh-CN"/>
              </w:rPr>
            </w:pPr>
          </w:p>
        </w:tc>
        <w:tc>
          <w:tcPr>
            <w:tcW w:w="898" w:type="dxa"/>
          </w:tcPr>
          <w:p>
            <w:pPr>
              <w:adjustRightInd/>
              <w:spacing w:line="240" w:lineRule="auto"/>
              <w:jc w:val="both"/>
              <w:textAlignment w:val="auto"/>
              <w:rPr>
                <w:rFonts w:ascii="宋体" w:hAnsi="宋体" w:cs="宋体"/>
                <w:szCs w:val="20"/>
                <w:lang w:val="zh-CN"/>
              </w:rPr>
            </w:pPr>
          </w:p>
        </w:tc>
        <w:tc>
          <w:tcPr>
            <w:tcW w:w="900" w:type="dxa"/>
          </w:tcPr>
          <w:p>
            <w:pPr>
              <w:adjustRightInd/>
              <w:spacing w:line="240" w:lineRule="auto"/>
              <w:jc w:val="both"/>
              <w:textAlignment w:val="auto"/>
              <w:rPr>
                <w:rFonts w:ascii="宋体" w:hAnsi="宋体" w:cs="宋体"/>
                <w:szCs w:val="20"/>
                <w:lang w:val="zh-CN"/>
              </w:rPr>
            </w:pPr>
          </w:p>
        </w:tc>
        <w:tc>
          <w:tcPr>
            <w:tcW w:w="1619" w:type="dxa"/>
          </w:tcPr>
          <w:p>
            <w:pPr>
              <w:adjustRightInd/>
              <w:spacing w:line="240" w:lineRule="auto"/>
              <w:jc w:val="both"/>
              <w:textAlignment w:val="auto"/>
              <w:rPr>
                <w:rFonts w:ascii="宋体" w:hAnsi="宋体" w:cs="宋体"/>
                <w:szCs w:val="20"/>
                <w:lang w:val="zh-CN"/>
              </w:rPr>
            </w:pPr>
          </w:p>
        </w:tc>
        <w:tc>
          <w:tcPr>
            <w:tcW w:w="1418" w:type="dxa"/>
          </w:tcPr>
          <w:p>
            <w:pPr>
              <w:adjustRightInd/>
              <w:spacing w:line="240" w:lineRule="auto"/>
              <w:jc w:val="both"/>
              <w:textAlignment w:val="auto"/>
              <w:rPr>
                <w:rFonts w:ascii="宋体" w:hAnsi="宋体" w:cs="宋体"/>
                <w:szCs w:val="20"/>
                <w:lang w:val="zh-CN"/>
              </w:rPr>
            </w:pPr>
          </w:p>
        </w:tc>
        <w:tc>
          <w:tcPr>
            <w:tcW w:w="1516" w:type="dxa"/>
            <w:vAlign w:val="center"/>
          </w:tcPr>
          <w:p>
            <w:pPr>
              <w:adjustRightInd/>
              <w:spacing w:line="240" w:lineRule="auto"/>
              <w:textAlignment w:val="auto"/>
              <w:rPr>
                <w:rFonts w:ascii="宋体" w:hAnsi="宋体" w:cs="宋体"/>
                <w:szCs w:val="20"/>
                <w:lang w:val="zh-CN"/>
              </w:rPr>
            </w:pPr>
          </w:p>
        </w:tc>
        <w:tc>
          <w:tcPr>
            <w:tcW w:w="894" w:type="dxa"/>
          </w:tcPr>
          <w:p>
            <w:pPr>
              <w:adjustRightInd/>
              <w:spacing w:line="240" w:lineRule="auto"/>
              <w:jc w:val="both"/>
              <w:textAlignment w:val="auto"/>
              <w:rPr>
                <w:rFonts w:ascii="宋体" w:hAnsi="宋体" w:cs="宋体"/>
                <w:szCs w:val="20"/>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pPr>
              <w:adjustRightInd/>
              <w:spacing w:line="240" w:lineRule="auto"/>
              <w:jc w:val="center"/>
              <w:textAlignment w:val="auto"/>
              <w:rPr>
                <w:rFonts w:ascii="宋体" w:hAnsi="宋体" w:cs="宋体"/>
                <w:szCs w:val="20"/>
                <w:lang w:val="zh-CN"/>
              </w:rPr>
            </w:pPr>
            <w:r>
              <w:rPr>
                <w:rFonts w:hint="eastAsia" w:ascii="宋体" w:hAnsi="宋体" w:cs="宋体"/>
                <w:szCs w:val="20"/>
              </w:rPr>
              <w:t>四、</w:t>
            </w:r>
          </w:p>
        </w:tc>
        <w:tc>
          <w:tcPr>
            <w:tcW w:w="3200" w:type="dxa"/>
          </w:tcPr>
          <w:p>
            <w:pPr>
              <w:adjustRightInd/>
              <w:spacing w:line="240" w:lineRule="auto"/>
              <w:jc w:val="both"/>
              <w:textAlignment w:val="auto"/>
              <w:rPr>
                <w:rFonts w:ascii="宋体" w:hAnsi="宋体" w:cs="宋体"/>
                <w:szCs w:val="20"/>
                <w:lang w:val="zh-CN"/>
              </w:rPr>
            </w:pPr>
            <w:r>
              <w:rPr>
                <w:rFonts w:hint="eastAsia" w:ascii="宋体" w:hAnsi="宋体" w:cs="宋体"/>
                <w:szCs w:val="20"/>
                <w:lang w:val="zh-CN"/>
              </w:rPr>
              <w:t>技术服务</w:t>
            </w:r>
          </w:p>
        </w:tc>
        <w:tc>
          <w:tcPr>
            <w:tcW w:w="1540" w:type="dxa"/>
          </w:tcPr>
          <w:p>
            <w:pPr>
              <w:adjustRightInd/>
              <w:spacing w:line="240" w:lineRule="auto"/>
              <w:jc w:val="both"/>
              <w:textAlignment w:val="auto"/>
              <w:rPr>
                <w:rFonts w:ascii="宋体" w:hAnsi="宋体" w:cs="宋体"/>
                <w:szCs w:val="20"/>
                <w:lang w:val="zh-CN"/>
              </w:rPr>
            </w:pPr>
          </w:p>
        </w:tc>
        <w:tc>
          <w:tcPr>
            <w:tcW w:w="1388" w:type="dxa"/>
          </w:tcPr>
          <w:p>
            <w:pPr>
              <w:adjustRightInd/>
              <w:spacing w:line="240" w:lineRule="auto"/>
              <w:jc w:val="both"/>
              <w:textAlignment w:val="auto"/>
              <w:rPr>
                <w:rFonts w:ascii="宋体" w:hAnsi="宋体" w:cs="宋体"/>
                <w:szCs w:val="20"/>
                <w:lang w:val="zh-CN"/>
              </w:rPr>
            </w:pPr>
          </w:p>
        </w:tc>
        <w:tc>
          <w:tcPr>
            <w:tcW w:w="898" w:type="dxa"/>
          </w:tcPr>
          <w:p>
            <w:pPr>
              <w:adjustRightInd/>
              <w:spacing w:line="240" w:lineRule="auto"/>
              <w:jc w:val="both"/>
              <w:textAlignment w:val="auto"/>
              <w:rPr>
                <w:rFonts w:ascii="宋体" w:hAnsi="宋体" w:cs="宋体"/>
                <w:szCs w:val="20"/>
                <w:lang w:val="zh-CN"/>
              </w:rPr>
            </w:pPr>
          </w:p>
        </w:tc>
        <w:tc>
          <w:tcPr>
            <w:tcW w:w="900" w:type="dxa"/>
          </w:tcPr>
          <w:p>
            <w:pPr>
              <w:adjustRightInd/>
              <w:spacing w:line="240" w:lineRule="auto"/>
              <w:jc w:val="both"/>
              <w:textAlignment w:val="auto"/>
              <w:rPr>
                <w:rFonts w:ascii="宋体" w:hAnsi="宋体" w:cs="宋体"/>
                <w:szCs w:val="20"/>
                <w:lang w:val="zh-CN"/>
              </w:rPr>
            </w:pPr>
          </w:p>
        </w:tc>
        <w:tc>
          <w:tcPr>
            <w:tcW w:w="1619" w:type="dxa"/>
          </w:tcPr>
          <w:p>
            <w:pPr>
              <w:adjustRightInd/>
              <w:spacing w:line="240" w:lineRule="auto"/>
              <w:jc w:val="both"/>
              <w:textAlignment w:val="auto"/>
              <w:rPr>
                <w:rFonts w:ascii="宋体" w:hAnsi="宋体" w:cs="宋体"/>
                <w:szCs w:val="20"/>
                <w:lang w:val="zh-CN"/>
              </w:rPr>
            </w:pPr>
          </w:p>
        </w:tc>
        <w:tc>
          <w:tcPr>
            <w:tcW w:w="1418" w:type="dxa"/>
          </w:tcPr>
          <w:p>
            <w:pPr>
              <w:adjustRightInd/>
              <w:spacing w:line="240" w:lineRule="auto"/>
              <w:jc w:val="both"/>
              <w:textAlignment w:val="auto"/>
              <w:rPr>
                <w:rFonts w:ascii="宋体" w:hAnsi="宋体" w:cs="宋体"/>
                <w:szCs w:val="20"/>
                <w:lang w:val="zh-CN"/>
              </w:rPr>
            </w:pPr>
          </w:p>
        </w:tc>
        <w:tc>
          <w:tcPr>
            <w:tcW w:w="1516" w:type="dxa"/>
            <w:vAlign w:val="center"/>
          </w:tcPr>
          <w:p>
            <w:pPr>
              <w:adjustRightInd/>
              <w:spacing w:line="240" w:lineRule="auto"/>
              <w:textAlignment w:val="auto"/>
              <w:rPr>
                <w:rFonts w:ascii="宋体" w:hAnsi="宋体" w:cs="宋体"/>
                <w:szCs w:val="20"/>
                <w:lang w:val="zh-CN"/>
              </w:rPr>
            </w:pPr>
          </w:p>
        </w:tc>
        <w:tc>
          <w:tcPr>
            <w:tcW w:w="894" w:type="dxa"/>
          </w:tcPr>
          <w:p>
            <w:pPr>
              <w:adjustRightInd/>
              <w:spacing w:line="240" w:lineRule="auto"/>
              <w:jc w:val="both"/>
              <w:textAlignment w:val="auto"/>
              <w:rPr>
                <w:rFonts w:ascii="宋体" w:hAnsi="宋体" w:cs="宋体"/>
                <w:szCs w:val="20"/>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8" w:hRule="atLeast"/>
        </w:trPr>
        <w:tc>
          <w:tcPr>
            <w:tcW w:w="828" w:type="dxa"/>
          </w:tcPr>
          <w:p>
            <w:pPr>
              <w:adjustRightInd/>
              <w:spacing w:line="240" w:lineRule="auto"/>
              <w:jc w:val="center"/>
              <w:textAlignment w:val="auto"/>
              <w:rPr>
                <w:rFonts w:ascii="宋体" w:hAnsi="宋体" w:cs="宋体"/>
                <w:szCs w:val="20"/>
                <w:lang w:val="zh-CN"/>
              </w:rPr>
            </w:pPr>
            <w:r>
              <w:rPr>
                <w:rFonts w:hint="eastAsia" w:ascii="宋体" w:hAnsi="宋体" w:cs="宋体"/>
                <w:szCs w:val="20"/>
              </w:rPr>
              <w:t>五、</w:t>
            </w:r>
          </w:p>
        </w:tc>
        <w:tc>
          <w:tcPr>
            <w:tcW w:w="7926" w:type="dxa"/>
            <w:gridSpan w:val="5"/>
          </w:tcPr>
          <w:p>
            <w:pPr>
              <w:adjustRightInd/>
              <w:spacing w:line="240" w:lineRule="auto"/>
              <w:jc w:val="both"/>
              <w:textAlignment w:val="auto"/>
              <w:rPr>
                <w:rFonts w:ascii="宋体" w:hAnsi="宋体" w:cs="宋体"/>
                <w:szCs w:val="20"/>
                <w:lang w:val="zh-CN"/>
              </w:rPr>
            </w:pPr>
            <w:r>
              <w:rPr>
                <w:rFonts w:hint="eastAsia" w:ascii="宋体" w:hAnsi="宋体" w:cs="宋体"/>
                <w:szCs w:val="20"/>
                <w:lang w:val="zh-CN"/>
              </w:rPr>
              <w:t>至最终目的地运保费</w:t>
            </w:r>
          </w:p>
        </w:tc>
        <w:tc>
          <w:tcPr>
            <w:tcW w:w="1619" w:type="dxa"/>
          </w:tcPr>
          <w:p>
            <w:pPr>
              <w:adjustRightInd/>
              <w:spacing w:line="240" w:lineRule="auto"/>
              <w:jc w:val="both"/>
              <w:textAlignment w:val="auto"/>
              <w:rPr>
                <w:rFonts w:ascii="宋体" w:hAnsi="宋体" w:cs="宋体"/>
                <w:szCs w:val="20"/>
                <w:lang w:val="zh-CN"/>
              </w:rPr>
            </w:pPr>
          </w:p>
        </w:tc>
        <w:tc>
          <w:tcPr>
            <w:tcW w:w="1418" w:type="dxa"/>
          </w:tcPr>
          <w:p>
            <w:pPr>
              <w:adjustRightInd/>
              <w:spacing w:line="240" w:lineRule="auto"/>
              <w:jc w:val="both"/>
              <w:textAlignment w:val="auto"/>
              <w:rPr>
                <w:rFonts w:ascii="宋体" w:hAnsi="宋体" w:cs="宋体"/>
                <w:szCs w:val="20"/>
                <w:lang w:val="zh-CN"/>
              </w:rPr>
            </w:pPr>
          </w:p>
        </w:tc>
        <w:tc>
          <w:tcPr>
            <w:tcW w:w="1516" w:type="dxa"/>
            <w:vAlign w:val="center"/>
          </w:tcPr>
          <w:p>
            <w:pPr>
              <w:adjustRightInd/>
              <w:spacing w:line="240" w:lineRule="auto"/>
              <w:textAlignment w:val="auto"/>
              <w:rPr>
                <w:rFonts w:ascii="宋体" w:hAnsi="宋体" w:cs="宋体"/>
                <w:szCs w:val="20"/>
                <w:lang w:val="zh-CN"/>
              </w:rPr>
            </w:pPr>
          </w:p>
        </w:tc>
        <w:tc>
          <w:tcPr>
            <w:tcW w:w="894" w:type="dxa"/>
          </w:tcPr>
          <w:p>
            <w:pPr>
              <w:adjustRightInd/>
              <w:spacing w:line="240" w:lineRule="auto"/>
              <w:jc w:val="both"/>
              <w:textAlignment w:val="auto"/>
              <w:rPr>
                <w:rFonts w:ascii="宋体" w:hAnsi="宋体" w:cs="宋体"/>
                <w:szCs w:val="20"/>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tcPr>
          <w:p>
            <w:pPr>
              <w:adjustRightInd/>
              <w:spacing w:line="240" w:lineRule="auto"/>
              <w:jc w:val="center"/>
              <w:textAlignment w:val="auto"/>
              <w:rPr>
                <w:rFonts w:ascii="宋体" w:hAnsi="宋体" w:cs="宋体"/>
                <w:szCs w:val="20"/>
                <w:lang w:val="zh-CN"/>
              </w:rPr>
            </w:pPr>
            <w:r>
              <w:rPr>
                <w:rFonts w:hint="eastAsia" w:ascii="宋体" w:hAnsi="宋体" w:cs="宋体"/>
                <w:szCs w:val="20"/>
              </w:rPr>
              <w:t>六、</w:t>
            </w:r>
          </w:p>
        </w:tc>
        <w:tc>
          <w:tcPr>
            <w:tcW w:w="7926" w:type="dxa"/>
            <w:gridSpan w:val="5"/>
          </w:tcPr>
          <w:p>
            <w:pPr>
              <w:adjustRightInd/>
              <w:spacing w:line="240" w:lineRule="auto"/>
              <w:jc w:val="both"/>
              <w:textAlignment w:val="auto"/>
              <w:rPr>
                <w:rFonts w:ascii="宋体" w:hAnsi="宋体" w:cs="宋体"/>
                <w:szCs w:val="20"/>
                <w:lang w:val="zh-CN"/>
              </w:rPr>
            </w:pPr>
            <w:r>
              <w:rPr>
                <w:rFonts w:hint="eastAsia" w:ascii="宋体" w:hAnsi="宋体" w:cs="宋体"/>
                <w:szCs w:val="20"/>
                <w:lang w:val="zh-CN"/>
              </w:rPr>
              <w:t>其他</w:t>
            </w:r>
          </w:p>
        </w:tc>
        <w:tc>
          <w:tcPr>
            <w:tcW w:w="1619" w:type="dxa"/>
          </w:tcPr>
          <w:p>
            <w:pPr>
              <w:adjustRightInd/>
              <w:spacing w:line="240" w:lineRule="auto"/>
              <w:jc w:val="both"/>
              <w:textAlignment w:val="auto"/>
              <w:rPr>
                <w:rFonts w:ascii="宋体" w:hAnsi="宋体" w:cs="宋体"/>
                <w:szCs w:val="20"/>
                <w:lang w:val="zh-CN"/>
              </w:rPr>
            </w:pPr>
          </w:p>
        </w:tc>
        <w:tc>
          <w:tcPr>
            <w:tcW w:w="1418" w:type="dxa"/>
          </w:tcPr>
          <w:p>
            <w:pPr>
              <w:adjustRightInd/>
              <w:spacing w:line="240" w:lineRule="auto"/>
              <w:jc w:val="both"/>
              <w:textAlignment w:val="auto"/>
              <w:rPr>
                <w:rFonts w:ascii="宋体" w:hAnsi="宋体" w:cs="宋体"/>
                <w:szCs w:val="20"/>
                <w:lang w:val="zh-CN"/>
              </w:rPr>
            </w:pPr>
          </w:p>
        </w:tc>
        <w:tc>
          <w:tcPr>
            <w:tcW w:w="1516" w:type="dxa"/>
            <w:vAlign w:val="center"/>
          </w:tcPr>
          <w:p>
            <w:pPr>
              <w:adjustRightInd/>
              <w:spacing w:line="240" w:lineRule="auto"/>
              <w:textAlignment w:val="auto"/>
              <w:rPr>
                <w:rFonts w:ascii="宋体" w:hAnsi="宋体" w:cs="宋体"/>
                <w:szCs w:val="20"/>
                <w:lang w:val="zh-CN"/>
              </w:rPr>
            </w:pPr>
          </w:p>
        </w:tc>
        <w:tc>
          <w:tcPr>
            <w:tcW w:w="894" w:type="dxa"/>
          </w:tcPr>
          <w:p>
            <w:pPr>
              <w:adjustRightInd/>
              <w:spacing w:line="240" w:lineRule="auto"/>
              <w:jc w:val="both"/>
              <w:textAlignment w:val="auto"/>
              <w:rPr>
                <w:rFonts w:ascii="宋体" w:hAnsi="宋体" w:cs="宋体"/>
                <w:szCs w:val="20"/>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trPr>
        <w:tc>
          <w:tcPr>
            <w:tcW w:w="8754" w:type="dxa"/>
            <w:gridSpan w:val="6"/>
          </w:tcPr>
          <w:p>
            <w:pPr>
              <w:adjustRightInd/>
              <w:spacing w:before="156" w:line="240" w:lineRule="auto"/>
              <w:jc w:val="center"/>
              <w:textAlignment w:val="auto"/>
              <w:rPr>
                <w:rFonts w:ascii="宋体" w:hAnsi="宋体" w:cs="宋体"/>
                <w:szCs w:val="20"/>
                <w:lang w:val="zh-CN"/>
              </w:rPr>
            </w:pPr>
            <w:r>
              <w:rPr>
                <w:rFonts w:hint="eastAsia" w:ascii="宋体" w:hAnsi="宋体" w:cs="宋体"/>
                <w:szCs w:val="20"/>
                <w:lang w:val="zh-CN"/>
              </w:rPr>
              <w:t>总价（项目现场价）</w:t>
            </w:r>
          </w:p>
        </w:tc>
        <w:tc>
          <w:tcPr>
            <w:tcW w:w="5447" w:type="dxa"/>
            <w:gridSpan w:val="4"/>
            <w:vAlign w:val="center"/>
          </w:tcPr>
          <w:p>
            <w:pPr>
              <w:adjustRightInd/>
              <w:spacing w:line="240" w:lineRule="auto"/>
              <w:jc w:val="center"/>
              <w:textAlignment w:val="auto"/>
              <w:rPr>
                <w:rFonts w:ascii="宋体" w:hAnsi="宋体" w:cs="宋体"/>
                <w:szCs w:val="20"/>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trPr>
        <w:tc>
          <w:tcPr>
            <w:tcW w:w="14201" w:type="dxa"/>
            <w:gridSpan w:val="10"/>
            <w:vAlign w:val="center"/>
          </w:tcPr>
          <w:p>
            <w:pPr>
              <w:adjustRightInd/>
              <w:spacing w:line="240" w:lineRule="auto"/>
              <w:jc w:val="both"/>
              <w:textAlignment w:val="auto"/>
              <w:rPr>
                <w:rFonts w:ascii="宋体" w:hAnsi="宋体" w:cs="宋体"/>
                <w:b/>
                <w:bCs/>
                <w:szCs w:val="20"/>
              </w:rPr>
            </w:pPr>
            <w:r>
              <w:rPr>
                <w:rFonts w:hint="eastAsia" w:ascii="宋体" w:hAnsi="宋体" w:cs="宋体"/>
                <w:b/>
                <w:bCs/>
                <w:szCs w:val="20"/>
              </w:rPr>
              <w:t>开票类别：增值税专用发票。      发票货物或应税劳务名称：</w:t>
            </w:r>
            <w:r>
              <w:rPr>
                <w:rFonts w:hint="eastAsia" w:ascii="宋体" w:hAnsi="宋体" w:cs="宋体"/>
                <w:b/>
                <w:bCs/>
                <w:szCs w:val="20"/>
                <w:u w:val="single"/>
              </w:rPr>
              <w:t xml:space="preserve">             </w:t>
            </w:r>
          </w:p>
        </w:tc>
      </w:tr>
    </w:tbl>
    <w:p>
      <w:pPr>
        <w:adjustRightInd/>
        <w:spacing w:line="240" w:lineRule="auto"/>
        <w:jc w:val="both"/>
        <w:textAlignment w:val="auto"/>
        <w:rPr>
          <w:rFonts w:ascii="宋体" w:hAnsi="宋体" w:cs="宋体"/>
        </w:rPr>
      </w:pPr>
      <w:r>
        <w:rPr>
          <w:rFonts w:hint="eastAsia" w:ascii="宋体" w:hAnsi="宋体" w:cs="宋体"/>
          <w:lang w:val="zh-CN"/>
        </w:rPr>
        <w:t>注：（</w:t>
      </w:r>
      <w:r>
        <w:rPr>
          <w:rFonts w:hint="eastAsia" w:ascii="宋体" w:hAnsi="宋体" w:cs="宋体"/>
        </w:rPr>
        <w:t>1</w:t>
      </w:r>
      <w:r>
        <w:rPr>
          <w:rFonts w:hint="eastAsia" w:ascii="宋体" w:hAnsi="宋体" w:cs="宋体"/>
          <w:lang w:val="zh-CN"/>
        </w:rPr>
        <w:t>）如果按单价计算的结果与总价不一致,以单价为准修正总价。（</w:t>
      </w:r>
      <w:r>
        <w:rPr>
          <w:rFonts w:hint="eastAsia" w:ascii="宋体" w:hAnsi="宋体" w:cs="宋体"/>
        </w:rPr>
        <w:t>2</w:t>
      </w:r>
      <w:r>
        <w:rPr>
          <w:rFonts w:hint="eastAsia" w:ascii="宋体" w:hAnsi="宋体" w:cs="宋体"/>
          <w:lang w:val="zh-CN"/>
        </w:rPr>
        <w:t>）本报价中应包含投标人在执行本项目中所发生的所有费用，采购人将不再支付其他费用。（</w:t>
      </w:r>
      <w:r>
        <w:rPr>
          <w:rFonts w:hint="eastAsia" w:ascii="宋体" w:hAnsi="宋体" w:cs="宋体"/>
        </w:rPr>
        <w:t>3</w:t>
      </w:r>
      <w:r>
        <w:rPr>
          <w:rFonts w:hint="eastAsia" w:ascii="宋体" w:hAnsi="宋体" w:cs="宋体"/>
          <w:lang w:val="zh-CN"/>
        </w:rPr>
        <w:t>）</w:t>
      </w:r>
      <w:r>
        <w:rPr>
          <w:rFonts w:hint="eastAsia" w:ascii="宋体" w:hAnsi="宋体" w:cs="宋体"/>
        </w:rPr>
        <w:t>开票类别必须为增值税专用发票，务必填写发票货物或应税劳务名称。</w:t>
      </w:r>
    </w:p>
    <w:p>
      <w:pPr>
        <w:tabs>
          <w:tab w:val="left" w:pos="5580"/>
        </w:tabs>
        <w:adjustRightInd/>
        <w:spacing w:before="120" w:line="22" w:lineRule="atLeast"/>
        <w:jc w:val="both"/>
        <w:textAlignment w:val="auto"/>
        <w:rPr>
          <w:rFonts w:ascii="宋体" w:hAnsi="宋体" w:cs="宋体"/>
          <w:szCs w:val="20"/>
          <w:lang w:val="zh-CN"/>
        </w:rPr>
      </w:pPr>
      <w:r>
        <w:rPr>
          <w:rFonts w:hint="eastAsia" w:ascii="宋体" w:hAnsi="宋体" w:cs="宋体"/>
          <w:szCs w:val="20"/>
          <w:lang w:val="zh-CN"/>
        </w:rPr>
        <w:t>投标人名称（盖章）：</w:t>
      </w:r>
    </w:p>
    <w:p>
      <w:pPr>
        <w:tabs>
          <w:tab w:val="left" w:pos="5100"/>
        </w:tabs>
        <w:adjustRightInd/>
        <w:spacing w:before="120" w:line="22" w:lineRule="atLeast"/>
        <w:jc w:val="both"/>
        <w:textAlignment w:val="auto"/>
        <w:rPr>
          <w:rFonts w:ascii="宋体" w:hAnsi="宋体" w:cs="宋体"/>
          <w:szCs w:val="20"/>
          <w:lang w:val="zh-CN"/>
        </w:rPr>
      </w:pPr>
      <w:r>
        <w:rPr>
          <w:rFonts w:hint="eastAsia" w:ascii="宋体" w:hAnsi="宋体" w:cs="宋体"/>
          <w:szCs w:val="20"/>
          <w:lang w:val="zh-CN"/>
        </w:rPr>
        <w:t>投标人授权代表（签字）：</w:t>
      </w:r>
    </w:p>
    <w:p>
      <w:pPr>
        <w:tabs>
          <w:tab w:val="left" w:pos="5100"/>
        </w:tabs>
        <w:adjustRightInd/>
        <w:spacing w:before="120" w:line="22" w:lineRule="atLeast"/>
        <w:jc w:val="both"/>
        <w:textAlignment w:val="auto"/>
        <w:rPr>
          <w:rFonts w:ascii="宋体" w:hAnsi="宋体" w:cs="宋体"/>
          <w:caps/>
          <w:kern w:val="20"/>
          <w:szCs w:val="20"/>
          <w:lang w:val="zh-CN"/>
        </w:rPr>
      </w:pPr>
      <w:r>
        <w:rPr>
          <w:rFonts w:hint="eastAsia" w:ascii="宋体" w:hAnsi="宋体" w:cs="宋体"/>
          <w:caps/>
          <w:kern w:val="20"/>
          <w:szCs w:val="20"/>
          <w:lang w:val="zh-CN"/>
        </w:rPr>
        <w:t>日期：</w:t>
      </w:r>
      <w:r>
        <w:rPr>
          <w:rFonts w:hint="eastAsia" w:ascii="宋体" w:hAnsi="宋体" w:cs="宋体"/>
          <w:caps/>
          <w:kern w:val="20"/>
          <w:szCs w:val="20"/>
          <w:lang w:val="zh-CN"/>
        </w:rPr>
        <w:br w:type="page"/>
      </w:r>
    </w:p>
    <w:p>
      <w:pPr>
        <w:pStyle w:val="63"/>
        <w:adjustRightInd w:val="0"/>
        <w:snapToGrid w:val="0"/>
        <w:spacing w:line="400" w:lineRule="exact"/>
        <w:jc w:val="left"/>
        <w:rPr>
          <w:rFonts w:hAnsi="宋体" w:cs="宋体"/>
        </w:rPr>
      </w:pPr>
      <w:bookmarkStart w:id="126" w:name="_Toc27176"/>
      <w:r>
        <w:rPr>
          <w:rFonts w:hint="eastAsia" w:hAnsi="宋体" w:cs="宋体"/>
        </w:rPr>
        <w:t>★附件4：</w:t>
      </w:r>
      <w:bookmarkEnd w:id="116"/>
      <w:bookmarkEnd w:id="117"/>
      <w:bookmarkEnd w:id="118"/>
      <w:bookmarkEnd w:id="119"/>
      <w:bookmarkEnd w:id="120"/>
      <w:bookmarkEnd w:id="121"/>
      <w:bookmarkEnd w:id="122"/>
      <w:bookmarkEnd w:id="123"/>
      <w:bookmarkEnd w:id="124"/>
      <w:bookmarkEnd w:id="125"/>
      <w:bookmarkEnd w:id="126"/>
    </w:p>
    <w:p>
      <w:pPr>
        <w:snapToGrid w:val="0"/>
        <w:spacing w:line="400" w:lineRule="exact"/>
        <w:jc w:val="center"/>
        <w:rPr>
          <w:rFonts w:ascii="宋体" w:hAnsi="宋体" w:cs="宋体"/>
          <w:caps/>
          <w:sz w:val="36"/>
          <w:szCs w:val="36"/>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商务条款偏离表</w:t>
      </w:r>
    </w:p>
    <w:p>
      <w:pPr>
        <w:snapToGrid w:val="0"/>
        <w:spacing w:line="400" w:lineRule="exact"/>
        <w:rPr>
          <w:rFonts w:ascii="宋体" w:hAnsi="宋体" w:cs="宋体"/>
          <w:b/>
          <w:spacing w:val="6"/>
        </w:rPr>
      </w:pPr>
    </w:p>
    <w:p>
      <w:pPr>
        <w:snapToGrid w:val="0"/>
        <w:spacing w:line="400" w:lineRule="exact"/>
        <w:ind w:firstLine="240" w:firstLineChars="100"/>
        <w:rPr>
          <w:rFonts w:hint="eastAsia" w:ascii="宋体" w:hAnsi="宋体" w:eastAsia="宋体" w:cs="宋体"/>
          <w:lang w:eastAsia="zh-CN"/>
        </w:rPr>
      </w:pPr>
      <w:r>
        <w:rPr>
          <w:rFonts w:hint="eastAsia" w:ascii="宋体" w:hAnsi="宋体" w:cs="宋体"/>
        </w:rPr>
        <w:t>项目编号：</w:t>
      </w:r>
      <w:r>
        <w:rPr>
          <w:rFonts w:hint="eastAsia" w:ascii="宋体" w:hAnsi="宋体" w:cs="宋体"/>
          <w:lang w:eastAsia="zh-CN"/>
        </w:rPr>
        <w:t>清设招第2022849号（0873-2201HW3L0895）</w:t>
      </w:r>
    </w:p>
    <w:p>
      <w:pPr>
        <w:snapToGrid w:val="0"/>
        <w:spacing w:line="400" w:lineRule="exact"/>
        <w:ind w:firstLine="240" w:firstLineChars="100"/>
        <w:rPr>
          <w:rFonts w:ascii="宋体" w:hAnsi="宋体" w:cs="宋体"/>
        </w:rPr>
      </w:pPr>
      <w:r>
        <w:rPr>
          <w:rFonts w:hint="eastAsia" w:ascii="宋体" w:hAnsi="宋体" w:cs="宋体"/>
        </w:rPr>
        <w:t>包号：</w:t>
      </w:r>
    </w:p>
    <w:tbl>
      <w:tblPr>
        <w:tblStyle w:val="26"/>
        <w:tblW w:w="13372"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733"/>
        <w:gridCol w:w="3337"/>
        <w:gridCol w:w="3351"/>
        <w:gridCol w:w="1981"/>
        <w:gridCol w:w="197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733" w:type="dxa"/>
            <w:tcBorders>
              <w:top w:val="double" w:color="auto" w:sz="4" w:space="0"/>
            </w:tcBorders>
            <w:vAlign w:val="center"/>
          </w:tcPr>
          <w:p>
            <w:pPr>
              <w:snapToGrid w:val="0"/>
              <w:spacing w:line="400" w:lineRule="exact"/>
              <w:jc w:val="center"/>
              <w:rPr>
                <w:rFonts w:ascii="宋体" w:hAnsi="宋体" w:cs="宋体"/>
              </w:rPr>
            </w:pPr>
            <w:r>
              <w:rPr>
                <w:rFonts w:hint="eastAsia" w:ascii="宋体" w:hAnsi="宋体" w:cs="宋体"/>
              </w:rPr>
              <w:t>招标文件条目号</w:t>
            </w:r>
          </w:p>
        </w:tc>
        <w:tc>
          <w:tcPr>
            <w:tcW w:w="3337" w:type="dxa"/>
            <w:tcBorders>
              <w:top w:val="double" w:color="auto" w:sz="4" w:space="0"/>
            </w:tcBorders>
            <w:vAlign w:val="center"/>
          </w:tcPr>
          <w:p>
            <w:pPr>
              <w:snapToGrid w:val="0"/>
              <w:spacing w:line="400" w:lineRule="exact"/>
              <w:jc w:val="center"/>
              <w:rPr>
                <w:rFonts w:ascii="宋体" w:hAnsi="宋体" w:cs="宋体"/>
              </w:rPr>
            </w:pPr>
            <w:r>
              <w:rPr>
                <w:rFonts w:hint="eastAsia" w:ascii="宋体" w:hAnsi="宋体" w:cs="宋体"/>
              </w:rPr>
              <w:t>招标文件的商务条款</w:t>
            </w:r>
          </w:p>
        </w:tc>
        <w:tc>
          <w:tcPr>
            <w:tcW w:w="3351" w:type="dxa"/>
            <w:tcBorders>
              <w:top w:val="double" w:color="auto" w:sz="4" w:space="0"/>
            </w:tcBorders>
            <w:vAlign w:val="center"/>
          </w:tcPr>
          <w:p>
            <w:pPr>
              <w:snapToGrid w:val="0"/>
              <w:spacing w:line="400" w:lineRule="exact"/>
              <w:jc w:val="center"/>
              <w:rPr>
                <w:rFonts w:ascii="宋体" w:hAnsi="宋体" w:cs="宋体"/>
              </w:rPr>
            </w:pPr>
            <w:r>
              <w:rPr>
                <w:rFonts w:hint="eastAsia" w:ascii="宋体" w:hAnsi="宋体" w:cs="宋体"/>
              </w:rPr>
              <w:t>投标文件的商务条款</w:t>
            </w:r>
          </w:p>
        </w:tc>
        <w:tc>
          <w:tcPr>
            <w:tcW w:w="1981" w:type="dxa"/>
            <w:tcBorders>
              <w:top w:val="double" w:color="auto" w:sz="4" w:space="0"/>
            </w:tcBorders>
            <w:vAlign w:val="center"/>
          </w:tcPr>
          <w:p>
            <w:pPr>
              <w:snapToGrid w:val="0"/>
              <w:spacing w:line="400" w:lineRule="exact"/>
              <w:jc w:val="center"/>
              <w:rPr>
                <w:rFonts w:ascii="宋体" w:hAnsi="宋体" w:cs="宋体"/>
              </w:rPr>
            </w:pPr>
            <w:r>
              <w:rPr>
                <w:rFonts w:hint="eastAsia" w:ascii="宋体" w:hAnsi="宋体" w:cs="宋体"/>
              </w:rPr>
              <w:t>响应/偏离</w:t>
            </w:r>
          </w:p>
        </w:tc>
        <w:tc>
          <w:tcPr>
            <w:tcW w:w="1970" w:type="dxa"/>
            <w:tcBorders>
              <w:top w:val="double" w:color="auto" w:sz="4" w:space="0"/>
            </w:tcBorders>
            <w:vAlign w:val="center"/>
          </w:tcPr>
          <w:p>
            <w:pPr>
              <w:snapToGrid w:val="0"/>
              <w:spacing w:line="400" w:lineRule="exact"/>
              <w:jc w:val="center"/>
              <w:rPr>
                <w:rFonts w:ascii="宋体" w:hAnsi="宋体" w:cs="宋体"/>
              </w:rPr>
            </w:pPr>
            <w:r>
              <w:rPr>
                <w:rFonts w:hint="eastAsia" w:ascii="宋体" w:hAnsi="宋体" w:cs="宋体"/>
              </w:rPr>
              <w:t>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2733" w:type="dxa"/>
            <w:vAlign w:val="center"/>
          </w:tcPr>
          <w:p>
            <w:pPr>
              <w:snapToGrid w:val="0"/>
              <w:spacing w:line="400" w:lineRule="exact"/>
              <w:jc w:val="center"/>
              <w:rPr>
                <w:rFonts w:ascii="宋体" w:hAnsi="宋体" w:cs="宋体"/>
              </w:rPr>
            </w:pPr>
          </w:p>
        </w:tc>
        <w:tc>
          <w:tcPr>
            <w:tcW w:w="3337" w:type="dxa"/>
            <w:vAlign w:val="center"/>
          </w:tcPr>
          <w:p>
            <w:pPr>
              <w:snapToGrid w:val="0"/>
              <w:spacing w:line="400" w:lineRule="exact"/>
              <w:jc w:val="center"/>
              <w:rPr>
                <w:rFonts w:ascii="宋体" w:hAnsi="宋体" w:cs="宋体"/>
              </w:rPr>
            </w:pPr>
          </w:p>
        </w:tc>
        <w:tc>
          <w:tcPr>
            <w:tcW w:w="3351" w:type="dxa"/>
            <w:vAlign w:val="center"/>
          </w:tcPr>
          <w:p>
            <w:pPr>
              <w:snapToGrid w:val="0"/>
              <w:spacing w:line="400" w:lineRule="exact"/>
              <w:jc w:val="center"/>
              <w:rPr>
                <w:rFonts w:ascii="宋体" w:hAnsi="宋体" w:cs="宋体"/>
              </w:rPr>
            </w:pPr>
          </w:p>
        </w:tc>
        <w:tc>
          <w:tcPr>
            <w:tcW w:w="1981" w:type="dxa"/>
            <w:vAlign w:val="center"/>
          </w:tcPr>
          <w:p>
            <w:pPr>
              <w:snapToGrid w:val="0"/>
              <w:spacing w:line="400" w:lineRule="exact"/>
              <w:jc w:val="center"/>
              <w:rPr>
                <w:rFonts w:ascii="宋体" w:hAnsi="宋体" w:cs="宋体"/>
              </w:rPr>
            </w:pPr>
          </w:p>
        </w:tc>
        <w:tc>
          <w:tcPr>
            <w:tcW w:w="1970" w:type="dxa"/>
            <w:vAlign w:val="center"/>
          </w:tcPr>
          <w:p>
            <w:pPr>
              <w:snapToGrid w:val="0"/>
              <w:spacing w:line="400" w:lineRule="exact"/>
              <w:jc w:val="center"/>
              <w:rPr>
                <w:rFonts w:ascii="宋体" w:hAnsi="宋体" w:cs="宋体"/>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2733" w:type="dxa"/>
            <w:vAlign w:val="center"/>
          </w:tcPr>
          <w:p>
            <w:pPr>
              <w:snapToGrid w:val="0"/>
              <w:spacing w:line="400" w:lineRule="exact"/>
              <w:jc w:val="center"/>
              <w:rPr>
                <w:rFonts w:ascii="宋体" w:hAnsi="宋体" w:cs="宋体"/>
              </w:rPr>
            </w:pPr>
          </w:p>
        </w:tc>
        <w:tc>
          <w:tcPr>
            <w:tcW w:w="3337" w:type="dxa"/>
            <w:vAlign w:val="center"/>
          </w:tcPr>
          <w:p>
            <w:pPr>
              <w:snapToGrid w:val="0"/>
              <w:spacing w:line="400" w:lineRule="exact"/>
              <w:jc w:val="center"/>
              <w:rPr>
                <w:rFonts w:ascii="宋体" w:hAnsi="宋体" w:cs="宋体"/>
              </w:rPr>
            </w:pPr>
          </w:p>
        </w:tc>
        <w:tc>
          <w:tcPr>
            <w:tcW w:w="3351" w:type="dxa"/>
            <w:vAlign w:val="center"/>
          </w:tcPr>
          <w:p>
            <w:pPr>
              <w:snapToGrid w:val="0"/>
              <w:spacing w:line="400" w:lineRule="exact"/>
              <w:jc w:val="center"/>
              <w:rPr>
                <w:rFonts w:ascii="宋体" w:hAnsi="宋体" w:cs="宋体"/>
              </w:rPr>
            </w:pPr>
          </w:p>
        </w:tc>
        <w:tc>
          <w:tcPr>
            <w:tcW w:w="1981" w:type="dxa"/>
            <w:vAlign w:val="center"/>
          </w:tcPr>
          <w:p>
            <w:pPr>
              <w:snapToGrid w:val="0"/>
              <w:spacing w:line="400" w:lineRule="exact"/>
              <w:jc w:val="center"/>
              <w:rPr>
                <w:rFonts w:ascii="宋体" w:hAnsi="宋体" w:cs="宋体"/>
              </w:rPr>
            </w:pPr>
          </w:p>
        </w:tc>
        <w:tc>
          <w:tcPr>
            <w:tcW w:w="1970" w:type="dxa"/>
            <w:vAlign w:val="center"/>
          </w:tcPr>
          <w:p>
            <w:pPr>
              <w:snapToGrid w:val="0"/>
              <w:spacing w:line="400" w:lineRule="exact"/>
              <w:jc w:val="center"/>
              <w:rPr>
                <w:rFonts w:ascii="宋体" w:hAnsi="宋体" w:cs="宋体"/>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2733" w:type="dxa"/>
            <w:vAlign w:val="center"/>
          </w:tcPr>
          <w:p>
            <w:pPr>
              <w:snapToGrid w:val="0"/>
              <w:spacing w:line="400" w:lineRule="exact"/>
              <w:jc w:val="center"/>
              <w:rPr>
                <w:rFonts w:ascii="宋体" w:hAnsi="宋体" w:cs="宋体"/>
              </w:rPr>
            </w:pPr>
          </w:p>
        </w:tc>
        <w:tc>
          <w:tcPr>
            <w:tcW w:w="3337" w:type="dxa"/>
            <w:vAlign w:val="center"/>
          </w:tcPr>
          <w:p>
            <w:pPr>
              <w:snapToGrid w:val="0"/>
              <w:spacing w:line="400" w:lineRule="exact"/>
              <w:jc w:val="center"/>
              <w:rPr>
                <w:rFonts w:ascii="宋体" w:hAnsi="宋体" w:cs="宋体"/>
              </w:rPr>
            </w:pPr>
          </w:p>
        </w:tc>
        <w:tc>
          <w:tcPr>
            <w:tcW w:w="3351" w:type="dxa"/>
            <w:vAlign w:val="center"/>
          </w:tcPr>
          <w:p>
            <w:pPr>
              <w:snapToGrid w:val="0"/>
              <w:spacing w:line="400" w:lineRule="exact"/>
              <w:jc w:val="center"/>
              <w:rPr>
                <w:rFonts w:ascii="宋体" w:hAnsi="宋体" w:cs="宋体"/>
              </w:rPr>
            </w:pPr>
          </w:p>
        </w:tc>
        <w:tc>
          <w:tcPr>
            <w:tcW w:w="1981" w:type="dxa"/>
            <w:vAlign w:val="center"/>
          </w:tcPr>
          <w:p>
            <w:pPr>
              <w:snapToGrid w:val="0"/>
              <w:spacing w:line="400" w:lineRule="exact"/>
              <w:jc w:val="center"/>
              <w:rPr>
                <w:rFonts w:ascii="宋体" w:hAnsi="宋体" w:cs="宋体"/>
              </w:rPr>
            </w:pPr>
          </w:p>
        </w:tc>
        <w:tc>
          <w:tcPr>
            <w:tcW w:w="1970" w:type="dxa"/>
            <w:vAlign w:val="center"/>
          </w:tcPr>
          <w:p>
            <w:pPr>
              <w:snapToGrid w:val="0"/>
              <w:spacing w:line="400" w:lineRule="exact"/>
              <w:jc w:val="center"/>
              <w:rPr>
                <w:rFonts w:ascii="宋体" w:hAnsi="宋体" w:cs="宋体"/>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2733" w:type="dxa"/>
            <w:vAlign w:val="center"/>
          </w:tcPr>
          <w:p>
            <w:pPr>
              <w:snapToGrid w:val="0"/>
              <w:spacing w:line="400" w:lineRule="exact"/>
              <w:jc w:val="center"/>
              <w:rPr>
                <w:rFonts w:ascii="宋体" w:hAnsi="宋体" w:cs="宋体"/>
              </w:rPr>
            </w:pPr>
          </w:p>
        </w:tc>
        <w:tc>
          <w:tcPr>
            <w:tcW w:w="3337" w:type="dxa"/>
            <w:vAlign w:val="center"/>
          </w:tcPr>
          <w:p>
            <w:pPr>
              <w:snapToGrid w:val="0"/>
              <w:spacing w:line="400" w:lineRule="exact"/>
              <w:jc w:val="center"/>
              <w:rPr>
                <w:rFonts w:ascii="宋体" w:hAnsi="宋体" w:cs="宋体"/>
              </w:rPr>
            </w:pPr>
          </w:p>
        </w:tc>
        <w:tc>
          <w:tcPr>
            <w:tcW w:w="3351" w:type="dxa"/>
            <w:vAlign w:val="center"/>
          </w:tcPr>
          <w:p>
            <w:pPr>
              <w:snapToGrid w:val="0"/>
              <w:spacing w:line="400" w:lineRule="exact"/>
              <w:jc w:val="center"/>
              <w:rPr>
                <w:rFonts w:ascii="宋体" w:hAnsi="宋体" w:cs="宋体"/>
              </w:rPr>
            </w:pPr>
          </w:p>
        </w:tc>
        <w:tc>
          <w:tcPr>
            <w:tcW w:w="1981" w:type="dxa"/>
            <w:vAlign w:val="center"/>
          </w:tcPr>
          <w:p>
            <w:pPr>
              <w:snapToGrid w:val="0"/>
              <w:spacing w:line="400" w:lineRule="exact"/>
              <w:jc w:val="center"/>
              <w:rPr>
                <w:rFonts w:ascii="宋体" w:hAnsi="宋体" w:cs="宋体"/>
              </w:rPr>
            </w:pPr>
          </w:p>
        </w:tc>
        <w:tc>
          <w:tcPr>
            <w:tcW w:w="1970" w:type="dxa"/>
            <w:vAlign w:val="center"/>
          </w:tcPr>
          <w:p>
            <w:pPr>
              <w:snapToGrid w:val="0"/>
              <w:spacing w:line="400" w:lineRule="exact"/>
              <w:jc w:val="center"/>
              <w:rPr>
                <w:rFonts w:ascii="宋体" w:hAnsi="宋体" w:cs="宋体"/>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13372" w:type="dxa"/>
            <w:gridSpan w:val="5"/>
            <w:vAlign w:val="center"/>
          </w:tcPr>
          <w:p>
            <w:pPr>
              <w:snapToGrid w:val="0"/>
              <w:spacing w:line="400" w:lineRule="exact"/>
              <w:jc w:val="center"/>
              <w:rPr>
                <w:rFonts w:ascii="宋体" w:hAnsi="宋体" w:cs="宋体"/>
              </w:rPr>
            </w:pPr>
            <w:r>
              <w:rPr>
                <w:rFonts w:hint="eastAsia" w:ascii="宋体" w:hAnsi="宋体" w:cs="宋体"/>
              </w:rPr>
              <w:t>所有商务条款都满足。</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3" w:hRule="atLeast"/>
          <w:jc w:val="center"/>
        </w:trPr>
        <w:tc>
          <w:tcPr>
            <w:tcW w:w="2733" w:type="dxa"/>
            <w:tcBorders>
              <w:bottom w:val="double" w:color="auto" w:sz="4" w:space="0"/>
            </w:tcBorders>
            <w:vAlign w:val="center"/>
          </w:tcPr>
          <w:p>
            <w:pPr>
              <w:snapToGrid w:val="0"/>
              <w:spacing w:line="400" w:lineRule="exact"/>
              <w:jc w:val="center"/>
              <w:rPr>
                <w:rFonts w:ascii="宋体" w:hAnsi="宋体" w:cs="宋体"/>
              </w:rPr>
            </w:pPr>
          </w:p>
        </w:tc>
        <w:tc>
          <w:tcPr>
            <w:tcW w:w="3337" w:type="dxa"/>
            <w:tcBorders>
              <w:bottom w:val="double" w:color="auto" w:sz="4" w:space="0"/>
            </w:tcBorders>
            <w:vAlign w:val="center"/>
          </w:tcPr>
          <w:p>
            <w:pPr>
              <w:snapToGrid w:val="0"/>
              <w:spacing w:line="400" w:lineRule="exact"/>
              <w:jc w:val="center"/>
              <w:rPr>
                <w:rFonts w:ascii="宋体" w:hAnsi="宋体" w:cs="宋体"/>
              </w:rPr>
            </w:pPr>
          </w:p>
        </w:tc>
        <w:tc>
          <w:tcPr>
            <w:tcW w:w="3351" w:type="dxa"/>
            <w:tcBorders>
              <w:bottom w:val="double" w:color="auto" w:sz="4" w:space="0"/>
            </w:tcBorders>
            <w:vAlign w:val="center"/>
          </w:tcPr>
          <w:p>
            <w:pPr>
              <w:snapToGrid w:val="0"/>
              <w:spacing w:line="400" w:lineRule="exact"/>
              <w:jc w:val="center"/>
              <w:rPr>
                <w:rFonts w:ascii="宋体" w:hAnsi="宋体" w:cs="宋体"/>
              </w:rPr>
            </w:pPr>
          </w:p>
        </w:tc>
        <w:tc>
          <w:tcPr>
            <w:tcW w:w="1981" w:type="dxa"/>
            <w:tcBorders>
              <w:bottom w:val="double" w:color="auto" w:sz="4" w:space="0"/>
            </w:tcBorders>
            <w:vAlign w:val="center"/>
          </w:tcPr>
          <w:p>
            <w:pPr>
              <w:snapToGrid w:val="0"/>
              <w:spacing w:line="400" w:lineRule="exact"/>
              <w:jc w:val="center"/>
              <w:rPr>
                <w:rFonts w:ascii="宋体" w:hAnsi="宋体" w:cs="宋体"/>
              </w:rPr>
            </w:pPr>
          </w:p>
        </w:tc>
        <w:tc>
          <w:tcPr>
            <w:tcW w:w="1970" w:type="dxa"/>
            <w:tcBorders>
              <w:bottom w:val="double" w:color="auto" w:sz="4" w:space="0"/>
            </w:tcBorders>
            <w:vAlign w:val="center"/>
          </w:tcPr>
          <w:p>
            <w:pPr>
              <w:snapToGrid w:val="0"/>
              <w:spacing w:line="400" w:lineRule="exact"/>
              <w:jc w:val="center"/>
              <w:rPr>
                <w:rFonts w:ascii="宋体" w:hAnsi="宋体" w:cs="宋体"/>
              </w:rPr>
            </w:pPr>
          </w:p>
        </w:tc>
      </w:tr>
    </w:tbl>
    <w:p>
      <w:pPr>
        <w:snapToGrid w:val="0"/>
        <w:spacing w:line="400" w:lineRule="exact"/>
        <w:ind w:left="707" w:leftChars="100" w:hanging="467" w:hangingChars="194"/>
        <w:rPr>
          <w:rFonts w:ascii="宋体" w:hAnsi="宋体" w:cs="宋体"/>
          <w:b/>
        </w:rPr>
      </w:pPr>
      <w:bookmarkStart w:id="127" w:name="_Toc469484220"/>
      <w:bookmarkStart w:id="128" w:name="_Toc477185307"/>
      <w:r>
        <w:rPr>
          <w:rFonts w:hint="eastAsia" w:ascii="宋体" w:hAnsi="宋体" w:cs="宋体"/>
          <w:b/>
        </w:rPr>
        <w:t>注：投标人如对包括交货期/工期、质保期、付款方式、合同等商务条款的响应有任何偏离，请在本表中详细填写；如不列出，则视为投标人完全同意招标文件的商务条</w:t>
      </w:r>
      <w:bookmarkEnd w:id="127"/>
      <w:r>
        <w:rPr>
          <w:rFonts w:hint="eastAsia" w:ascii="宋体" w:hAnsi="宋体" w:cs="宋体"/>
          <w:b/>
        </w:rPr>
        <w:t>款。</w:t>
      </w:r>
      <w:bookmarkEnd w:id="128"/>
    </w:p>
    <w:p>
      <w:pPr>
        <w:snapToGrid w:val="0"/>
        <w:spacing w:line="400" w:lineRule="exact"/>
        <w:rPr>
          <w:rFonts w:ascii="宋体" w:hAnsi="宋体" w:cs="宋体"/>
        </w:rPr>
      </w:pPr>
    </w:p>
    <w:p>
      <w:pPr>
        <w:snapToGrid w:val="0"/>
        <w:spacing w:line="400" w:lineRule="exact"/>
        <w:ind w:firstLine="240" w:firstLineChars="100"/>
        <w:rPr>
          <w:rFonts w:ascii="宋体" w:hAnsi="宋体" w:cs="宋体"/>
        </w:rPr>
      </w:pPr>
      <w:r>
        <w:rPr>
          <w:rFonts w:hint="eastAsia" w:ascii="宋体" w:hAnsi="宋体" w:cs="宋体"/>
        </w:rPr>
        <w:t>投标人名称(盖公章)：</w:t>
      </w:r>
      <w:bookmarkStart w:id="129" w:name="_Toc469484221"/>
    </w:p>
    <w:p>
      <w:pPr>
        <w:snapToGrid w:val="0"/>
        <w:spacing w:line="400" w:lineRule="exact"/>
        <w:ind w:firstLine="240" w:firstLineChars="100"/>
        <w:rPr>
          <w:rFonts w:ascii="宋体" w:hAnsi="宋体" w:cs="宋体"/>
        </w:rPr>
      </w:pPr>
      <w:bookmarkStart w:id="130" w:name="_Toc477185308"/>
      <w:r>
        <w:rPr>
          <w:rFonts w:hint="eastAsia" w:ascii="宋体" w:hAnsi="宋体" w:cs="宋体"/>
        </w:rPr>
        <w:t>法定代表人或投标人代表签</w:t>
      </w:r>
      <w:bookmarkEnd w:id="129"/>
      <w:r>
        <w:rPr>
          <w:rFonts w:hint="eastAsia" w:ascii="宋体" w:hAnsi="宋体" w:cs="宋体"/>
        </w:rPr>
        <w:t>字：</w:t>
      </w:r>
      <w:bookmarkEnd w:id="130"/>
    </w:p>
    <w:p>
      <w:pPr>
        <w:snapToGrid w:val="0"/>
        <w:spacing w:line="400" w:lineRule="exact"/>
        <w:ind w:left="707" w:leftChars="100" w:hanging="467" w:hangingChars="194"/>
        <w:rPr>
          <w:rFonts w:ascii="宋体" w:hAnsi="宋体" w:cs="宋体"/>
          <w:u w:val="single"/>
        </w:rPr>
      </w:pPr>
      <w:bookmarkStart w:id="131" w:name="_Toc477185309"/>
      <w:r>
        <w:rPr>
          <w:rFonts w:hint="eastAsia" w:ascii="宋体" w:hAnsi="宋体" w:cs="宋体"/>
          <w:b/>
        </w:rPr>
        <w:t>日期</w:t>
      </w:r>
      <w:r>
        <w:rPr>
          <w:rFonts w:hint="eastAsia" w:ascii="宋体" w:hAnsi="宋体" w:cs="宋体"/>
        </w:rPr>
        <w:t>：</w:t>
      </w:r>
      <w:bookmarkEnd w:id="131"/>
    </w:p>
    <w:p>
      <w:pPr>
        <w:pStyle w:val="63"/>
        <w:adjustRightInd w:val="0"/>
        <w:snapToGrid w:val="0"/>
        <w:spacing w:line="400" w:lineRule="exact"/>
        <w:jc w:val="left"/>
        <w:rPr>
          <w:rFonts w:hAnsi="宋体" w:cs="宋体"/>
        </w:rPr>
        <w:sectPr>
          <w:pgSz w:w="16838" w:h="11906" w:orient="landscape"/>
          <w:pgMar w:top="1317" w:right="1440" w:bottom="1469" w:left="1440" w:header="851" w:footer="992" w:gutter="0"/>
          <w:cols w:space="425" w:num="1"/>
          <w:docGrid w:linePitch="326" w:charSpace="0"/>
        </w:sectPr>
      </w:pPr>
    </w:p>
    <w:p>
      <w:pPr>
        <w:pStyle w:val="63"/>
        <w:adjustRightInd w:val="0"/>
        <w:snapToGrid w:val="0"/>
        <w:spacing w:line="400" w:lineRule="exact"/>
        <w:jc w:val="left"/>
        <w:rPr>
          <w:rFonts w:hAnsi="宋体" w:cs="宋体"/>
        </w:rPr>
      </w:pPr>
      <w:bookmarkStart w:id="132" w:name="_Toc86156782"/>
      <w:bookmarkStart w:id="133" w:name="_Toc95326686"/>
      <w:bookmarkStart w:id="134" w:name="_Toc477185310"/>
      <w:bookmarkStart w:id="135" w:name="_Toc24908"/>
      <w:bookmarkStart w:id="136" w:name="_Toc1490"/>
      <w:bookmarkStart w:id="137" w:name="_Toc6490"/>
      <w:bookmarkStart w:id="138" w:name="_Toc15067"/>
      <w:bookmarkStart w:id="139" w:name="_Toc9521"/>
      <w:bookmarkStart w:id="140" w:name="_Toc5140"/>
      <w:bookmarkStart w:id="141" w:name="_Toc9718"/>
      <w:bookmarkStart w:id="142" w:name="_Toc13216"/>
      <w:r>
        <w:rPr>
          <w:rFonts w:hint="eastAsia" w:hAnsi="宋体" w:cs="宋体"/>
        </w:rPr>
        <w:t>★附件5：</w:t>
      </w:r>
      <w:bookmarkEnd w:id="132"/>
      <w:bookmarkEnd w:id="133"/>
      <w:bookmarkEnd w:id="134"/>
      <w:bookmarkEnd w:id="135"/>
      <w:bookmarkEnd w:id="136"/>
      <w:bookmarkEnd w:id="137"/>
      <w:bookmarkEnd w:id="138"/>
      <w:bookmarkEnd w:id="139"/>
      <w:bookmarkEnd w:id="140"/>
      <w:bookmarkEnd w:id="141"/>
      <w:bookmarkEnd w:id="142"/>
    </w:p>
    <w:p>
      <w:pPr>
        <w:snapToGrid w:val="0"/>
        <w:spacing w:line="400" w:lineRule="exact"/>
        <w:jc w:val="center"/>
        <w:rPr>
          <w:rFonts w:ascii="宋体" w:hAnsi="宋体" w:cs="宋体"/>
          <w:caps/>
          <w:sz w:val="32"/>
          <w:szCs w:val="32"/>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资格证明文件</w:t>
      </w:r>
    </w:p>
    <w:p>
      <w:pPr>
        <w:pStyle w:val="41"/>
        <w:adjustRightInd w:val="0"/>
        <w:snapToGrid w:val="0"/>
        <w:spacing w:before="0" w:after="0" w:line="400" w:lineRule="exact"/>
        <w:ind w:firstLine="1077" w:firstLineChars="449"/>
        <w:jc w:val="both"/>
        <w:rPr>
          <w:rFonts w:ascii="宋体" w:hAnsi="宋体" w:eastAsia="宋体" w:cs="宋体"/>
          <w:color w:val="auto"/>
          <w:sz w:val="24"/>
          <w:szCs w:val="24"/>
        </w:rPr>
      </w:pPr>
    </w:p>
    <w:p>
      <w:pPr>
        <w:widowControl/>
        <w:snapToGrid w:val="0"/>
        <w:spacing w:line="400" w:lineRule="exact"/>
        <w:textAlignment w:val="auto"/>
        <w:rPr>
          <w:rFonts w:ascii="宋体" w:hAnsi="宋体" w:cs="宋体"/>
          <w:kern w:val="20"/>
          <w:lang w:val="zh-CN"/>
        </w:rPr>
      </w:pPr>
      <w:r>
        <w:rPr>
          <w:rFonts w:hint="eastAsia" w:ascii="宋体" w:hAnsi="宋体" w:cs="宋体"/>
          <w:kern w:val="20"/>
          <w:lang w:val="zh-CN"/>
        </w:rPr>
        <w:t>★5－1 法定代表人授权委托书</w:t>
      </w:r>
    </w:p>
    <w:p>
      <w:pPr>
        <w:widowControl/>
        <w:snapToGrid w:val="0"/>
        <w:spacing w:line="400" w:lineRule="exact"/>
        <w:textAlignment w:val="auto"/>
        <w:rPr>
          <w:rFonts w:ascii="宋体" w:hAnsi="宋体" w:cs="宋体"/>
        </w:rPr>
      </w:pPr>
      <w:r>
        <w:rPr>
          <w:rFonts w:hint="eastAsia" w:ascii="宋体" w:hAnsi="宋体" w:cs="宋体"/>
          <w:kern w:val="20"/>
          <w:lang w:val="zh-CN"/>
        </w:rPr>
        <w:t xml:space="preserve">★5－2 </w:t>
      </w:r>
      <w:r>
        <w:rPr>
          <w:rFonts w:hint="eastAsia" w:ascii="宋体" w:hAnsi="宋体" w:cs="宋体"/>
        </w:rPr>
        <w:t>独立承担民事责任的能力证明材料</w:t>
      </w:r>
    </w:p>
    <w:p>
      <w:pPr>
        <w:autoSpaceDE w:val="0"/>
        <w:autoSpaceDN w:val="0"/>
        <w:snapToGrid w:val="0"/>
        <w:spacing w:line="380" w:lineRule="exact"/>
        <w:jc w:val="both"/>
        <w:rPr>
          <w:rFonts w:ascii="宋体" w:hAnsi="宋体" w:cs="宋体"/>
        </w:rPr>
      </w:pPr>
      <w:r>
        <w:rPr>
          <w:rFonts w:hint="eastAsia" w:ascii="宋体" w:hAnsi="宋体" w:cs="宋体"/>
          <w:kern w:val="20"/>
          <w:lang w:val="zh-CN"/>
        </w:rPr>
        <w:t xml:space="preserve">★5－3 </w:t>
      </w:r>
      <w:r>
        <w:rPr>
          <w:rFonts w:hint="eastAsia" w:ascii="宋体" w:hAnsi="宋体" w:cs="宋体"/>
        </w:rPr>
        <w:t>财务状况报告</w:t>
      </w:r>
    </w:p>
    <w:p>
      <w:pPr>
        <w:widowControl/>
        <w:snapToGrid w:val="0"/>
        <w:spacing w:line="400" w:lineRule="exact"/>
        <w:textAlignment w:val="auto"/>
        <w:rPr>
          <w:rFonts w:ascii="宋体" w:hAnsi="宋体" w:cs="宋体"/>
          <w:kern w:val="20"/>
          <w:lang w:val="zh-CN"/>
        </w:rPr>
      </w:pPr>
      <w:r>
        <w:rPr>
          <w:rFonts w:hint="eastAsia" w:ascii="宋体" w:hAnsi="宋体" w:cs="宋体"/>
          <w:kern w:val="20"/>
          <w:lang w:val="zh-CN"/>
        </w:rPr>
        <w:t xml:space="preserve">★5－4 </w:t>
      </w:r>
      <w:r>
        <w:rPr>
          <w:rFonts w:hint="eastAsia" w:ascii="宋体" w:hAnsi="宋体" w:cs="宋体"/>
        </w:rPr>
        <w:t>履行合同所必需的设备和专业技术能力的声明</w:t>
      </w:r>
    </w:p>
    <w:p>
      <w:pPr>
        <w:autoSpaceDE w:val="0"/>
        <w:autoSpaceDN w:val="0"/>
        <w:snapToGrid w:val="0"/>
        <w:spacing w:line="380" w:lineRule="exact"/>
        <w:jc w:val="both"/>
        <w:rPr>
          <w:rFonts w:ascii="宋体" w:hAnsi="宋体" w:cs="宋体"/>
        </w:rPr>
      </w:pPr>
      <w:r>
        <w:rPr>
          <w:rFonts w:hint="eastAsia" w:ascii="宋体" w:hAnsi="宋体" w:cs="宋体"/>
          <w:kern w:val="20"/>
          <w:lang w:val="zh-CN"/>
        </w:rPr>
        <w:t xml:space="preserve">★5－5 </w:t>
      </w:r>
      <w:r>
        <w:rPr>
          <w:rFonts w:hint="eastAsia" w:ascii="宋体" w:hAnsi="宋体" w:cs="宋体"/>
        </w:rPr>
        <w:t>依法缴纳税收和社会保障资金的良好记录证明材料</w:t>
      </w:r>
    </w:p>
    <w:p>
      <w:pPr>
        <w:widowControl/>
        <w:snapToGrid w:val="0"/>
        <w:spacing w:line="400" w:lineRule="exact"/>
        <w:textAlignment w:val="auto"/>
        <w:rPr>
          <w:rFonts w:ascii="宋体" w:hAnsi="宋体" w:cs="宋体"/>
          <w:kern w:val="20"/>
          <w:lang w:val="zh-CN"/>
        </w:rPr>
      </w:pPr>
      <w:r>
        <w:rPr>
          <w:rFonts w:hint="eastAsia" w:ascii="宋体" w:hAnsi="宋体" w:cs="宋体"/>
          <w:kern w:val="20"/>
          <w:lang w:val="zh-CN"/>
        </w:rPr>
        <w:t>★5－6 合法经营活动声明</w:t>
      </w:r>
    </w:p>
    <w:p>
      <w:pPr>
        <w:widowControl/>
        <w:snapToGrid w:val="0"/>
        <w:spacing w:line="400" w:lineRule="exact"/>
        <w:textAlignment w:val="auto"/>
        <w:rPr>
          <w:rFonts w:ascii="宋体" w:hAnsi="宋体" w:cs="宋体"/>
          <w:kern w:val="20"/>
          <w:lang w:val="zh-CN"/>
        </w:rPr>
      </w:pPr>
      <w:r>
        <w:rPr>
          <w:rFonts w:hint="eastAsia" w:ascii="宋体" w:hAnsi="宋体" w:cs="宋体"/>
          <w:kern w:val="20"/>
          <w:lang w:val="zh-CN"/>
        </w:rPr>
        <w:t>5－7 招标文件要求或投标人认为必要的其他内容</w:t>
      </w:r>
    </w:p>
    <w:p>
      <w:pPr>
        <w:widowControl/>
        <w:snapToGrid w:val="0"/>
        <w:spacing w:line="400" w:lineRule="exact"/>
        <w:textAlignment w:val="auto"/>
        <w:rPr>
          <w:rFonts w:ascii="宋体" w:hAnsi="宋体" w:cs="宋体"/>
          <w:kern w:val="20"/>
          <w:lang w:val="zh-CN"/>
        </w:rPr>
      </w:pPr>
      <w:r>
        <w:rPr>
          <w:rFonts w:hint="eastAsia" w:ascii="宋体" w:hAnsi="宋体" w:cs="宋体"/>
          <w:kern w:val="20"/>
          <w:lang w:val="zh-CN"/>
        </w:rPr>
        <w:t>★5－8 ﻿是否为本项目提供整体设计、规范编制或者项目管理、监理、检测等服务的供应商的书面声明（格式自拟、原件加盖公章）</w:t>
      </w:r>
    </w:p>
    <w:p>
      <w:pPr>
        <w:widowControl/>
        <w:snapToGrid w:val="0"/>
        <w:spacing w:line="400" w:lineRule="exact"/>
        <w:textAlignment w:val="auto"/>
        <w:rPr>
          <w:rFonts w:ascii="宋体" w:hAnsi="宋体" w:cs="宋体"/>
          <w:kern w:val="20"/>
          <w:lang w:val="zh-CN"/>
        </w:rPr>
      </w:pPr>
      <w:r>
        <w:rPr>
          <w:rFonts w:hint="eastAsia" w:ascii="宋体" w:hAnsi="宋体" w:cs="宋体"/>
          <w:kern w:val="20"/>
          <w:lang w:val="zh-CN"/>
        </w:rPr>
        <w:t>★5－9供应商控股股东名称、控股公司的名称和存在管理、被管理关系的单位名称说明（格式自拟，原件加盖公章）</w:t>
      </w:r>
    </w:p>
    <w:p>
      <w:pPr>
        <w:widowControl/>
        <w:snapToGrid w:val="0"/>
        <w:spacing w:line="400" w:lineRule="exact"/>
        <w:rPr>
          <w:rFonts w:ascii="宋体" w:hAnsi="宋体" w:cs="宋体"/>
          <w:kern w:val="20"/>
        </w:rPr>
      </w:pPr>
      <w:r>
        <w:rPr>
          <w:rFonts w:hint="eastAsia" w:ascii="宋体" w:hAnsi="宋体" w:cs="宋体"/>
          <w:kern w:val="20"/>
          <w:lang w:val="zh-CN"/>
        </w:rPr>
        <w:t>5-10</w:t>
      </w:r>
      <w:r>
        <w:rPr>
          <w:rFonts w:hint="eastAsia" w:ascii="宋体" w:hAnsi="宋体" w:cs="宋体"/>
          <w:kern w:val="20"/>
        </w:rPr>
        <w:t xml:space="preserve"> 中小企业声明函</w:t>
      </w:r>
    </w:p>
    <w:p>
      <w:pPr>
        <w:widowControl/>
        <w:snapToGrid w:val="0"/>
        <w:spacing w:line="400" w:lineRule="exact"/>
        <w:rPr>
          <w:rFonts w:ascii="宋体" w:hAnsi="宋体" w:cs="宋体"/>
          <w:kern w:val="20"/>
        </w:rPr>
      </w:pPr>
      <w:r>
        <w:rPr>
          <w:rFonts w:hint="eastAsia" w:ascii="宋体" w:hAnsi="宋体" w:cs="宋体"/>
          <w:kern w:val="20"/>
        </w:rPr>
        <w:t>5-11 残疾人福利性单位声明函</w:t>
      </w:r>
    </w:p>
    <w:p>
      <w:pPr>
        <w:widowControl/>
        <w:snapToGrid w:val="0"/>
        <w:spacing w:line="400" w:lineRule="exact"/>
        <w:textAlignment w:val="auto"/>
        <w:rPr>
          <w:rFonts w:ascii="宋体" w:hAnsi="宋体" w:cs="宋体"/>
          <w:kern w:val="20"/>
          <w:lang w:val="zh-CN"/>
        </w:rPr>
      </w:pPr>
    </w:p>
    <w:p>
      <w:pPr>
        <w:widowControl/>
        <w:snapToGrid w:val="0"/>
        <w:spacing w:line="400" w:lineRule="exact"/>
        <w:jc w:val="both"/>
        <w:textAlignment w:val="auto"/>
        <w:outlineLvl w:val="0"/>
        <w:rPr>
          <w:rFonts w:ascii="宋体" w:hAnsi="宋体" w:cs="宋体"/>
        </w:rPr>
      </w:pPr>
      <w:r>
        <w:rPr>
          <w:rFonts w:hint="eastAsia" w:ascii="宋体" w:hAnsi="宋体" w:cs="宋体"/>
        </w:rPr>
        <w:br w:type="page"/>
      </w:r>
      <w:bookmarkStart w:id="143" w:name="_Toc22528"/>
      <w:bookmarkStart w:id="144" w:name="_Toc86156783"/>
      <w:bookmarkStart w:id="145" w:name="_Toc8378"/>
      <w:bookmarkStart w:id="146" w:name="_Toc20175"/>
      <w:bookmarkStart w:id="147" w:name="_Toc95326687"/>
      <w:bookmarkStart w:id="148" w:name="_Toc14950"/>
      <w:bookmarkStart w:id="149" w:name="_Toc22546"/>
      <w:bookmarkStart w:id="150" w:name="_Toc3840"/>
      <w:bookmarkStart w:id="151" w:name="_Toc12806"/>
      <w:bookmarkStart w:id="152" w:name="_Toc8390"/>
      <w:r>
        <w:rPr>
          <w:rFonts w:hint="eastAsia" w:ascii="宋体" w:hAnsi="宋体" w:cs="宋体"/>
        </w:rPr>
        <w:t>★附件5-1：</w:t>
      </w:r>
      <w:bookmarkEnd w:id="143"/>
      <w:bookmarkEnd w:id="144"/>
      <w:bookmarkEnd w:id="145"/>
      <w:bookmarkEnd w:id="146"/>
      <w:bookmarkEnd w:id="147"/>
      <w:bookmarkEnd w:id="148"/>
      <w:bookmarkEnd w:id="149"/>
      <w:bookmarkEnd w:id="150"/>
      <w:bookmarkEnd w:id="151"/>
      <w:bookmarkEnd w:id="152"/>
    </w:p>
    <w:p>
      <w:pPr>
        <w:snapToGrid w:val="0"/>
        <w:spacing w:line="400" w:lineRule="exact"/>
        <w:ind w:left="-32" w:leftChars="-100" w:hanging="208" w:hangingChars="87"/>
        <w:rPr>
          <w:rFonts w:ascii="宋体" w:hAnsi="宋体" w:cs="宋体"/>
          <w:szCs w:val="21"/>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法定代表人授权委托书</w:t>
      </w:r>
    </w:p>
    <w:p>
      <w:pPr>
        <w:snapToGrid w:val="0"/>
        <w:spacing w:line="400" w:lineRule="exact"/>
        <w:jc w:val="both"/>
        <w:rPr>
          <w:rFonts w:ascii="宋体" w:hAnsi="宋体" w:cs="宋体"/>
          <w:u w:val="single"/>
        </w:rPr>
      </w:pPr>
    </w:p>
    <w:p>
      <w:pPr>
        <w:snapToGrid w:val="0"/>
        <w:spacing w:line="400" w:lineRule="exact"/>
        <w:jc w:val="both"/>
        <w:rPr>
          <w:rFonts w:ascii="宋体" w:hAnsi="宋体" w:cs="宋体"/>
        </w:rPr>
      </w:pPr>
      <w:r>
        <w:rPr>
          <w:rFonts w:hint="eastAsia" w:ascii="宋体" w:hAnsi="宋体" w:cs="宋体"/>
          <w:u w:val="single"/>
        </w:rPr>
        <w:t>（北京中教仪国际招标代理有限公司）</w:t>
      </w:r>
      <w:r>
        <w:rPr>
          <w:rFonts w:hint="eastAsia" w:ascii="宋体" w:hAnsi="宋体" w:cs="宋体"/>
        </w:rPr>
        <w:t>：</w:t>
      </w:r>
    </w:p>
    <w:p>
      <w:pPr>
        <w:snapToGrid w:val="0"/>
        <w:spacing w:line="400" w:lineRule="exact"/>
        <w:jc w:val="both"/>
        <w:rPr>
          <w:rFonts w:ascii="宋体" w:hAnsi="宋体" w:cs="宋体"/>
        </w:rPr>
      </w:pPr>
    </w:p>
    <w:p>
      <w:pPr>
        <w:snapToGrid w:val="0"/>
        <w:spacing w:line="400" w:lineRule="exact"/>
        <w:ind w:firstLine="480" w:firstLineChars="200"/>
        <w:jc w:val="both"/>
        <w:rPr>
          <w:rFonts w:ascii="宋体" w:hAnsi="宋体" w:cs="宋体"/>
        </w:rPr>
      </w:pPr>
      <w:r>
        <w:rPr>
          <w:rFonts w:hint="eastAsia" w:ascii="宋体" w:hAnsi="宋体" w:cs="宋体"/>
        </w:rPr>
        <w:t>本授权书声明：注册于</w:t>
      </w:r>
      <w:r>
        <w:rPr>
          <w:rFonts w:hint="eastAsia" w:ascii="宋体" w:hAnsi="宋体" w:cs="宋体"/>
          <w:u w:val="single"/>
        </w:rPr>
        <w:t>（填写投标人地址）</w:t>
      </w:r>
      <w:r>
        <w:rPr>
          <w:rFonts w:hint="eastAsia" w:ascii="宋体" w:hAnsi="宋体" w:cs="宋体"/>
        </w:rPr>
        <w:t>的</w:t>
      </w:r>
      <w:r>
        <w:rPr>
          <w:rFonts w:hint="eastAsia" w:ascii="宋体" w:hAnsi="宋体" w:cs="宋体"/>
          <w:u w:val="single"/>
        </w:rPr>
        <w:t>（填写投标人名称）</w:t>
      </w:r>
      <w:r>
        <w:rPr>
          <w:rFonts w:hint="eastAsia" w:ascii="宋体" w:hAnsi="宋体" w:cs="宋体"/>
        </w:rPr>
        <w:t>法定代表人</w:t>
      </w:r>
      <w:r>
        <w:rPr>
          <w:rFonts w:hint="eastAsia" w:ascii="宋体" w:hAnsi="宋体" w:cs="宋体"/>
          <w:u w:val="single"/>
        </w:rPr>
        <w:t>（填写法定代表人姓名、职务或职称）</w:t>
      </w:r>
      <w:r>
        <w:rPr>
          <w:rFonts w:hint="eastAsia" w:ascii="宋体" w:hAnsi="宋体" w:cs="宋体"/>
        </w:rPr>
        <w:t>代表本公司授权在下面签字的</w:t>
      </w:r>
      <w:r>
        <w:rPr>
          <w:rFonts w:hint="eastAsia" w:ascii="宋体" w:hAnsi="宋体" w:cs="宋体"/>
          <w:u w:val="single"/>
        </w:rPr>
        <w:t>（填写投标人代表姓名、职务或职称）</w:t>
      </w:r>
      <w:r>
        <w:rPr>
          <w:rFonts w:hint="eastAsia" w:ascii="宋体" w:hAnsi="宋体" w:cs="宋体"/>
        </w:rPr>
        <w:t>为本公司的合法代理人，就贵方组织的</w:t>
      </w:r>
      <w:r>
        <w:rPr>
          <w:rFonts w:hint="eastAsia" w:ascii="宋体" w:hAnsi="宋体" w:cs="宋体"/>
          <w:u w:val="single"/>
        </w:rPr>
        <w:t>（填写项目名称）（填写项目编号）</w:t>
      </w:r>
      <w:r>
        <w:rPr>
          <w:rFonts w:hint="eastAsia" w:ascii="宋体" w:hAnsi="宋体" w:cs="宋体"/>
        </w:rPr>
        <w:t>，以本公司名义处理一切与之有关的事务。</w:t>
      </w:r>
    </w:p>
    <w:p>
      <w:pPr>
        <w:snapToGrid w:val="0"/>
        <w:spacing w:line="400" w:lineRule="exact"/>
        <w:ind w:firstLine="480" w:firstLineChars="200"/>
        <w:jc w:val="both"/>
        <w:rPr>
          <w:rFonts w:ascii="宋体" w:hAnsi="宋体" w:cs="宋体"/>
        </w:rPr>
      </w:pPr>
      <w:r>
        <w:rPr>
          <w:rFonts w:hint="eastAsia" w:ascii="宋体" w:hAnsi="宋体" w:cs="宋体"/>
        </w:rPr>
        <w:t>本授权书于</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日签字生效，特此声明。</w:t>
      </w:r>
    </w:p>
    <w:p>
      <w:pPr>
        <w:snapToGrid w:val="0"/>
        <w:spacing w:line="400" w:lineRule="exact"/>
        <w:jc w:val="both"/>
        <w:rPr>
          <w:rFonts w:ascii="宋体" w:hAnsi="宋体" w:cs="宋体"/>
        </w:rPr>
      </w:pPr>
    </w:p>
    <w:p>
      <w:pPr>
        <w:snapToGrid w:val="0"/>
        <w:spacing w:line="400" w:lineRule="exact"/>
        <w:jc w:val="both"/>
        <w:rPr>
          <w:rFonts w:ascii="宋体" w:hAnsi="宋体" w:cs="宋体"/>
        </w:rPr>
      </w:pPr>
    </w:p>
    <w:p>
      <w:pPr>
        <w:snapToGrid w:val="0"/>
        <w:spacing w:line="400" w:lineRule="exact"/>
        <w:ind w:firstLine="480" w:firstLineChars="200"/>
        <w:rPr>
          <w:rFonts w:ascii="宋体" w:hAnsi="宋体" w:cs="宋体"/>
          <w:szCs w:val="21"/>
        </w:rPr>
      </w:pPr>
      <w:r>
        <w:rPr>
          <w:rFonts w:hint="eastAsia" w:ascii="宋体" w:hAnsi="宋体" w:cs="宋体"/>
          <w:szCs w:val="21"/>
        </w:rPr>
        <w:t>法定代表人签字：</w:t>
      </w:r>
    </w:p>
    <w:p>
      <w:pPr>
        <w:snapToGrid w:val="0"/>
        <w:spacing w:line="400" w:lineRule="exact"/>
        <w:ind w:firstLine="480" w:firstLineChars="200"/>
        <w:rPr>
          <w:rFonts w:ascii="宋体" w:hAnsi="宋体" w:cs="宋体"/>
          <w:szCs w:val="21"/>
        </w:rPr>
      </w:pPr>
      <w:r>
        <w:rPr>
          <w:rFonts w:hint="eastAsia" w:ascii="宋体" w:hAnsi="宋体" w:cs="宋体"/>
          <w:szCs w:val="21"/>
        </w:rPr>
        <w:t>被授权人签字：</w:t>
      </w:r>
    </w:p>
    <w:p>
      <w:pPr>
        <w:snapToGrid w:val="0"/>
        <w:spacing w:line="400" w:lineRule="exact"/>
        <w:ind w:firstLine="480" w:firstLineChars="200"/>
        <w:rPr>
          <w:rFonts w:ascii="宋体" w:hAnsi="宋体" w:cs="宋体"/>
          <w:szCs w:val="21"/>
        </w:rPr>
      </w:pPr>
      <w:r>
        <w:rPr>
          <w:rFonts w:hint="eastAsia" w:ascii="宋体" w:hAnsi="宋体" w:cs="宋体"/>
          <w:szCs w:val="21"/>
        </w:rPr>
        <w:t>职务：</w:t>
      </w:r>
    </w:p>
    <w:p>
      <w:pPr>
        <w:snapToGrid w:val="0"/>
        <w:spacing w:line="400" w:lineRule="exact"/>
        <w:ind w:firstLine="480" w:firstLineChars="200"/>
        <w:rPr>
          <w:rFonts w:ascii="宋体" w:hAnsi="宋体" w:cs="宋体"/>
          <w:szCs w:val="21"/>
        </w:rPr>
      </w:pPr>
      <w:r>
        <w:rPr>
          <w:rFonts w:hint="eastAsia" w:ascii="宋体" w:hAnsi="宋体" w:cs="宋体"/>
          <w:szCs w:val="21"/>
        </w:rPr>
        <w:t>投标人名称（加盖公章）：</w:t>
      </w:r>
    </w:p>
    <w:p>
      <w:pPr>
        <w:snapToGrid w:val="0"/>
        <w:spacing w:line="400" w:lineRule="exact"/>
        <w:ind w:firstLine="480" w:firstLineChars="200"/>
        <w:rPr>
          <w:rFonts w:ascii="宋体" w:hAnsi="宋体" w:cs="宋体"/>
          <w:szCs w:val="21"/>
          <w:u w:val="single"/>
        </w:rPr>
      </w:pPr>
      <w:r>
        <w:rPr>
          <w:rFonts w:hint="eastAsia" w:ascii="宋体" w:hAnsi="宋体" w:cs="宋体"/>
          <w:szCs w:val="21"/>
        </w:rPr>
        <w:t>地址：</w:t>
      </w:r>
    </w:p>
    <w:p>
      <w:pPr>
        <w:widowControl/>
        <w:snapToGrid w:val="0"/>
        <w:spacing w:line="400" w:lineRule="exact"/>
        <w:textAlignment w:val="auto"/>
        <w:rPr>
          <w:rFonts w:ascii="宋体" w:hAnsi="宋体" w:cs="宋体"/>
        </w:rPr>
      </w:pPr>
    </w:p>
    <w:p>
      <w:pPr>
        <w:widowControl/>
        <w:snapToGrid w:val="0"/>
        <w:spacing w:line="400" w:lineRule="exact"/>
        <w:textAlignment w:val="auto"/>
        <w:rPr>
          <w:rFonts w:ascii="宋体" w:hAnsi="宋体" w:cs="宋体"/>
        </w:rPr>
      </w:pPr>
      <w:r>
        <w:rPr>
          <w:rFonts w:hint="eastAsia" w:ascii="宋体" w:hAnsi="宋体" w:cs="宋体"/>
        </w:rPr>
        <mc:AlternateContent>
          <mc:Choice Requires="wps">
            <w:drawing>
              <wp:anchor distT="0" distB="0" distL="114300" distR="114300" simplePos="0" relativeHeight="251662336" behindDoc="0" locked="0" layoutInCell="1" allowOverlap="1">
                <wp:simplePos x="0" y="0"/>
                <wp:positionH relativeFrom="column">
                  <wp:posOffset>2905760</wp:posOffset>
                </wp:positionH>
                <wp:positionV relativeFrom="paragraph">
                  <wp:posOffset>50165</wp:posOffset>
                </wp:positionV>
                <wp:extent cx="2801620" cy="1724025"/>
                <wp:effectExtent l="4445" t="4445" r="13335" b="5080"/>
                <wp:wrapNone/>
                <wp:docPr id="9" name="流程图: 可选过程 9"/>
                <wp:cNvGraphicFramePr/>
                <a:graphic xmlns:a="http://schemas.openxmlformats.org/drawingml/2006/main">
                  <a:graphicData uri="http://schemas.microsoft.com/office/word/2010/wordprocessingShape">
                    <wps:wsp>
                      <wps:cNvSpPr/>
                      <wps:spPr>
                        <a:xfrm>
                          <a:off x="0" y="0"/>
                          <a:ext cx="2801620" cy="172402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rPr>
                                <w:rFonts w:ascii="Times New Roman" w:hAnsi="Times New Roman" w:cs="Times New Roman"/>
                                <w:szCs w:val="20"/>
                              </w:rPr>
                            </w:pPr>
                          </w:p>
                          <w:p>
                            <w:pPr>
                              <w:rPr>
                                <w:rFonts w:ascii="Times New Roman" w:hAnsi="Times New Roman" w:cs="Times New Roman"/>
                                <w:szCs w:val="20"/>
                              </w:rPr>
                            </w:pPr>
                          </w:p>
                          <w:p>
                            <w:pPr>
                              <w:rPr>
                                <w:rFonts w:ascii="Times New Roman" w:hAnsi="Times New Roman" w:cs="Times New Roman"/>
                                <w:szCs w:val="20"/>
                              </w:rPr>
                            </w:pPr>
                          </w:p>
                          <w:p>
                            <w:pPr>
                              <w:rPr>
                                <w:rFonts w:ascii="Times New Roman" w:hAnsi="Times New Roman" w:cs="Times New Roman"/>
                                <w:szCs w:val="20"/>
                              </w:rPr>
                            </w:pPr>
                            <w:r>
                              <w:rPr>
                                <w:rFonts w:hint="eastAsia" w:ascii="Times New Roman" w:hAnsi="Times New Roman" w:cs="Times New Roman"/>
                                <w:szCs w:val="20"/>
                              </w:rPr>
                              <w:t>被授权人身份证正面复印件</w:t>
                            </w:r>
                          </w:p>
                        </w:txbxContent>
                      </wps:txbx>
                      <wps:bodyPr upright="1"/>
                    </wps:wsp>
                  </a:graphicData>
                </a:graphic>
              </wp:anchor>
            </w:drawing>
          </mc:Choice>
          <mc:Fallback>
            <w:pict>
              <v:shape id="_x0000_s1026" o:spid="_x0000_s1026" o:spt="176" type="#_x0000_t176" style="position:absolute;left:0pt;margin-left:228.8pt;margin-top:3.95pt;height:135.75pt;width:220.6pt;z-index:251662336;mso-width-relative:page;mso-height-relative:page;" fillcolor="#FFFFFF" filled="t" stroked="t" coordsize="21600,21600" o:gfxdata="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6jFTx2AAAAAkBAAAPAAAAAAAAAAEAIAAAACIAAABkcnMvZG93bnJldi54bWxQSwEC&#10;FAAUAAAACACHTuJAsouQRS0CAABeBAAADgAAAAAAAAABACAAAAAnAQAAZHJzL2Uyb0RvYy54bWxQ&#10;SwUGAAAAAAYABgBZAQAAxgUAAAAA&#10;">
                <v:fill on="t" focussize="0,0"/>
                <v:stroke color="#000000" joinstyle="miter"/>
                <v:imagedata o:title=""/>
                <o:lock v:ext="edit" aspectratio="f"/>
                <v:textbox>
                  <w:txbxContent>
                    <w:p>
                      <w:pPr>
                        <w:rPr>
                          <w:rFonts w:ascii="Times New Roman" w:hAnsi="Times New Roman" w:cs="Times New Roman"/>
                          <w:szCs w:val="20"/>
                        </w:rPr>
                      </w:pPr>
                    </w:p>
                    <w:p>
                      <w:pPr>
                        <w:rPr>
                          <w:rFonts w:ascii="Times New Roman" w:hAnsi="Times New Roman" w:cs="Times New Roman"/>
                          <w:szCs w:val="20"/>
                        </w:rPr>
                      </w:pPr>
                    </w:p>
                    <w:p>
                      <w:pPr>
                        <w:rPr>
                          <w:rFonts w:ascii="Times New Roman" w:hAnsi="Times New Roman" w:cs="Times New Roman"/>
                          <w:szCs w:val="20"/>
                        </w:rPr>
                      </w:pPr>
                    </w:p>
                    <w:p>
                      <w:pPr>
                        <w:rPr>
                          <w:rFonts w:ascii="Times New Roman" w:hAnsi="Times New Roman" w:cs="Times New Roman"/>
                          <w:szCs w:val="20"/>
                        </w:rPr>
                      </w:pPr>
                      <w:r>
                        <w:rPr>
                          <w:rFonts w:hint="eastAsia" w:ascii="Times New Roman" w:hAnsi="Times New Roman" w:cs="Times New Roman"/>
                          <w:szCs w:val="20"/>
                        </w:rPr>
                        <w:t>被授权人身份证正面复印件</w:t>
                      </w:r>
                    </w:p>
                  </w:txbxContent>
                </v:textbox>
              </v:shape>
            </w:pict>
          </mc:Fallback>
        </mc:AlternateContent>
      </w:r>
      <w:r>
        <w:rPr>
          <w:rFonts w:hint="eastAsia" w:ascii="宋体" w:hAnsi="宋体" w:cs="宋体"/>
        </w:rPr>
        <mc:AlternateContent>
          <mc:Choice Requires="wps">
            <w:drawing>
              <wp:anchor distT="0" distB="0" distL="114300" distR="114300" simplePos="0" relativeHeight="251661312" behindDoc="0" locked="0" layoutInCell="1" allowOverlap="1">
                <wp:simplePos x="0" y="0"/>
                <wp:positionH relativeFrom="column">
                  <wp:posOffset>-34290</wp:posOffset>
                </wp:positionH>
                <wp:positionV relativeFrom="paragraph">
                  <wp:posOffset>50165</wp:posOffset>
                </wp:positionV>
                <wp:extent cx="2771775" cy="1724025"/>
                <wp:effectExtent l="4445" t="4445" r="5080" b="5080"/>
                <wp:wrapNone/>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2771775" cy="1724025"/>
                        </a:xfrm>
                        <a:prstGeom prst="flowChartAlternateProcess">
                          <a:avLst/>
                        </a:prstGeom>
                        <a:solidFill>
                          <a:srgbClr val="FFFFFF"/>
                        </a:solidFill>
                        <a:ln w="9525">
                          <a:solidFill>
                            <a:srgbClr val="000000"/>
                          </a:solidFill>
                          <a:miter lim="800000"/>
                        </a:ln>
                        <a:effectLst/>
                      </wps:spPr>
                      <wps:txbx>
                        <w:txbxContent>
                          <w:p>
                            <w:pPr>
                              <w:rPr>
                                <w:rFonts w:ascii="Times New Roman" w:hAnsi="Times New Roman" w:cs="Times New Roman"/>
                                <w:szCs w:val="20"/>
                              </w:rPr>
                            </w:pPr>
                          </w:p>
                          <w:p>
                            <w:pPr>
                              <w:rPr>
                                <w:rFonts w:ascii="Times New Roman" w:hAnsi="Times New Roman" w:cs="Times New Roman"/>
                                <w:szCs w:val="20"/>
                              </w:rPr>
                            </w:pPr>
                          </w:p>
                          <w:p>
                            <w:pPr>
                              <w:rPr>
                                <w:rFonts w:ascii="Times New Roman" w:hAnsi="Times New Roman" w:cs="Times New Roman"/>
                                <w:szCs w:val="20"/>
                              </w:rPr>
                            </w:pPr>
                          </w:p>
                          <w:p>
                            <w:pPr>
                              <w:rPr>
                                <w:rFonts w:ascii="Times New Roman" w:hAnsi="Times New Roman" w:cs="Times New Roman"/>
                                <w:szCs w:val="20"/>
                              </w:rPr>
                            </w:pPr>
                            <w:r>
                              <w:rPr>
                                <w:rFonts w:hint="eastAsia" w:ascii="Times New Roman" w:hAnsi="Times New Roman" w:cs="Times New Roman"/>
                                <w:szCs w:val="20"/>
                              </w:rPr>
                              <w:t>法定代表人身份证正面复印件</w:t>
                            </w:r>
                          </w:p>
                          <w:p>
                            <w:pPr>
                              <w:rPr>
                                <w:rFonts w:ascii="Times New Roman" w:hAnsi="Times New Roman" w:cs="Times New Roman"/>
                                <w:szCs w:val="20"/>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2.7pt;margin-top:3.95pt;height:135.75pt;width:218.25pt;z-index:251661312;mso-width-relative:page;mso-height-relative:page;" fillcolor="#FFFFFF" filled="t" stroked="t" coordsize="21600,21600" o:gfxdata="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8jTnjtgAAAAIAQAADwAAAAAAAAABACAAAAAiAAAAZHJzL2Rvd25yZXYueG1sUEsBAhQAFAAA&#10;AAgAh07iQHoWBiJhAgAArwQAAA4AAAAAAAAAAQAgAAAAJwEAAGRycy9lMm9Eb2MueG1sUEsFBgAA&#10;AAAGAAYAWQEAAPoFAAAAAA==&#10;">
                <v:fill on="t" focussize="0,0"/>
                <v:stroke color="#000000" miterlimit="8" joinstyle="miter"/>
                <v:imagedata o:title=""/>
                <o:lock v:ext="edit" aspectratio="f"/>
                <v:textbox>
                  <w:txbxContent>
                    <w:p>
                      <w:pPr>
                        <w:rPr>
                          <w:rFonts w:ascii="Times New Roman" w:hAnsi="Times New Roman" w:cs="Times New Roman"/>
                          <w:szCs w:val="20"/>
                        </w:rPr>
                      </w:pPr>
                    </w:p>
                    <w:p>
                      <w:pPr>
                        <w:rPr>
                          <w:rFonts w:ascii="Times New Roman" w:hAnsi="Times New Roman" w:cs="Times New Roman"/>
                          <w:szCs w:val="20"/>
                        </w:rPr>
                      </w:pPr>
                    </w:p>
                    <w:p>
                      <w:pPr>
                        <w:rPr>
                          <w:rFonts w:ascii="Times New Roman" w:hAnsi="Times New Roman" w:cs="Times New Roman"/>
                          <w:szCs w:val="20"/>
                        </w:rPr>
                      </w:pPr>
                    </w:p>
                    <w:p>
                      <w:pPr>
                        <w:rPr>
                          <w:rFonts w:ascii="Times New Roman" w:hAnsi="Times New Roman" w:cs="Times New Roman"/>
                          <w:szCs w:val="20"/>
                        </w:rPr>
                      </w:pPr>
                      <w:r>
                        <w:rPr>
                          <w:rFonts w:hint="eastAsia" w:ascii="Times New Roman" w:hAnsi="Times New Roman" w:cs="Times New Roman"/>
                          <w:szCs w:val="20"/>
                        </w:rPr>
                        <w:t>法定代表人身份证正面复印件</w:t>
                      </w:r>
                    </w:p>
                    <w:p>
                      <w:pPr>
                        <w:rPr>
                          <w:rFonts w:ascii="Times New Roman" w:hAnsi="Times New Roman" w:cs="Times New Roman"/>
                          <w:szCs w:val="20"/>
                        </w:rPr>
                      </w:pPr>
                    </w:p>
                  </w:txbxContent>
                </v:textbox>
              </v:shape>
            </w:pict>
          </mc:Fallback>
        </mc:AlternateContent>
      </w:r>
    </w:p>
    <w:p>
      <w:pPr>
        <w:widowControl/>
        <w:snapToGrid w:val="0"/>
        <w:spacing w:line="400" w:lineRule="exact"/>
        <w:textAlignment w:val="auto"/>
        <w:rPr>
          <w:rFonts w:ascii="宋体" w:hAnsi="宋体" w:cs="宋体"/>
        </w:rPr>
      </w:pPr>
    </w:p>
    <w:p>
      <w:pPr>
        <w:widowControl/>
        <w:snapToGrid w:val="0"/>
        <w:spacing w:line="400" w:lineRule="exact"/>
        <w:textAlignment w:val="auto"/>
        <w:rPr>
          <w:rFonts w:ascii="宋体" w:hAnsi="宋体" w:cs="宋体"/>
        </w:rPr>
      </w:pPr>
    </w:p>
    <w:p>
      <w:pPr>
        <w:widowControl/>
        <w:snapToGrid w:val="0"/>
        <w:spacing w:line="400" w:lineRule="exact"/>
        <w:textAlignment w:val="auto"/>
        <w:rPr>
          <w:rFonts w:ascii="宋体" w:hAnsi="宋体" w:cs="宋体"/>
        </w:rPr>
      </w:pPr>
    </w:p>
    <w:p>
      <w:pPr>
        <w:widowControl/>
        <w:snapToGrid w:val="0"/>
        <w:spacing w:line="400" w:lineRule="exact"/>
        <w:textAlignment w:val="auto"/>
        <w:rPr>
          <w:rFonts w:ascii="宋体" w:hAnsi="宋体" w:cs="宋体"/>
        </w:rPr>
      </w:pPr>
    </w:p>
    <w:p>
      <w:pPr>
        <w:widowControl/>
        <w:snapToGrid w:val="0"/>
        <w:spacing w:line="400" w:lineRule="exact"/>
        <w:textAlignment w:val="auto"/>
        <w:rPr>
          <w:rFonts w:ascii="宋体" w:hAnsi="宋体" w:cs="宋体"/>
        </w:rPr>
      </w:pPr>
    </w:p>
    <w:p>
      <w:pPr>
        <w:widowControl/>
        <w:snapToGrid w:val="0"/>
        <w:spacing w:line="400" w:lineRule="exact"/>
        <w:textAlignment w:val="auto"/>
        <w:rPr>
          <w:rFonts w:ascii="宋体" w:hAnsi="宋体" w:cs="宋体"/>
        </w:rPr>
      </w:pPr>
    </w:p>
    <w:p>
      <w:pPr>
        <w:widowControl/>
        <w:snapToGrid w:val="0"/>
        <w:spacing w:line="400" w:lineRule="exact"/>
        <w:textAlignment w:val="auto"/>
        <w:rPr>
          <w:rFonts w:ascii="宋体" w:hAnsi="宋体" w:cs="宋体"/>
        </w:rPr>
      </w:pPr>
      <w:r>
        <w:rPr>
          <w:rFonts w:hint="eastAsia" w:ascii="宋体" w:hAnsi="宋体" w:cs="宋体"/>
        </w:rPr>
        <mc:AlternateContent>
          <mc:Choice Requires="wps">
            <w:drawing>
              <wp:anchor distT="0" distB="0" distL="114300" distR="114300" simplePos="0" relativeHeight="251664384" behindDoc="0" locked="0" layoutInCell="1" allowOverlap="1">
                <wp:simplePos x="0" y="0"/>
                <wp:positionH relativeFrom="column">
                  <wp:posOffset>2962910</wp:posOffset>
                </wp:positionH>
                <wp:positionV relativeFrom="paragraph">
                  <wp:posOffset>198755</wp:posOffset>
                </wp:positionV>
                <wp:extent cx="2801620" cy="1724025"/>
                <wp:effectExtent l="4445" t="4445" r="13335" b="5080"/>
                <wp:wrapNone/>
                <wp:docPr id="6" name="流程图: 可选过程 6"/>
                <wp:cNvGraphicFramePr/>
                <a:graphic xmlns:a="http://schemas.openxmlformats.org/drawingml/2006/main">
                  <a:graphicData uri="http://schemas.microsoft.com/office/word/2010/wordprocessingShape">
                    <wps:wsp>
                      <wps:cNvSpPr/>
                      <wps:spPr>
                        <a:xfrm>
                          <a:off x="0" y="0"/>
                          <a:ext cx="2801620" cy="172402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rPr>
                                <w:rFonts w:ascii="Times New Roman" w:hAnsi="Times New Roman" w:cs="Times New Roman"/>
                                <w:szCs w:val="20"/>
                              </w:rPr>
                            </w:pPr>
                          </w:p>
                          <w:p>
                            <w:pPr>
                              <w:rPr>
                                <w:rFonts w:ascii="Times New Roman" w:hAnsi="Times New Roman" w:cs="Times New Roman"/>
                                <w:szCs w:val="20"/>
                              </w:rPr>
                            </w:pPr>
                          </w:p>
                          <w:p>
                            <w:pPr>
                              <w:rPr>
                                <w:rFonts w:ascii="Times New Roman" w:hAnsi="Times New Roman" w:cs="Times New Roman"/>
                                <w:szCs w:val="20"/>
                              </w:rPr>
                            </w:pPr>
                          </w:p>
                          <w:p>
                            <w:pPr>
                              <w:rPr>
                                <w:rFonts w:ascii="Times New Roman" w:hAnsi="Times New Roman" w:cs="Times New Roman"/>
                                <w:szCs w:val="20"/>
                              </w:rPr>
                            </w:pPr>
                            <w:r>
                              <w:rPr>
                                <w:rFonts w:hint="eastAsia" w:ascii="Times New Roman" w:hAnsi="Times New Roman" w:cs="Times New Roman"/>
                                <w:szCs w:val="20"/>
                              </w:rPr>
                              <w:t>被授权人身份证反面复印件</w:t>
                            </w:r>
                          </w:p>
                        </w:txbxContent>
                      </wps:txbx>
                      <wps:bodyPr upright="1"/>
                    </wps:wsp>
                  </a:graphicData>
                </a:graphic>
              </wp:anchor>
            </w:drawing>
          </mc:Choice>
          <mc:Fallback>
            <w:pict>
              <v:shape id="_x0000_s1026" o:spid="_x0000_s1026" o:spt="176" type="#_x0000_t176" style="position:absolute;left:0pt;margin-left:233.3pt;margin-top:15.65pt;height:135.75pt;width:220.6pt;z-index:251664384;mso-width-relative:page;mso-height-relative:page;" fillcolor="#FFFFFF" filled="t" stroked="t" coordsize="21600,21600" o:gfxdata="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yf1Ff2AAAAAoBAAAPAAAAAAAAAAEAIAAAACIAAABkcnMvZG93bnJldi54bWxQSwEC&#10;FAAUAAAACACHTuJAqBWLjS0CAABeBAAADgAAAAAAAAABACAAAAAnAQAAZHJzL2Uyb0RvYy54bWxQ&#10;SwUGAAAAAAYABgBZAQAAxgUAAAAA&#10;">
                <v:fill on="t" focussize="0,0"/>
                <v:stroke color="#000000" joinstyle="miter"/>
                <v:imagedata o:title=""/>
                <o:lock v:ext="edit" aspectratio="f"/>
                <v:textbox>
                  <w:txbxContent>
                    <w:p>
                      <w:pPr>
                        <w:rPr>
                          <w:rFonts w:ascii="Times New Roman" w:hAnsi="Times New Roman" w:cs="Times New Roman"/>
                          <w:szCs w:val="20"/>
                        </w:rPr>
                      </w:pPr>
                    </w:p>
                    <w:p>
                      <w:pPr>
                        <w:rPr>
                          <w:rFonts w:ascii="Times New Roman" w:hAnsi="Times New Roman" w:cs="Times New Roman"/>
                          <w:szCs w:val="20"/>
                        </w:rPr>
                      </w:pPr>
                    </w:p>
                    <w:p>
                      <w:pPr>
                        <w:rPr>
                          <w:rFonts w:ascii="Times New Roman" w:hAnsi="Times New Roman" w:cs="Times New Roman"/>
                          <w:szCs w:val="20"/>
                        </w:rPr>
                      </w:pPr>
                    </w:p>
                    <w:p>
                      <w:pPr>
                        <w:rPr>
                          <w:rFonts w:ascii="Times New Roman" w:hAnsi="Times New Roman" w:cs="Times New Roman"/>
                          <w:szCs w:val="20"/>
                        </w:rPr>
                      </w:pPr>
                      <w:r>
                        <w:rPr>
                          <w:rFonts w:hint="eastAsia" w:ascii="Times New Roman" w:hAnsi="Times New Roman" w:cs="Times New Roman"/>
                          <w:szCs w:val="20"/>
                        </w:rPr>
                        <w:t>被授权人身份证反面复印件</w:t>
                      </w:r>
                    </w:p>
                  </w:txbxContent>
                </v:textbox>
              </v:shape>
            </w:pict>
          </mc:Fallback>
        </mc:AlternateContent>
      </w:r>
      <w:r>
        <w:rPr>
          <w:rFonts w:hint="eastAsia" w:ascii="宋体" w:hAnsi="宋体" w:cs="宋体"/>
        </w:rPr>
        <mc:AlternateContent>
          <mc:Choice Requires="wps">
            <w:drawing>
              <wp:anchor distT="0" distB="0" distL="114300" distR="114300" simplePos="0" relativeHeight="251663360" behindDoc="0" locked="0" layoutInCell="1" allowOverlap="1">
                <wp:simplePos x="0" y="0"/>
                <wp:positionH relativeFrom="column">
                  <wp:posOffset>10795</wp:posOffset>
                </wp:positionH>
                <wp:positionV relativeFrom="paragraph">
                  <wp:posOffset>198755</wp:posOffset>
                </wp:positionV>
                <wp:extent cx="2771775" cy="1724025"/>
                <wp:effectExtent l="4445" t="4445" r="5080" b="5080"/>
                <wp:wrapNone/>
                <wp:docPr id="5" name="流程图: 可选过程 5"/>
                <wp:cNvGraphicFramePr/>
                <a:graphic xmlns:a="http://schemas.openxmlformats.org/drawingml/2006/main">
                  <a:graphicData uri="http://schemas.microsoft.com/office/word/2010/wordprocessingShape">
                    <wps:wsp>
                      <wps:cNvSpPr>
                        <a:spLocks noChangeArrowheads="1"/>
                      </wps:cNvSpPr>
                      <wps:spPr bwMode="auto">
                        <a:xfrm>
                          <a:off x="0" y="0"/>
                          <a:ext cx="2771775" cy="1724025"/>
                        </a:xfrm>
                        <a:prstGeom prst="flowChartAlternateProcess">
                          <a:avLst/>
                        </a:prstGeom>
                        <a:solidFill>
                          <a:srgbClr val="FFFFFF"/>
                        </a:solidFill>
                        <a:ln w="9525">
                          <a:solidFill>
                            <a:srgbClr val="000000"/>
                          </a:solidFill>
                          <a:miter lim="800000"/>
                        </a:ln>
                        <a:effectLst/>
                      </wps:spPr>
                      <wps:txbx>
                        <w:txbxContent>
                          <w:p>
                            <w:pPr>
                              <w:rPr>
                                <w:rFonts w:ascii="Times New Roman" w:hAnsi="Times New Roman" w:cs="Times New Roman"/>
                                <w:szCs w:val="20"/>
                              </w:rPr>
                            </w:pPr>
                          </w:p>
                          <w:p>
                            <w:pPr>
                              <w:rPr>
                                <w:rFonts w:ascii="Times New Roman" w:hAnsi="Times New Roman" w:cs="Times New Roman"/>
                                <w:szCs w:val="20"/>
                              </w:rPr>
                            </w:pPr>
                          </w:p>
                          <w:p>
                            <w:pPr>
                              <w:rPr>
                                <w:rFonts w:ascii="Times New Roman" w:hAnsi="Times New Roman" w:cs="Times New Roman"/>
                                <w:szCs w:val="20"/>
                              </w:rPr>
                            </w:pPr>
                          </w:p>
                          <w:p>
                            <w:pPr>
                              <w:rPr>
                                <w:rFonts w:ascii="Times New Roman" w:hAnsi="Times New Roman" w:cs="Times New Roman"/>
                                <w:szCs w:val="20"/>
                              </w:rPr>
                            </w:pPr>
                            <w:r>
                              <w:rPr>
                                <w:rFonts w:hint="eastAsia" w:ascii="Times New Roman" w:hAnsi="Times New Roman" w:cs="Times New Roman"/>
                                <w:szCs w:val="20"/>
                              </w:rPr>
                              <w:t>法定代表人身份证反面复印件</w:t>
                            </w:r>
                          </w:p>
                          <w:p>
                            <w:pPr>
                              <w:rPr>
                                <w:rFonts w:ascii="Times New Roman" w:hAnsi="Times New Roman" w:cs="Times New Roman"/>
                                <w:szCs w:val="20"/>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0.85pt;margin-top:15.65pt;height:135.75pt;width:218.25pt;z-index:251663360;mso-width-relative:page;mso-height-relative:page;" fillcolor="#FFFFFF" filled="t" stroked="t" coordsize="21600,21600" o:gfxdata="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HCXmWbWAAAACAEAAA8AAAAAAAAAAQAgAAAAIgAAAGRycy9kb3ducmV2LnhtbFBLAQIUABQAAAAI&#10;AIdO4kCSvdvHYQIAAK8EAAAOAAAAAAAAAAEAIAAAACUBAABkcnMvZTJvRG9jLnhtbFBLBQYAAAAA&#10;BgAGAFkBAAD4BQAAAAA=&#10;">
                <v:fill on="t" focussize="0,0"/>
                <v:stroke color="#000000" miterlimit="8" joinstyle="miter"/>
                <v:imagedata o:title=""/>
                <o:lock v:ext="edit" aspectratio="f"/>
                <v:textbox>
                  <w:txbxContent>
                    <w:p>
                      <w:pPr>
                        <w:rPr>
                          <w:rFonts w:ascii="Times New Roman" w:hAnsi="Times New Roman" w:cs="Times New Roman"/>
                          <w:szCs w:val="20"/>
                        </w:rPr>
                      </w:pPr>
                    </w:p>
                    <w:p>
                      <w:pPr>
                        <w:rPr>
                          <w:rFonts w:ascii="Times New Roman" w:hAnsi="Times New Roman" w:cs="Times New Roman"/>
                          <w:szCs w:val="20"/>
                        </w:rPr>
                      </w:pPr>
                    </w:p>
                    <w:p>
                      <w:pPr>
                        <w:rPr>
                          <w:rFonts w:ascii="Times New Roman" w:hAnsi="Times New Roman" w:cs="Times New Roman"/>
                          <w:szCs w:val="20"/>
                        </w:rPr>
                      </w:pPr>
                    </w:p>
                    <w:p>
                      <w:pPr>
                        <w:rPr>
                          <w:rFonts w:ascii="Times New Roman" w:hAnsi="Times New Roman" w:cs="Times New Roman"/>
                          <w:szCs w:val="20"/>
                        </w:rPr>
                      </w:pPr>
                      <w:r>
                        <w:rPr>
                          <w:rFonts w:hint="eastAsia" w:ascii="Times New Roman" w:hAnsi="Times New Roman" w:cs="Times New Roman"/>
                          <w:szCs w:val="20"/>
                        </w:rPr>
                        <w:t>法定代表人身份证反面复印件</w:t>
                      </w:r>
                    </w:p>
                    <w:p>
                      <w:pPr>
                        <w:rPr>
                          <w:rFonts w:ascii="Times New Roman" w:hAnsi="Times New Roman" w:cs="Times New Roman"/>
                          <w:szCs w:val="20"/>
                        </w:rPr>
                      </w:pPr>
                    </w:p>
                  </w:txbxContent>
                </v:textbox>
              </v:shape>
            </w:pict>
          </mc:Fallback>
        </mc:AlternateContent>
      </w:r>
    </w:p>
    <w:p>
      <w:pPr>
        <w:widowControl/>
        <w:snapToGrid w:val="0"/>
        <w:spacing w:line="400" w:lineRule="exact"/>
        <w:textAlignment w:val="auto"/>
        <w:outlineLvl w:val="0"/>
        <w:rPr>
          <w:rFonts w:ascii="宋体" w:hAnsi="宋体" w:cs="宋体"/>
        </w:rPr>
      </w:pPr>
      <w:r>
        <w:rPr>
          <w:rFonts w:hint="eastAsia" w:ascii="宋体" w:hAnsi="宋体" w:cs="宋体"/>
        </w:rPr>
        <w:br w:type="page"/>
      </w:r>
      <w:bookmarkStart w:id="153" w:name="_Toc23658"/>
      <w:bookmarkStart w:id="154" w:name="_Toc86156784"/>
      <w:bookmarkStart w:id="155" w:name="_Toc95326688"/>
      <w:bookmarkStart w:id="156" w:name="_Toc3391"/>
      <w:bookmarkStart w:id="157" w:name="_Toc4939"/>
      <w:bookmarkStart w:id="158" w:name="_Toc20917"/>
      <w:bookmarkStart w:id="159" w:name="_Toc15597"/>
      <w:bookmarkStart w:id="160" w:name="_Toc23667"/>
      <w:bookmarkStart w:id="161" w:name="_Toc17246"/>
      <w:bookmarkStart w:id="162" w:name="_Toc27614"/>
      <w:r>
        <w:rPr>
          <w:rFonts w:hint="eastAsia" w:ascii="宋体" w:hAnsi="宋体" w:cs="宋体"/>
          <w:lang w:val="zh-CN"/>
        </w:rPr>
        <w:t>★</w:t>
      </w:r>
      <w:r>
        <w:rPr>
          <w:rFonts w:hint="eastAsia" w:ascii="宋体" w:hAnsi="宋体" w:cs="宋体"/>
        </w:rPr>
        <w:t>附件</w:t>
      </w:r>
      <w:r>
        <w:rPr>
          <w:rFonts w:hint="eastAsia" w:ascii="宋体" w:hAnsi="宋体" w:cs="宋体"/>
          <w:kern w:val="20"/>
          <w:lang w:val="zh-CN"/>
        </w:rPr>
        <w:t>5</w:t>
      </w:r>
      <w:r>
        <w:rPr>
          <w:rFonts w:hint="eastAsia" w:ascii="宋体" w:hAnsi="宋体" w:cs="宋体"/>
        </w:rPr>
        <w:t>-2：</w:t>
      </w:r>
      <w:bookmarkEnd w:id="153"/>
      <w:bookmarkEnd w:id="154"/>
      <w:bookmarkEnd w:id="155"/>
      <w:bookmarkEnd w:id="156"/>
      <w:bookmarkEnd w:id="157"/>
      <w:bookmarkEnd w:id="158"/>
      <w:bookmarkEnd w:id="159"/>
      <w:bookmarkEnd w:id="160"/>
      <w:bookmarkEnd w:id="161"/>
      <w:bookmarkEnd w:id="162"/>
    </w:p>
    <w:p>
      <w:pPr>
        <w:widowControl/>
        <w:snapToGrid w:val="0"/>
        <w:spacing w:line="400" w:lineRule="exact"/>
        <w:textAlignment w:val="auto"/>
        <w:rPr>
          <w:rFonts w:ascii="宋体" w:hAnsi="宋体" w:cs="宋体"/>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独立承担民事责任的能力证明材料</w:t>
      </w:r>
    </w:p>
    <w:p>
      <w:pPr>
        <w:snapToGrid w:val="0"/>
        <w:spacing w:line="400" w:lineRule="exact"/>
        <w:jc w:val="center"/>
        <w:rPr>
          <w:rFonts w:ascii="宋体" w:hAnsi="宋体" w:cs="宋体"/>
          <w:caps/>
          <w:sz w:val="28"/>
          <w:szCs w:val="28"/>
        </w:rPr>
      </w:pPr>
    </w:p>
    <w:p>
      <w:pPr>
        <w:snapToGrid w:val="0"/>
        <w:spacing w:line="400" w:lineRule="exact"/>
        <w:jc w:val="center"/>
        <w:rPr>
          <w:rFonts w:ascii="宋体" w:hAnsi="宋体" w:cs="宋体"/>
          <w:caps/>
          <w:sz w:val="28"/>
          <w:szCs w:val="28"/>
        </w:rPr>
      </w:pPr>
      <w:r>
        <w:rPr>
          <w:rFonts w:hint="eastAsia" w:ascii="宋体" w:hAnsi="宋体" w:cs="宋体"/>
          <w:caps/>
          <w:sz w:val="28"/>
          <w:szCs w:val="28"/>
        </w:rPr>
        <w:t>（复印件）</w:t>
      </w:r>
    </w:p>
    <w:p>
      <w:pPr>
        <w:snapToGrid w:val="0"/>
        <w:spacing w:line="400" w:lineRule="exact"/>
        <w:jc w:val="center"/>
        <w:rPr>
          <w:rFonts w:ascii="宋体" w:hAnsi="宋体" w:cs="宋体"/>
          <w:caps/>
          <w:sz w:val="28"/>
          <w:szCs w:val="28"/>
        </w:rPr>
      </w:pPr>
    </w:p>
    <w:p>
      <w:pPr>
        <w:autoSpaceDE w:val="0"/>
        <w:autoSpaceDN w:val="0"/>
        <w:snapToGrid w:val="0"/>
        <w:spacing w:line="380" w:lineRule="exact"/>
        <w:jc w:val="both"/>
        <w:rPr>
          <w:rFonts w:ascii="宋体" w:hAnsi="宋体" w:cs="宋体"/>
        </w:rPr>
      </w:pPr>
      <w:r>
        <w:rPr>
          <w:rFonts w:hint="eastAsia" w:ascii="宋体" w:hAnsi="宋体" w:cs="宋体"/>
        </w:rPr>
        <w:t>说明：</w:t>
      </w:r>
    </w:p>
    <w:p>
      <w:pPr>
        <w:autoSpaceDE w:val="0"/>
        <w:autoSpaceDN w:val="0"/>
        <w:snapToGrid w:val="0"/>
        <w:spacing w:line="380" w:lineRule="exact"/>
        <w:ind w:firstLine="480" w:firstLineChars="200"/>
        <w:jc w:val="both"/>
        <w:rPr>
          <w:rFonts w:ascii="宋体" w:hAnsi="宋体" w:cs="宋体"/>
        </w:rPr>
      </w:pPr>
      <w:r>
        <w:rPr>
          <w:rFonts w:hint="eastAsia" w:ascii="宋体" w:hAnsi="宋体" w:cs="宋体"/>
        </w:rPr>
        <w:t>供应商是企业（包括合伙企业）的，应提供其在工商部门注册的有效“企业法人营业执照”或“营业执照”的复印件；</w:t>
      </w:r>
    </w:p>
    <w:p>
      <w:pPr>
        <w:autoSpaceDE w:val="0"/>
        <w:autoSpaceDN w:val="0"/>
        <w:snapToGrid w:val="0"/>
        <w:spacing w:line="380" w:lineRule="exact"/>
        <w:ind w:firstLine="480" w:firstLineChars="200"/>
        <w:jc w:val="both"/>
        <w:rPr>
          <w:rFonts w:ascii="宋体" w:hAnsi="宋体" w:cs="宋体"/>
        </w:rPr>
      </w:pPr>
      <w:r>
        <w:rPr>
          <w:rFonts w:hint="eastAsia" w:ascii="宋体" w:hAnsi="宋体" w:cs="宋体"/>
        </w:rPr>
        <w:t>供应商是事业单位的，应提供其有效的“事业单位法人证书”复印件；</w:t>
      </w:r>
    </w:p>
    <w:p>
      <w:pPr>
        <w:autoSpaceDE w:val="0"/>
        <w:autoSpaceDN w:val="0"/>
        <w:snapToGrid w:val="0"/>
        <w:spacing w:line="380" w:lineRule="exact"/>
        <w:ind w:firstLine="480" w:firstLineChars="200"/>
        <w:jc w:val="both"/>
        <w:rPr>
          <w:rFonts w:ascii="宋体" w:hAnsi="宋体" w:cs="宋体"/>
        </w:rPr>
      </w:pPr>
      <w:r>
        <w:rPr>
          <w:rFonts w:hint="eastAsia" w:ascii="宋体" w:hAnsi="宋体" w:cs="宋体"/>
        </w:rPr>
        <w:t>供应商是非企业专业服务机构的，应提供其有效的“执业许可证”复印件；</w:t>
      </w:r>
    </w:p>
    <w:p>
      <w:pPr>
        <w:autoSpaceDE w:val="0"/>
        <w:autoSpaceDN w:val="0"/>
        <w:snapToGrid w:val="0"/>
        <w:spacing w:line="380" w:lineRule="exact"/>
        <w:ind w:firstLine="480" w:firstLineChars="200"/>
        <w:jc w:val="both"/>
        <w:rPr>
          <w:rFonts w:ascii="宋体" w:hAnsi="宋体" w:cs="宋体"/>
        </w:rPr>
      </w:pPr>
      <w:r>
        <w:rPr>
          <w:rFonts w:hint="eastAsia" w:ascii="宋体" w:hAnsi="宋体" w:cs="宋体"/>
        </w:rPr>
        <w:t>供应商是个体工商户的，应提供其有效的“个体工商户营业执照”复印件；</w:t>
      </w:r>
    </w:p>
    <w:p>
      <w:pPr>
        <w:autoSpaceDE w:val="0"/>
        <w:autoSpaceDN w:val="0"/>
        <w:snapToGrid w:val="0"/>
        <w:spacing w:line="380" w:lineRule="exact"/>
        <w:ind w:firstLine="480" w:firstLineChars="200"/>
        <w:jc w:val="both"/>
        <w:rPr>
          <w:rFonts w:ascii="宋体" w:hAnsi="宋体" w:cs="宋体"/>
        </w:rPr>
      </w:pPr>
      <w:r>
        <w:rPr>
          <w:rFonts w:hint="eastAsia" w:ascii="宋体" w:hAnsi="宋体" w:cs="宋体"/>
        </w:rPr>
        <w:t>供应商是自然人的，应提供其有效的自然人身份证明。</w:t>
      </w:r>
    </w:p>
    <w:p>
      <w:pPr>
        <w:widowControl/>
        <w:snapToGrid w:val="0"/>
        <w:spacing w:after="120" w:afterLines="50" w:line="400" w:lineRule="exact"/>
        <w:textAlignment w:val="auto"/>
        <w:outlineLvl w:val="0"/>
        <w:rPr>
          <w:rFonts w:ascii="宋体" w:hAnsi="宋体" w:cs="宋体"/>
        </w:rPr>
      </w:pPr>
      <w:r>
        <w:rPr>
          <w:rFonts w:hint="eastAsia" w:ascii="宋体" w:hAnsi="宋体" w:cs="宋体"/>
          <w:u w:val="single"/>
        </w:rPr>
        <w:br w:type="page"/>
      </w:r>
      <w:bookmarkStart w:id="163" w:name="_Toc14114"/>
      <w:bookmarkStart w:id="164" w:name="_Toc15382"/>
      <w:bookmarkStart w:id="165" w:name="_Toc19514"/>
      <w:bookmarkStart w:id="166" w:name="_Toc95326689"/>
      <w:bookmarkStart w:id="167" w:name="_Toc65"/>
      <w:bookmarkStart w:id="168" w:name="_Toc25815"/>
      <w:bookmarkStart w:id="169" w:name="_Toc86156785"/>
      <w:bookmarkStart w:id="170" w:name="_Toc8282"/>
      <w:bookmarkStart w:id="171" w:name="_Toc4993"/>
      <w:bookmarkStart w:id="172" w:name="_Toc31471"/>
      <w:r>
        <w:rPr>
          <w:rFonts w:hint="eastAsia" w:ascii="宋体" w:hAnsi="宋体" w:cs="宋体"/>
          <w:lang w:val="zh-CN"/>
        </w:rPr>
        <w:t>★</w:t>
      </w:r>
      <w:r>
        <w:rPr>
          <w:rFonts w:hint="eastAsia" w:ascii="宋体" w:hAnsi="宋体" w:cs="宋体"/>
        </w:rPr>
        <w:t>附件</w:t>
      </w:r>
      <w:r>
        <w:rPr>
          <w:rFonts w:hint="eastAsia" w:ascii="宋体" w:hAnsi="宋体" w:cs="宋体"/>
          <w:kern w:val="20"/>
          <w:lang w:val="zh-CN"/>
        </w:rPr>
        <w:t>5</w:t>
      </w:r>
      <w:r>
        <w:rPr>
          <w:rFonts w:hint="eastAsia" w:ascii="宋体" w:hAnsi="宋体" w:cs="宋体"/>
        </w:rPr>
        <w:t>-3：</w:t>
      </w:r>
      <w:bookmarkEnd w:id="163"/>
      <w:bookmarkEnd w:id="164"/>
      <w:bookmarkEnd w:id="165"/>
      <w:bookmarkEnd w:id="166"/>
      <w:bookmarkEnd w:id="167"/>
      <w:bookmarkEnd w:id="168"/>
      <w:bookmarkEnd w:id="169"/>
      <w:bookmarkEnd w:id="170"/>
      <w:bookmarkEnd w:id="171"/>
      <w:bookmarkEnd w:id="172"/>
    </w:p>
    <w:p>
      <w:pPr>
        <w:snapToGrid w:val="0"/>
        <w:spacing w:line="400" w:lineRule="exact"/>
        <w:jc w:val="center"/>
        <w:rPr>
          <w:rFonts w:ascii="宋体" w:hAnsi="宋体" w:cs="宋体"/>
          <w:caps/>
          <w:sz w:val="36"/>
          <w:szCs w:val="36"/>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财务状况报告</w:t>
      </w:r>
    </w:p>
    <w:p>
      <w:pPr>
        <w:pStyle w:val="41"/>
        <w:adjustRightInd w:val="0"/>
        <w:snapToGrid w:val="0"/>
        <w:spacing w:before="0" w:after="0" w:line="400" w:lineRule="exact"/>
        <w:ind w:firstLine="0" w:firstLineChars="0"/>
        <w:jc w:val="center"/>
        <w:rPr>
          <w:rFonts w:ascii="宋体" w:hAnsi="宋体" w:eastAsia="宋体" w:cs="宋体"/>
          <w:color w:val="auto"/>
          <w:sz w:val="28"/>
          <w:szCs w:val="28"/>
        </w:rPr>
      </w:pPr>
    </w:p>
    <w:p>
      <w:pPr>
        <w:snapToGrid w:val="0"/>
        <w:spacing w:line="400" w:lineRule="exact"/>
        <w:jc w:val="center"/>
        <w:rPr>
          <w:rFonts w:ascii="宋体" w:hAnsi="宋体" w:cs="宋体"/>
          <w:caps/>
          <w:sz w:val="32"/>
          <w:szCs w:val="32"/>
        </w:rPr>
      </w:pPr>
    </w:p>
    <w:p>
      <w:pPr>
        <w:autoSpaceDE w:val="0"/>
        <w:autoSpaceDN w:val="0"/>
        <w:snapToGrid w:val="0"/>
        <w:spacing w:line="380" w:lineRule="exact"/>
        <w:jc w:val="both"/>
        <w:rPr>
          <w:rFonts w:ascii="宋体" w:hAnsi="宋体" w:cs="宋体"/>
        </w:rPr>
      </w:pPr>
      <w:r>
        <w:rPr>
          <w:rFonts w:hint="eastAsia" w:ascii="宋体" w:hAnsi="宋体" w:cs="宋体"/>
        </w:rPr>
        <w:t>说明：</w:t>
      </w:r>
    </w:p>
    <w:p>
      <w:pPr>
        <w:autoSpaceDE w:val="0"/>
        <w:autoSpaceDN w:val="0"/>
        <w:snapToGrid w:val="0"/>
        <w:spacing w:line="380" w:lineRule="exact"/>
        <w:ind w:left="120" w:leftChars="50" w:firstLine="480" w:firstLineChars="200"/>
        <w:rPr>
          <w:rFonts w:ascii="宋体" w:hAnsi="宋体" w:cs="宋体"/>
        </w:rPr>
      </w:pPr>
      <w:r>
        <w:rPr>
          <w:rFonts w:hint="eastAsia" w:ascii="宋体" w:hAnsi="宋体" w:cs="宋体"/>
        </w:rPr>
        <w:t>供应商是法人或其他组织的，应提供其基本开户银行出具的针对本项目资信证</w:t>
      </w:r>
      <w:r>
        <w:rPr>
          <w:rFonts w:hint="eastAsia" w:ascii="宋体" w:hAnsi="宋体" w:cs="宋体"/>
          <w:sz w:val="22"/>
          <w:szCs w:val="22"/>
        </w:rPr>
        <w:t>明</w:t>
      </w:r>
      <w:r>
        <w:rPr>
          <w:rFonts w:hint="eastAsia" w:ascii="宋体" w:hAnsi="宋体" w:cs="宋体"/>
          <w:b/>
          <w:bCs/>
          <w:sz w:val="28"/>
          <w:szCs w:val="28"/>
        </w:rPr>
        <w:t>原件（原件放在正本即可）</w:t>
      </w:r>
      <w:r>
        <w:rPr>
          <w:rFonts w:hint="eastAsia" w:ascii="宋体" w:hAnsi="宋体" w:cs="宋体"/>
        </w:rPr>
        <w:t>，或经审计的2020年度或2021年度审计报告；</w:t>
      </w:r>
    </w:p>
    <w:p>
      <w:pPr>
        <w:autoSpaceDE w:val="0"/>
        <w:autoSpaceDN w:val="0"/>
        <w:snapToGrid w:val="0"/>
        <w:spacing w:line="380" w:lineRule="exact"/>
        <w:ind w:left="120" w:leftChars="50" w:firstLine="480" w:firstLineChars="200"/>
        <w:rPr>
          <w:rFonts w:ascii="宋体" w:hAnsi="宋体" w:cs="宋体"/>
        </w:rPr>
      </w:pPr>
      <w:r>
        <w:rPr>
          <w:rFonts w:hint="eastAsia" w:ascii="宋体" w:hAnsi="宋体" w:cs="宋体"/>
        </w:rPr>
        <w:t>供应商是自然人的，应提供中国人民银行出具的针对本项目资信证明原件。</w:t>
      </w:r>
    </w:p>
    <w:p>
      <w:pPr>
        <w:pStyle w:val="15"/>
        <w:tabs>
          <w:tab w:val="left" w:pos="5580"/>
        </w:tabs>
        <w:adjustRightInd w:val="0"/>
        <w:snapToGrid w:val="0"/>
        <w:spacing w:line="400" w:lineRule="exact"/>
        <w:outlineLvl w:val="0"/>
        <w:rPr>
          <w:rFonts w:hAnsi="宋体" w:cs="宋体"/>
          <w:sz w:val="24"/>
          <w:szCs w:val="24"/>
        </w:rPr>
      </w:pPr>
      <w:r>
        <w:rPr>
          <w:rFonts w:hint="eastAsia" w:hAnsi="宋体" w:cs="宋体"/>
          <w:sz w:val="24"/>
          <w:szCs w:val="24"/>
          <w:u w:val="single"/>
        </w:rPr>
        <w:br w:type="page"/>
      </w:r>
      <w:bookmarkStart w:id="173" w:name="_Toc22188"/>
      <w:bookmarkStart w:id="174" w:name="_Toc8586"/>
      <w:bookmarkStart w:id="175" w:name="_Toc22566"/>
      <w:bookmarkStart w:id="176" w:name="_Toc95326690"/>
      <w:bookmarkStart w:id="177" w:name="_Toc17062"/>
      <w:bookmarkStart w:id="178" w:name="_Toc23087"/>
      <w:bookmarkStart w:id="179" w:name="_Toc26411"/>
      <w:bookmarkStart w:id="180" w:name="_Toc26177"/>
      <w:bookmarkStart w:id="181" w:name="_Toc86156786"/>
      <w:bookmarkStart w:id="182" w:name="_Toc18091"/>
      <w:r>
        <w:rPr>
          <w:rFonts w:hint="eastAsia" w:hAnsi="宋体" w:cs="宋体"/>
          <w:sz w:val="24"/>
          <w:szCs w:val="24"/>
          <w:lang w:val="zh-CN"/>
        </w:rPr>
        <w:t>★</w:t>
      </w:r>
      <w:r>
        <w:rPr>
          <w:rFonts w:hint="eastAsia" w:hAnsi="宋体" w:cs="宋体"/>
          <w:sz w:val="24"/>
          <w:szCs w:val="24"/>
        </w:rPr>
        <w:t>附件</w:t>
      </w:r>
      <w:r>
        <w:rPr>
          <w:rFonts w:hint="eastAsia" w:hAnsi="宋体" w:cs="宋体"/>
          <w:kern w:val="20"/>
          <w:sz w:val="24"/>
          <w:szCs w:val="24"/>
          <w:lang w:val="zh-CN"/>
        </w:rPr>
        <w:t>5</w:t>
      </w:r>
      <w:r>
        <w:rPr>
          <w:rFonts w:hint="eastAsia" w:hAnsi="宋体" w:cs="宋体"/>
          <w:sz w:val="24"/>
          <w:szCs w:val="24"/>
        </w:rPr>
        <w:t>-4：</w:t>
      </w:r>
      <w:bookmarkEnd w:id="173"/>
      <w:bookmarkEnd w:id="174"/>
      <w:bookmarkEnd w:id="175"/>
      <w:bookmarkEnd w:id="176"/>
      <w:bookmarkEnd w:id="177"/>
      <w:bookmarkEnd w:id="178"/>
      <w:bookmarkEnd w:id="179"/>
      <w:bookmarkEnd w:id="180"/>
      <w:bookmarkEnd w:id="181"/>
      <w:bookmarkEnd w:id="182"/>
    </w:p>
    <w:p>
      <w:pPr>
        <w:pStyle w:val="41"/>
        <w:adjustRightInd w:val="0"/>
        <w:snapToGrid w:val="0"/>
        <w:spacing w:before="0" w:after="0" w:line="400" w:lineRule="exact"/>
        <w:ind w:firstLine="1080" w:firstLineChars="450"/>
        <w:jc w:val="both"/>
        <w:rPr>
          <w:rFonts w:ascii="宋体" w:hAnsi="宋体" w:eastAsia="宋体" w:cs="宋体"/>
          <w:color w:val="auto"/>
          <w:sz w:val="24"/>
          <w:szCs w:val="24"/>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具有履行合同所必需的设备和专业技术能力的声明</w:t>
      </w:r>
    </w:p>
    <w:p>
      <w:pPr>
        <w:pStyle w:val="41"/>
        <w:adjustRightInd w:val="0"/>
        <w:snapToGrid w:val="0"/>
        <w:spacing w:before="0" w:after="0" w:line="400" w:lineRule="exact"/>
        <w:ind w:firstLine="0" w:firstLineChars="0"/>
        <w:jc w:val="both"/>
        <w:rPr>
          <w:rFonts w:ascii="宋体" w:hAnsi="宋体" w:eastAsia="宋体" w:cs="宋体"/>
          <w:caps/>
          <w:color w:val="auto"/>
          <w:sz w:val="36"/>
          <w:szCs w:val="36"/>
        </w:rPr>
      </w:pPr>
    </w:p>
    <w:p>
      <w:pPr>
        <w:pStyle w:val="41"/>
        <w:adjustRightInd w:val="0"/>
        <w:snapToGrid w:val="0"/>
        <w:spacing w:before="0" w:after="0" w:line="400" w:lineRule="exact"/>
        <w:ind w:firstLine="0" w:firstLineChars="0"/>
        <w:jc w:val="both"/>
        <w:rPr>
          <w:rFonts w:ascii="宋体" w:hAnsi="宋体" w:eastAsia="宋体" w:cs="宋体"/>
          <w:color w:val="auto"/>
          <w:sz w:val="24"/>
          <w:szCs w:val="24"/>
          <w:lang w:val="en-US"/>
        </w:rPr>
      </w:pPr>
    </w:p>
    <w:p>
      <w:pPr>
        <w:pStyle w:val="41"/>
        <w:adjustRightInd w:val="0"/>
        <w:snapToGrid w:val="0"/>
        <w:spacing w:before="0" w:after="0" w:line="400" w:lineRule="exact"/>
        <w:ind w:firstLine="0" w:firstLineChars="0"/>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致：（填写采购代理机构名称）</w:t>
      </w:r>
    </w:p>
    <w:p>
      <w:pPr>
        <w:pStyle w:val="41"/>
        <w:adjustRightInd w:val="0"/>
        <w:snapToGrid w:val="0"/>
        <w:spacing w:before="0" w:after="0" w:line="400" w:lineRule="exact"/>
        <w:ind w:firstLine="0" w:firstLineChars="0"/>
        <w:jc w:val="both"/>
        <w:rPr>
          <w:rFonts w:ascii="宋体" w:hAnsi="宋体" w:eastAsia="宋体" w:cs="宋体"/>
          <w:color w:val="auto"/>
          <w:sz w:val="24"/>
          <w:szCs w:val="24"/>
          <w:lang w:val="en-US"/>
        </w:rPr>
      </w:pPr>
    </w:p>
    <w:p>
      <w:pPr>
        <w:pStyle w:val="41"/>
        <w:adjustRightInd w:val="0"/>
        <w:snapToGrid w:val="0"/>
        <w:spacing w:before="0" w:after="0" w:line="400" w:lineRule="exact"/>
        <w:ind w:firstLine="480"/>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我公司具有履行合同所必需的设备和专业技术能力。</w:t>
      </w:r>
    </w:p>
    <w:p>
      <w:pPr>
        <w:pStyle w:val="41"/>
        <w:adjustRightInd w:val="0"/>
        <w:snapToGrid w:val="0"/>
        <w:spacing w:before="0" w:after="0" w:line="400" w:lineRule="exact"/>
        <w:ind w:firstLine="0" w:firstLineChars="0"/>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特此声明。</w:t>
      </w:r>
    </w:p>
    <w:p>
      <w:pPr>
        <w:pStyle w:val="41"/>
        <w:adjustRightInd w:val="0"/>
        <w:snapToGrid w:val="0"/>
        <w:spacing w:before="0" w:after="0" w:line="400" w:lineRule="exact"/>
        <w:ind w:firstLine="0" w:firstLineChars="0"/>
        <w:jc w:val="both"/>
        <w:rPr>
          <w:rFonts w:ascii="宋体" w:hAnsi="宋体" w:eastAsia="宋体" w:cs="宋体"/>
          <w:color w:val="auto"/>
          <w:sz w:val="24"/>
          <w:szCs w:val="24"/>
          <w:lang w:val="en-US"/>
        </w:rPr>
      </w:pPr>
    </w:p>
    <w:p>
      <w:pPr>
        <w:pStyle w:val="41"/>
        <w:adjustRightInd w:val="0"/>
        <w:snapToGrid w:val="0"/>
        <w:spacing w:before="0" w:after="0" w:line="400" w:lineRule="exact"/>
        <w:ind w:firstLine="0" w:firstLineChars="0"/>
        <w:jc w:val="both"/>
        <w:rPr>
          <w:rFonts w:ascii="宋体" w:hAnsi="宋体" w:eastAsia="宋体" w:cs="宋体"/>
          <w:color w:val="auto"/>
          <w:sz w:val="24"/>
          <w:szCs w:val="24"/>
          <w:lang w:val="en-US"/>
        </w:rPr>
      </w:pPr>
    </w:p>
    <w:p>
      <w:pPr>
        <w:pStyle w:val="41"/>
        <w:adjustRightInd w:val="0"/>
        <w:snapToGrid w:val="0"/>
        <w:spacing w:before="0" w:after="0" w:line="400" w:lineRule="exact"/>
        <w:ind w:firstLine="0" w:firstLineChars="0"/>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供应商(盖章)：</w:t>
      </w:r>
      <w:r>
        <w:rPr>
          <w:rFonts w:hint="eastAsia" w:ascii="宋体" w:hAnsi="宋体" w:eastAsia="宋体" w:cs="宋体"/>
          <w:color w:val="auto"/>
          <w:sz w:val="24"/>
          <w:szCs w:val="24"/>
          <w:lang w:val="en-US"/>
        </w:rPr>
        <w:tab/>
      </w:r>
      <w:r>
        <w:rPr>
          <w:rFonts w:hint="eastAsia" w:ascii="宋体" w:hAnsi="宋体" w:eastAsia="宋体" w:cs="宋体"/>
          <w:color w:val="auto"/>
          <w:sz w:val="24"/>
          <w:szCs w:val="24"/>
          <w:lang w:val="en-US"/>
        </w:rPr>
        <w:tab/>
      </w:r>
    </w:p>
    <w:p>
      <w:pPr>
        <w:pStyle w:val="41"/>
        <w:adjustRightInd w:val="0"/>
        <w:snapToGrid w:val="0"/>
        <w:spacing w:before="0" w:after="0" w:line="400" w:lineRule="exact"/>
        <w:ind w:firstLine="0" w:firstLineChars="0"/>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法定代表人或供应商授权代表签字：___________________________</w:t>
      </w:r>
    </w:p>
    <w:p>
      <w:pPr>
        <w:pStyle w:val="41"/>
        <w:adjustRightInd w:val="0"/>
        <w:snapToGrid w:val="0"/>
        <w:spacing w:before="0" w:after="0" w:line="400" w:lineRule="exact"/>
        <w:ind w:firstLine="0" w:firstLineChars="0"/>
        <w:jc w:val="both"/>
        <w:rPr>
          <w:rFonts w:ascii="宋体" w:hAnsi="宋体" w:eastAsia="宋体" w:cs="宋体"/>
          <w:color w:val="auto"/>
          <w:sz w:val="24"/>
          <w:szCs w:val="24"/>
          <w:lang w:val="en-US"/>
        </w:rPr>
      </w:pPr>
      <w:r>
        <w:rPr>
          <w:rFonts w:hint="eastAsia" w:ascii="宋体" w:hAnsi="宋体" w:eastAsia="宋体" w:cs="宋体"/>
          <w:color w:val="auto"/>
          <w:sz w:val="24"/>
          <w:szCs w:val="24"/>
          <w:lang w:val="en-US"/>
        </w:rPr>
        <w:t>日期：</w:t>
      </w:r>
    </w:p>
    <w:p>
      <w:pPr>
        <w:pStyle w:val="41"/>
        <w:adjustRightInd w:val="0"/>
        <w:snapToGrid w:val="0"/>
        <w:spacing w:before="0" w:after="0" w:line="400" w:lineRule="exact"/>
        <w:ind w:firstLine="0" w:firstLineChars="0"/>
        <w:jc w:val="both"/>
        <w:rPr>
          <w:rFonts w:ascii="宋体" w:hAnsi="宋体" w:eastAsia="宋体" w:cs="宋体"/>
          <w:color w:val="auto"/>
          <w:sz w:val="24"/>
          <w:szCs w:val="24"/>
          <w:lang w:val="en-US"/>
        </w:rPr>
        <w:sectPr>
          <w:pgSz w:w="11906" w:h="16838"/>
          <w:pgMar w:top="1440" w:right="1797" w:bottom="1440" w:left="1797" w:header="851" w:footer="992" w:gutter="0"/>
          <w:cols w:space="425" w:num="1"/>
          <w:docGrid w:linePitch="312" w:charSpace="0"/>
        </w:sectPr>
      </w:pPr>
    </w:p>
    <w:p>
      <w:pPr>
        <w:pStyle w:val="41"/>
        <w:adjustRightInd w:val="0"/>
        <w:snapToGrid w:val="0"/>
        <w:spacing w:before="0" w:after="0" w:line="400" w:lineRule="exact"/>
        <w:ind w:firstLine="0" w:firstLineChars="0"/>
        <w:jc w:val="both"/>
        <w:outlineLvl w:val="0"/>
        <w:rPr>
          <w:rFonts w:ascii="宋体" w:hAnsi="宋体" w:eastAsia="宋体" w:cs="宋体"/>
          <w:color w:val="auto"/>
          <w:sz w:val="24"/>
          <w:szCs w:val="24"/>
          <w:lang w:val="en-US"/>
        </w:rPr>
      </w:pPr>
      <w:bookmarkStart w:id="183" w:name="_Toc20971"/>
      <w:bookmarkStart w:id="184" w:name="_Toc30003"/>
      <w:bookmarkStart w:id="185" w:name="_Toc12566"/>
      <w:bookmarkStart w:id="186" w:name="_Toc16553"/>
      <w:bookmarkStart w:id="187" w:name="_Toc20742"/>
      <w:bookmarkStart w:id="188" w:name="_Toc26408"/>
      <w:bookmarkStart w:id="189" w:name="_Toc86156787"/>
      <w:bookmarkStart w:id="190" w:name="_Toc95326691"/>
      <w:bookmarkStart w:id="191" w:name="_Toc17429"/>
      <w:bookmarkStart w:id="192" w:name="_Toc13169"/>
      <w:r>
        <w:rPr>
          <w:rFonts w:hint="eastAsia" w:ascii="宋体" w:hAnsi="宋体" w:eastAsia="宋体" w:cs="宋体"/>
          <w:color w:val="auto"/>
          <w:sz w:val="24"/>
          <w:szCs w:val="24"/>
          <w:lang w:val="en-US"/>
        </w:rPr>
        <w:t>★附件5-5：</w:t>
      </w:r>
      <w:bookmarkEnd w:id="183"/>
      <w:bookmarkEnd w:id="184"/>
      <w:bookmarkEnd w:id="185"/>
      <w:bookmarkEnd w:id="186"/>
      <w:bookmarkEnd w:id="187"/>
      <w:bookmarkEnd w:id="188"/>
      <w:bookmarkEnd w:id="189"/>
      <w:bookmarkEnd w:id="190"/>
      <w:bookmarkEnd w:id="191"/>
      <w:bookmarkEnd w:id="192"/>
    </w:p>
    <w:p>
      <w:pPr>
        <w:pStyle w:val="41"/>
        <w:adjustRightInd w:val="0"/>
        <w:snapToGrid w:val="0"/>
        <w:spacing w:before="0" w:after="0" w:line="400" w:lineRule="exact"/>
        <w:ind w:firstLine="0" w:firstLineChars="0"/>
        <w:jc w:val="both"/>
        <w:rPr>
          <w:rFonts w:ascii="宋体" w:hAnsi="宋体" w:eastAsia="宋体" w:cs="宋体"/>
          <w:color w:val="auto"/>
          <w:sz w:val="24"/>
          <w:szCs w:val="24"/>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依法缴纳税收和社会保障资金的良好记录证明材料</w:t>
      </w:r>
    </w:p>
    <w:p>
      <w:pPr>
        <w:pStyle w:val="41"/>
        <w:adjustRightInd w:val="0"/>
        <w:snapToGrid w:val="0"/>
        <w:spacing w:before="0" w:after="0" w:line="400" w:lineRule="exact"/>
        <w:ind w:firstLine="0" w:firstLineChars="0"/>
        <w:jc w:val="center"/>
        <w:rPr>
          <w:rFonts w:ascii="宋体" w:hAnsi="宋体" w:eastAsia="宋体" w:cs="宋体"/>
          <w:caps/>
          <w:color w:val="auto"/>
          <w:sz w:val="32"/>
          <w:szCs w:val="32"/>
        </w:rPr>
      </w:pPr>
    </w:p>
    <w:p>
      <w:pPr>
        <w:autoSpaceDE w:val="0"/>
        <w:autoSpaceDN w:val="0"/>
        <w:snapToGrid w:val="0"/>
        <w:spacing w:line="380" w:lineRule="exact"/>
        <w:jc w:val="both"/>
        <w:rPr>
          <w:rFonts w:ascii="宋体" w:hAnsi="宋体" w:cs="宋体"/>
        </w:rPr>
      </w:pPr>
      <w:r>
        <w:rPr>
          <w:rFonts w:hint="eastAsia" w:ascii="宋体" w:hAnsi="宋体" w:cs="宋体"/>
        </w:rPr>
        <w:t>说明：</w:t>
      </w:r>
    </w:p>
    <w:p>
      <w:pPr>
        <w:autoSpaceDE w:val="0"/>
        <w:autoSpaceDN w:val="0"/>
        <w:snapToGrid w:val="0"/>
        <w:spacing w:line="380" w:lineRule="exact"/>
        <w:ind w:left="120" w:leftChars="50" w:firstLine="480" w:firstLineChars="200"/>
        <w:jc w:val="both"/>
        <w:rPr>
          <w:rFonts w:ascii="宋体" w:hAnsi="宋体" w:cs="宋体"/>
        </w:rPr>
      </w:pPr>
      <w:r>
        <w:rPr>
          <w:rFonts w:hint="eastAsia" w:ascii="宋体" w:hAnsi="宋体" w:cs="宋体"/>
        </w:rPr>
        <w:t>供应商是法人的，缴纳税收的证明材料，应提供开标前六个月内任意一个月的缴税凭据复印件；</w:t>
      </w:r>
    </w:p>
    <w:p>
      <w:pPr>
        <w:autoSpaceDE w:val="0"/>
        <w:autoSpaceDN w:val="0"/>
        <w:snapToGrid w:val="0"/>
        <w:spacing w:line="380" w:lineRule="exact"/>
        <w:ind w:left="120" w:leftChars="50" w:firstLine="480" w:firstLineChars="200"/>
        <w:jc w:val="both"/>
        <w:rPr>
          <w:rFonts w:ascii="宋体" w:hAnsi="宋体" w:cs="宋体"/>
        </w:rPr>
      </w:pPr>
      <w:r>
        <w:rPr>
          <w:rFonts w:hint="eastAsia" w:ascii="宋体" w:hAnsi="宋体" w:cs="宋体"/>
        </w:rPr>
        <w:t>供应商是法人的，缴纳社会保障资金的证明材料，应提供开标前六个月内任意一个月的缴纳社会保险的凭据（专用收据或社会保险缴纳清单或社保中心证明文件）复印件；</w:t>
      </w:r>
    </w:p>
    <w:p>
      <w:pPr>
        <w:autoSpaceDE w:val="0"/>
        <w:autoSpaceDN w:val="0"/>
        <w:snapToGrid w:val="0"/>
        <w:spacing w:line="380" w:lineRule="exact"/>
        <w:ind w:left="120" w:leftChars="50" w:firstLine="480" w:firstLineChars="200"/>
        <w:jc w:val="both"/>
        <w:rPr>
          <w:rFonts w:ascii="宋体" w:hAnsi="宋体" w:cs="宋体"/>
        </w:rPr>
      </w:pPr>
      <w:r>
        <w:rPr>
          <w:rFonts w:hint="eastAsia" w:ascii="宋体" w:hAnsi="宋体" w:cs="宋体"/>
        </w:rPr>
        <w:t>供应商是其他组织和自然人的，需要提供开标前六个月内任意一个月的缴纳税收和社会保险的凭据。</w:t>
      </w:r>
    </w:p>
    <w:p>
      <w:pPr>
        <w:autoSpaceDE w:val="0"/>
        <w:autoSpaceDN w:val="0"/>
        <w:snapToGrid w:val="0"/>
        <w:spacing w:line="380" w:lineRule="exact"/>
        <w:ind w:left="120" w:leftChars="50" w:firstLine="480" w:firstLineChars="200"/>
        <w:jc w:val="both"/>
        <w:rPr>
          <w:rFonts w:ascii="宋体" w:hAnsi="宋体" w:cs="宋体"/>
        </w:rPr>
      </w:pPr>
      <w:r>
        <w:rPr>
          <w:rFonts w:hint="eastAsia" w:ascii="宋体" w:hAnsi="宋体" w:cs="宋体"/>
        </w:rPr>
        <w:t>注：依法免税或不需要缴纳社会保障资金的供应商，须提供相应文件证明其依法免税或不需要缴纳社会保障资金。</w:t>
      </w:r>
    </w:p>
    <w:p>
      <w:pPr>
        <w:pStyle w:val="41"/>
        <w:adjustRightInd w:val="0"/>
        <w:snapToGrid w:val="0"/>
        <w:spacing w:before="0" w:after="0" w:line="400" w:lineRule="exact"/>
        <w:ind w:firstLine="0" w:firstLineChars="0"/>
        <w:jc w:val="center"/>
        <w:rPr>
          <w:rFonts w:ascii="宋体" w:hAnsi="宋体" w:eastAsia="宋体" w:cs="宋体"/>
          <w:caps/>
          <w:color w:val="auto"/>
          <w:sz w:val="32"/>
          <w:szCs w:val="32"/>
        </w:rPr>
      </w:pPr>
    </w:p>
    <w:p>
      <w:pPr>
        <w:pStyle w:val="41"/>
        <w:adjustRightInd w:val="0"/>
        <w:snapToGrid w:val="0"/>
        <w:spacing w:before="0" w:after="0" w:line="400" w:lineRule="exact"/>
        <w:ind w:firstLine="0" w:firstLineChars="0"/>
        <w:jc w:val="both"/>
        <w:outlineLvl w:val="0"/>
        <w:rPr>
          <w:rFonts w:ascii="宋体" w:hAnsi="宋体" w:eastAsia="宋体" w:cs="宋体"/>
          <w:color w:val="auto"/>
          <w:sz w:val="24"/>
          <w:szCs w:val="24"/>
          <w:lang w:val="en-US"/>
        </w:rPr>
      </w:pPr>
      <w:r>
        <w:rPr>
          <w:rFonts w:hint="eastAsia" w:ascii="宋体" w:hAnsi="宋体" w:eastAsia="宋体" w:cs="宋体"/>
          <w:color w:val="auto"/>
          <w:sz w:val="24"/>
          <w:szCs w:val="24"/>
        </w:rPr>
        <w:br w:type="page"/>
      </w:r>
      <w:bookmarkStart w:id="193" w:name="_Toc28471"/>
      <w:bookmarkStart w:id="194" w:name="_Toc8365"/>
      <w:bookmarkStart w:id="195" w:name="_Toc27753"/>
      <w:bookmarkStart w:id="196" w:name="_Toc19004"/>
      <w:bookmarkStart w:id="197" w:name="_Toc23719"/>
      <w:bookmarkStart w:id="198" w:name="_Toc25006"/>
      <w:bookmarkStart w:id="199" w:name="_Toc86156788"/>
      <w:bookmarkStart w:id="200" w:name="_Toc6456"/>
      <w:bookmarkStart w:id="201" w:name="_Toc95326692"/>
      <w:bookmarkStart w:id="202" w:name="_Toc31419"/>
      <w:r>
        <w:rPr>
          <w:rFonts w:hint="eastAsia" w:ascii="宋体" w:hAnsi="宋体" w:eastAsia="宋体" w:cs="宋体"/>
          <w:color w:val="auto"/>
          <w:sz w:val="24"/>
          <w:szCs w:val="24"/>
        </w:rPr>
        <w:t>★</w:t>
      </w:r>
      <w:r>
        <w:rPr>
          <w:rFonts w:hint="eastAsia" w:ascii="宋体" w:hAnsi="宋体" w:eastAsia="宋体" w:cs="宋体"/>
          <w:color w:val="auto"/>
          <w:sz w:val="24"/>
          <w:szCs w:val="24"/>
          <w:lang w:val="en-US"/>
        </w:rPr>
        <w:t>附件5-6：</w:t>
      </w:r>
      <w:bookmarkEnd w:id="193"/>
      <w:bookmarkEnd w:id="194"/>
      <w:bookmarkEnd w:id="195"/>
      <w:bookmarkEnd w:id="196"/>
      <w:bookmarkEnd w:id="197"/>
      <w:bookmarkEnd w:id="198"/>
      <w:bookmarkEnd w:id="199"/>
      <w:bookmarkEnd w:id="200"/>
      <w:bookmarkEnd w:id="201"/>
      <w:bookmarkEnd w:id="202"/>
    </w:p>
    <w:p>
      <w:pPr>
        <w:pStyle w:val="41"/>
        <w:adjustRightInd w:val="0"/>
        <w:snapToGrid w:val="0"/>
        <w:spacing w:before="0" w:after="0" w:line="400" w:lineRule="exact"/>
        <w:ind w:firstLine="0" w:firstLineChars="0"/>
        <w:jc w:val="both"/>
        <w:rPr>
          <w:rFonts w:ascii="宋体" w:hAnsi="宋体" w:eastAsia="宋体" w:cs="宋体"/>
          <w:color w:val="auto"/>
          <w:sz w:val="24"/>
          <w:szCs w:val="24"/>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合法经营活动声明</w:t>
      </w:r>
    </w:p>
    <w:p>
      <w:pPr>
        <w:snapToGrid w:val="0"/>
        <w:spacing w:line="400" w:lineRule="exact"/>
        <w:jc w:val="center"/>
        <w:rPr>
          <w:rFonts w:ascii="宋体" w:hAnsi="宋体" w:cs="宋体"/>
          <w:caps/>
          <w:sz w:val="36"/>
          <w:szCs w:val="36"/>
        </w:rPr>
      </w:pPr>
    </w:p>
    <w:p>
      <w:pPr>
        <w:tabs>
          <w:tab w:val="left" w:pos="5580"/>
        </w:tabs>
        <w:snapToGrid w:val="0"/>
        <w:spacing w:line="400" w:lineRule="exact"/>
        <w:rPr>
          <w:rFonts w:ascii="宋体" w:hAnsi="宋体" w:cs="宋体"/>
          <w:szCs w:val="21"/>
        </w:rPr>
      </w:pPr>
    </w:p>
    <w:p>
      <w:pPr>
        <w:tabs>
          <w:tab w:val="left" w:pos="5580"/>
        </w:tabs>
        <w:snapToGrid w:val="0"/>
        <w:spacing w:line="400" w:lineRule="exact"/>
        <w:rPr>
          <w:rFonts w:ascii="宋体" w:hAnsi="宋体" w:cs="宋体"/>
        </w:rPr>
      </w:pPr>
      <w:r>
        <w:rPr>
          <w:rFonts w:hint="eastAsia" w:ascii="宋体" w:hAnsi="宋体" w:cs="宋体"/>
        </w:rPr>
        <w:t>致：</w:t>
      </w:r>
      <w:r>
        <w:rPr>
          <w:rFonts w:hint="eastAsia" w:ascii="宋体" w:hAnsi="宋体" w:cs="宋体"/>
          <w:u w:val="single"/>
        </w:rPr>
        <w:t>（填写采购代理机构名称）</w:t>
      </w:r>
    </w:p>
    <w:p>
      <w:pPr>
        <w:tabs>
          <w:tab w:val="left" w:pos="5580"/>
        </w:tabs>
        <w:snapToGrid w:val="0"/>
        <w:spacing w:line="400" w:lineRule="exact"/>
        <w:ind w:firstLine="480" w:firstLineChars="200"/>
        <w:rPr>
          <w:rFonts w:ascii="宋体" w:hAnsi="宋体" w:cs="宋体"/>
        </w:rPr>
      </w:pPr>
    </w:p>
    <w:p>
      <w:pPr>
        <w:tabs>
          <w:tab w:val="left" w:pos="5580"/>
        </w:tabs>
        <w:snapToGrid w:val="0"/>
        <w:spacing w:line="400" w:lineRule="exact"/>
        <w:ind w:firstLine="480" w:firstLineChars="200"/>
        <w:rPr>
          <w:rFonts w:ascii="宋体" w:hAnsi="宋体" w:cs="宋体"/>
        </w:rPr>
      </w:pPr>
      <w:r>
        <w:rPr>
          <w:rFonts w:hint="eastAsia" w:ascii="宋体" w:hAnsi="宋体" w:cs="宋体"/>
        </w:rPr>
        <w:t>我公司郑重承诺在参加本项目政府采购活动前三年内，在经营活动中无重大违法记录。公司未处于被责令停业，财产被接管、冻结、破产状况。</w:t>
      </w:r>
    </w:p>
    <w:p>
      <w:pPr>
        <w:tabs>
          <w:tab w:val="left" w:pos="5580"/>
        </w:tabs>
        <w:snapToGrid w:val="0"/>
        <w:spacing w:line="400" w:lineRule="exact"/>
        <w:ind w:firstLine="480" w:firstLineChars="200"/>
        <w:rPr>
          <w:rFonts w:ascii="宋体" w:hAnsi="宋体" w:cs="宋体"/>
        </w:rPr>
      </w:pPr>
      <w:r>
        <w:rPr>
          <w:rFonts w:hint="eastAsia" w:ascii="宋体" w:hAnsi="宋体" w:cs="宋体"/>
        </w:rPr>
        <w:t>特此声明。</w:t>
      </w:r>
    </w:p>
    <w:p>
      <w:pPr>
        <w:tabs>
          <w:tab w:val="left" w:pos="5580"/>
        </w:tabs>
        <w:snapToGrid w:val="0"/>
        <w:spacing w:line="400" w:lineRule="exact"/>
        <w:ind w:firstLine="480" w:firstLineChars="200"/>
        <w:rPr>
          <w:rFonts w:ascii="宋体" w:hAnsi="宋体" w:cs="宋体"/>
        </w:rPr>
      </w:pPr>
    </w:p>
    <w:p>
      <w:pPr>
        <w:tabs>
          <w:tab w:val="left" w:pos="5580"/>
        </w:tabs>
        <w:snapToGrid w:val="0"/>
        <w:spacing w:line="400" w:lineRule="exact"/>
        <w:ind w:firstLine="480" w:firstLineChars="200"/>
        <w:rPr>
          <w:rFonts w:ascii="宋体" w:hAnsi="宋体" w:cs="宋体"/>
        </w:rPr>
      </w:pPr>
    </w:p>
    <w:p>
      <w:pPr>
        <w:pStyle w:val="15"/>
        <w:adjustRightInd w:val="0"/>
        <w:snapToGrid w:val="0"/>
        <w:spacing w:line="400" w:lineRule="exact"/>
        <w:ind w:firstLine="240" w:firstLineChars="100"/>
        <w:rPr>
          <w:rFonts w:hAnsi="宋体" w:cs="宋体"/>
          <w:sz w:val="24"/>
          <w:szCs w:val="24"/>
          <w:u w:val="single"/>
        </w:rPr>
      </w:pPr>
      <w:r>
        <w:rPr>
          <w:rFonts w:hint="eastAsia" w:hAnsi="宋体" w:cs="宋体"/>
          <w:sz w:val="24"/>
          <w:szCs w:val="24"/>
        </w:rPr>
        <w:t>投标人(盖章)：</w:t>
      </w:r>
      <w:r>
        <w:rPr>
          <w:rFonts w:hint="eastAsia" w:hAnsi="宋体" w:cs="宋体"/>
          <w:sz w:val="24"/>
          <w:szCs w:val="24"/>
          <w:u w:val="single"/>
        </w:rPr>
        <w:tab/>
      </w:r>
      <w:r>
        <w:rPr>
          <w:rFonts w:hint="eastAsia" w:hAnsi="宋体" w:cs="宋体"/>
          <w:sz w:val="24"/>
          <w:szCs w:val="24"/>
          <w:u w:val="single"/>
        </w:rPr>
        <w:tab/>
      </w:r>
    </w:p>
    <w:p>
      <w:pPr>
        <w:pStyle w:val="15"/>
        <w:adjustRightInd w:val="0"/>
        <w:snapToGrid w:val="0"/>
        <w:spacing w:line="400" w:lineRule="exact"/>
        <w:ind w:firstLine="240" w:firstLineChars="100"/>
        <w:rPr>
          <w:rFonts w:hAnsi="宋体" w:cs="宋体"/>
          <w:sz w:val="24"/>
          <w:szCs w:val="24"/>
        </w:rPr>
      </w:pPr>
      <w:r>
        <w:rPr>
          <w:rFonts w:hint="eastAsia" w:hAnsi="宋体" w:cs="宋体"/>
          <w:sz w:val="24"/>
          <w:szCs w:val="24"/>
        </w:rPr>
        <w:t>投标人授权代表签字：___________________________</w:t>
      </w:r>
    </w:p>
    <w:p>
      <w:pPr>
        <w:pStyle w:val="15"/>
        <w:adjustRightInd w:val="0"/>
        <w:snapToGrid w:val="0"/>
        <w:spacing w:line="400" w:lineRule="exact"/>
        <w:ind w:firstLine="240" w:firstLineChars="100"/>
        <w:rPr>
          <w:rFonts w:hAnsi="宋体" w:cs="宋体"/>
          <w:sz w:val="24"/>
          <w:szCs w:val="24"/>
          <w:u w:val="single"/>
        </w:rPr>
      </w:pPr>
      <w:r>
        <w:rPr>
          <w:rFonts w:hint="eastAsia" w:hAnsi="宋体" w:cs="宋体"/>
          <w:sz w:val="24"/>
          <w:szCs w:val="24"/>
        </w:rPr>
        <w:t>日期：</w:t>
      </w:r>
    </w:p>
    <w:p>
      <w:pPr>
        <w:pStyle w:val="41"/>
        <w:adjustRightInd w:val="0"/>
        <w:snapToGrid w:val="0"/>
        <w:spacing w:before="0" w:after="0" w:line="400" w:lineRule="exact"/>
        <w:ind w:firstLine="0" w:firstLineChars="0"/>
        <w:jc w:val="both"/>
        <w:rPr>
          <w:rFonts w:ascii="宋体" w:hAnsi="宋体" w:eastAsia="宋体" w:cs="宋体"/>
          <w:color w:val="auto"/>
          <w:sz w:val="24"/>
          <w:szCs w:val="24"/>
        </w:rPr>
      </w:pPr>
    </w:p>
    <w:p>
      <w:pPr>
        <w:pStyle w:val="41"/>
        <w:adjustRightInd w:val="0"/>
        <w:snapToGrid w:val="0"/>
        <w:spacing w:before="0" w:after="0" w:line="400" w:lineRule="exact"/>
        <w:ind w:firstLine="0" w:firstLineChars="0"/>
        <w:jc w:val="both"/>
        <w:outlineLvl w:val="0"/>
        <w:rPr>
          <w:rFonts w:ascii="宋体" w:hAnsi="宋体" w:eastAsia="宋体" w:cs="宋体"/>
          <w:color w:val="auto"/>
          <w:sz w:val="24"/>
          <w:szCs w:val="24"/>
          <w:lang w:val="en-US"/>
        </w:rPr>
      </w:pPr>
      <w:r>
        <w:rPr>
          <w:rFonts w:hint="eastAsia" w:ascii="宋体" w:hAnsi="宋体" w:eastAsia="宋体" w:cs="宋体"/>
          <w:color w:val="auto"/>
          <w:sz w:val="24"/>
          <w:szCs w:val="24"/>
        </w:rPr>
        <w:br w:type="page"/>
      </w:r>
      <w:bookmarkStart w:id="203" w:name="_Toc95326693"/>
      <w:bookmarkStart w:id="204" w:name="_Toc86156789"/>
      <w:bookmarkStart w:id="205" w:name="_Toc10275"/>
      <w:bookmarkStart w:id="206" w:name="_Toc16224"/>
      <w:bookmarkStart w:id="207" w:name="_Toc7374"/>
      <w:bookmarkStart w:id="208" w:name="_Toc7979"/>
      <w:bookmarkStart w:id="209" w:name="_Toc24688"/>
      <w:bookmarkStart w:id="210" w:name="_Toc29090"/>
      <w:bookmarkStart w:id="211" w:name="_Toc28891"/>
      <w:bookmarkStart w:id="212" w:name="_Toc17098"/>
      <w:r>
        <w:rPr>
          <w:rFonts w:hint="eastAsia" w:ascii="宋体" w:hAnsi="宋体" w:eastAsia="宋体" w:cs="宋体"/>
          <w:color w:val="auto"/>
          <w:sz w:val="24"/>
          <w:szCs w:val="24"/>
          <w:lang w:val="en-US"/>
        </w:rPr>
        <w:t>附件5-7：</w:t>
      </w:r>
      <w:bookmarkEnd w:id="203"/>
      <w:bookmarkEnd w:id="204"/>
      <w:bookmarkEnd w:id="205"/>
      <w:bookmarkEnd w:id="206"/>
      <w:bookmarkEnd w:id="207"/>
      <w:bookmarkEnd w:id="208"/>
      <w:bookmarkEnd w:id="209"/>
      <w:bookmarkEnd w:id="210"/>
      <w:bookmarkEnd w:id="211"/>
      <w:bookmarkEnd w:id="212"/>
    </w:p>
    <w:p>
      <w:pPr>
        <w:pStyle w:val="41"/>
        <w:adjustRightInd w:val="0"/>
        <w:snapToGrid w:val="0"/>
        <w:spacing w:before="0" w:after="0" w:line="400" w:lineRule="exact"/>
        <w:ind w:firstLine="0" w:firstLineChars="0"/>
        <w:jc w:val="both"/>
        <w:rPr>
          <w:rFonts w:ascii="宋体" w:hAnsi="宋体" w:eastAsia="宋体" w:cs="宋体"/>
          <w:color w:val="auto"/>
          <w:sz w:val="24"/>
          <w:szCs w:val="24"/>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招标文件要求或投标人认为必要的其他内容</w:t>
      </w:r>
    </w:p>
    <w:p>
      <w:pPr>
        <w:pStyle w:val="41"/>
        <w:adjustRightInd w:val="0"/>
        <w:snapToGrid w:val="0"/>
        <w:spacing w:before="0" w:after="0" w:line="400" w:lineRule="exact"/>
        <w:ind w:firstLine="0" w:firstLineChars="0"/>
        <w:rPr>
          <w:rFonts w:ascii="宋体" w:hAnsi="宋体" w:eastAsia="宋体" w:cs="宋体"/>
          <w:caps/>
          <w:color w:val="auto"/>
          <w:sz w:val="36"/>
          <w:szCs w:val="36"/>
        </w:rPr>
      </w:pPr>
    </w:p>
    <w:p>
      <w:pPr>
        <w:pStyle w:val="63"/>
        <w:adjustRightInd w:val="0"/>
        <w:snapToGrid w:val="0"/>
        <w:spacing w:line="400" w:lineRule="exact"/>
        <w:jc w:val="left"/>
        <w:rPr>
          <w:rFonts w:hAnsi="宋体" w:cs="宋体"/>
        </w:rPr>
        <w:sectPr>
          <w:pgSz w:w="11906" w:h="16838"/>
          <w:pgMar w:top="1440" w:right="1797" w:bottom="1440" w:left="1797" w:header="851" w:footer="992" w:gutter="0"/>
          <w:cols w:space="425" w:num="1"/>
          <w:docGrid w:linePitch="312" w:charSpace="0"/>
        </w:sectPr>
      </w:pPr>
    </w:p>
    <w:p>
      <w:pPr>
        <w:pStyle w:val="63"/>
        <w:adjustRightInd w:val="0"/>
        <w:snapToGrid w:val="0"/>
        <w:spacing w:line="400" w:lineRule="exact"/>
        <w:jc w:val="left"/>
        <w:rPr>
          <w:rFonts w:hAnsi="宋体" w:cs="宋体"/>
          <w:lang w:val="zh-CN"/>
        </w:rPr>
      </w:pPr>
      <w:bookmarkStart w:id="213" w:name="_Toc9316"/>
      <w:bookmarkStart w:id="214" w:name="_Toc86156790"/>
      <w:bookmarkStart w:id="215" w:name="_Toc27058"/>
      <w:bookmarkStart w:id="216" w:name="_Toc28740"/>
      <w:bookmarkStart w:id="217" w:name="_Toc8453"/>
      <w:bookmarkStart w:id="218" w:name="_Toc2019"/>
      <w:bookmarkStart w:id="219" w:name="_Toc1135"/>
      <w:bookmarkStart w:id="220" w:name="_Toc95326694"/>
      <w:bookmarkStart w:id="221" w:name="_Toc26119"/>
      <w:bookmarkStart w:id="222" w:name="_Toc2153"/>
      <w:r>
        <w:rPr>
          <w:rFonts w:hint="eastAsia" w:hAnsi="宋体" w:cs="宋体"/>
          <w:lang w:val="zh-CN"/>
        </w:rPr>
        <w:t>★</w:t>
      </w:r>
      <w:r>
        <w:rPr>
          <w:rFonts w:hint="eastAsia" w:hAnsi="宋体" w:cs="宋体"/>
        </w:rPr>
        <w:t>附件</w:t>
      </w:r>
      <w:r>
        <w:rPr>
          <w:rFonts w:hint="eastAsia" w:hAnsi="宋体" w:cs="宋体"/>
          <w:lang w:val="zh-CN"/>
        </w:rPr>
        <w:t>5-8 ﻿是否为本项目提供整体设计、规范编制或者项目管理、监理、检测等服务的供应商的书面声明（ 格式自拟、原件加盖公章）</w:t>
      </w:r>
      <w:bookmarkEnd w:id="213"/>
      <w:bookmarkEnd w:id="214"/>
      <w:bookmarkEnd w:id="215"/>
      <w:bookmarkEnd w:id="216"/>
      <w:bookmarkEnd w:id="217"/>
      <w:bookmarkEnd w:id="218"/>
      <w:bookmarkEnd w:id="219"/>
      <w:bookmarkEnd w:id="220"/>
      <w:bookmarkEnd w:id="221"/>
      <w:bookmarkEnd w:id="222"/>
    </w:p>
    <w:p>
      <w:pPr>
        <w:pStyle w:val="63"/>
        <w:adjustRightInd w:val="0"/>
        <w:snapToGrid w:val="0"/>
        <w:spacing w:line="400" w:lineRule="exact"/>
        <w:jc w:val="left"/>
        <w:outlineLvl w:val="9"/>
        <w:rPr>
          <w:rFonts w:hAnsi="宋体" w:cs="宋体"/>
          <w:lang w:val="zh-CN"/>
        </w:rPr>
      </w:pPr>
      <w:bookmarkStart w:id="223" w:name="_Toc24365"/>
      <w:bookmarkStart w:id="224" w:name="_Toc11039"/>
      <w:bookmarkStart w:id="225" w:name="_Toc748"/>
      <w:bookmarkStart w:id="226" w:name="_Toc165"/>
      <w:bookmarkStart w:id="227" w:name="_Toc18080"/>
      <w:bookmarkStart w:id="228" w:name="_Toc29997"/>
      <w:bookmarkStart w:id="229" w:name="_Toc3990"/>
      <w:bookmarkStart w:id="230" w:name="_Toc30553"/>
      <w:r>
        <w:rPr>
          <w:rFonts w:hint="eastAsia" w:hAnsi="宋体" w:cs="宋体"/>
          <w:lang w:val="zh-CN"/>
        </w:rPr>
        <w:t>说明：若投标人前期为本采购项目提供整体设计、规范编制或者项目管理、监理、检测等服务的供应商，不得再参加本采购项目的采购活动，请务必对此进行说明。</w:t>
      </w:r>
      <w:bookmarkEnd w:id="223"/>
      <w:bookmarkEnd w:id="224"/>
      <w:bookmarkEnd w:id="225"/>
      <w:bookmarkEnd w:id="226"/>
      <w:bookmarkEnd w:id="227"/>
      <w:bookmarkEnd w:id="228"/>
      <w:bookmarkEnd w:id="229"/>
      <w:bookmarkEnd w:id="230"/>
    </w:p>
    <w:p>
      <w:pPr>
        <w:pStyle w:val="63"/>
        <w:adjustRightInd w:val="0"/>
        <w:snapToGrid w:val="0"/>
        <w:spacing w:line="400" w:lineRule="exact"/>
        <w:jc w:val="left"/>
        <w:outlineLvl w:val="9"/>
        <w:rPr>
          <w:rFonts w:hAnsi="宋体" w:cs="宋体"/>
          <w:lang w:val="zh-CN"/>
        </w:rPr>
      </w:pPr>
    </w:p>
    <w:p>
      <w:pPr>
        <w:pStyle w:val="63"/>
        <w:adjustRightInd w:val="0"/>
        <w:snapToGrid w:val="0"/>
        <w:spacing w:line="400" w:lineRule="exact"/>
        <w:jc w:val="left"/>
        <w:outlineLvl w:val="9"/>
        <w:rPr>
          <w:rFonts w:hAnsi="宋体" w:cs="宋体"/>
          <w:lang w:val="zh-CN"/>
        </w:rPr>
      </w:pPr>
    </w:p>
    <w:p>
      <w:pPr>
        <w:tabs>
          <w:tab w:val="left" w:pos="5580"/>
        </w:tabs>
        <w:snapToGrid w:val="0"/>
        <w:spacing w:line="400" w:lineRule="exact"/>
        <w:rPr>
          <w:rFonts w:ascii="宋体" w:hAnsi="宋体" w:cs="宋体"/>
        </w:rPr>
      </w:pPr>
      <w:r>
        <w:rPr>
          <w:rFonts w:hint="eastAsia" w:ascii="宋体" w:hAnsi="宋体" w:cs="宋体"/>
        </w:rPr>
        <w:t>致：</w:t>
      </w:r>
      <w:r>
        <w:rPr>
          <w:rFonts w:hint="eastAsia" w:ascii="宋体" w:hAnsi="宋体" w:cs="宋体"/>
          <w:u w:val="single"/>
        </w:rPr>
        <w:t>（填写采购代理机构名称）</w:t>
      </w:r>
    </w:p>
    <w:p>
      <w:pPr>
        <w:tabs>
          <w:tab w:val="left" w:pos="5580"/>
        </w:tabs>
        <w:snapToGrid w:val="0"/>
        <w:spacing w:line="400" w:lineRule="exact"/>
        <w:ind w:firstLine="480" w:firstLineChars="200"/>
        <w:rPr>
          <w:rFonts w:ascii="宋体" w:hAnsi="宋体" w:cs="宋体"/>
        </w:rPr>
      </w:pPr>
    </w:p>
    <w:p>
      <w:pPr>
        <w:tabs>
          <w:tab w:val="left" w:pos="5580"/>
        </w:tabs>
        <w:snapToGrid w:val="0"/>
        <w:spacing w:line="400" w:lineRule="exact"/>
        <w:ind w:firstLine="480" w:firstLineChars="200"/>
        <w:rPr>
          <w:rFonts w:ascii="宋体" w:hAnsi="宋体" w:cs="宋体"/>
        </w:rPr>
      </w:pPr>
      <w:r>
        <w:rPr>
          <w:rFonts w:hint="eastAsia" w:ascii="宋体" w:hAnsi="宋体" w:cs="宋体"/>
        </w:rPr>
        <w:t>我公司</w:t>
      </w:r>
      <w:r>
        <w:rPr>
          <w:rFonts w:hint="eastAsia" w:ascii="宋体" w:hAnsi="宋体" w:cs="宋体"/>
          <w:lang w:val="zh-CN"/>
        </w:rPr>
        <w:t>前期</w:t>
      </w:r>
      <w:r>
        <w:rPr>
          <w:rFonts w:hint="eastAsia" w:ascii="宋体" w:hAnsi="宋体" w:cs="宋体"/>
        </w:rPr>
        <w:t>（</w:t>
      </w:r>
      <w:r>
        <w:rPr>
          <w:rFonts w:hint="eastAsia" w:ascii="宋体" w:hAnsi="宋体" w:cs="宋体"/>
        </w:rPr>
        <w:sym w:font="Wingdings" w:char="00A8"/>
      </w:r>
      <w:r>
        <w:rPr>
          <w:rFonts w:hint="eastAsia" w:ascii="宋体" w:hAnsi="宋体" w:cs="宋体"/>
        </w:rPr>
        <w:t>是/</w:t>
      </w:r>
      <w:r>
        <w:rPr>
          <w:rFonts w:hint="eastAsia" w:ascii="宋体" w:hAnsi="宋体" w:cs="宋体"/>
        </w:rPr>
        <w:sym w:font="Wingdings" w:char="00FE"/>
      </w:r>
      <w:r>
        <w:rPr>
          <w:rFonts w:hint="eastAsia" w:ascii="宋体" w:hAnsi="宋体" w:cs="宋体"/>
        </w:rPr>
        <w:t>不是）</w:t>
      </w:r>
      <w:r>
        <w:rPr>
          <w:rFonts w:hint="eastAsia" w:ascii="宋体" w:hAnsi="宋体" w:cs="宋体"/>
          <w:lang w:val="zh-CN"/>
        </w:rPr>
        <w:t>为本项目</w:t>
      </w:r>
      <w:r>
        <w:rPr>
          <w:rFonts w:hint="eastAsia" w:ascii="宋体" w:hAnsi="宋体" w:cs="宋体"/>
        </w:rPr>
        <w:t>前期</w:t>
      </w:r>
      <w:r>
        <w:rPr>
          <w:rFonts w:hint="eastAsia" w:ascii="宋体" w:hAnsi="宋体" w:cs="宋体"/>
          <w:lang w:val="zh-CN"/>
        </w:rPr>
        <w:t>提供整体设计、规范编制或者项目管理、监理、检测等服务的供应商</w:t>
      </w:r>
      <w:r>
        <w:rPr>
          <w:rFonts w:hint="eastAsia" w:ascii="宋体" w:hAnsi="宋体" w:cs="宋体"/>
        </w:rPr>
        <w:t>。</w:t>
      </w:r>
    </w:p>
    <w:p>
      <w:pPr>
        <w:tabs>
          <w:tab w:val="left" w:pos="5580"/>
        </w:tabs>
        <w:snapToGrid w:val="0"/>
        <w:spacing w:line="400" w:lineRule="exact"/>
        <w:ind w:firstLine="480" w:firstLineChars="200"/>
        <w:rPr>
          <w:rFonts w:ascii="宋体" w:hAnsi="宋体" w:cs="宋体"/>
        </w:rPr>
      </w:pPr>
      <w:r>
        <w:rPr>
          <w:rFonts w:hint="eastAsia" w:ascii="宋体" w:hAnsi="宋体" w:cs="宋体"/>
        </w:rPr>
        <w:t>特此声明。</w:t>
      </w:r>
    </w:p>
    <w:p>
      <w:pPr>
        <w:tabs>
          <w:tab w:val="left" w:pos="5580"/>
        </w:tabs>
        <w:snapToGrid w:val="0"/>
        <w:spacing w:line="400" w:lineRule="exact"/>
        <w:ind w:firstLine="480" w:firstLineChars="200"/>
        <w:rPr>
          <w:rFonts w:ascii="宋体" w:hAnsi="宋体" w:cs="宋体"/>
        </w:rPr>
      </w:pPr>
    </w:p>
    <w:p>
      <w:pPr>
        <w:tabs>
          <w:tab w:val="left" w:pos="5580"/>
        </w:tabs>
        <w:snapToGrid w:val="0"/>
        <w:spacing w:line="400" w:lineRule="exact"/>
        <w:ind w:firstLine="480" w:firstLineChars="200"/>
        <w:rPr>
          <w:rFonts w:ascii="宋体" w:hAnsi="宋体" w:cs="宋体"/>
        </w:rPr>
      </w:pPr>
    </w:p>
    <w:p>
      <w:pPr>
        <w:snapToGrid w:val="0"/>
        <w:spacing w:line="400" w:lineRule="exact"/>
        <w:ind w:firstLine="240" w:firstLineChars="100"/>
        <w:jc w:val="both"/>
        <w:textAlignment w:val="auto"/>
        <w:rPr>
          <w:rFonts w:ascii="宋体" w:hAnsi="宋体" w:cs="宋体"/>
          <w:u w:val="single"/>
        </w:rPr>
      </w:pPr>
      <w:r>
        <w:rPr>
          <w:rFonts w:hint="eastAsia" w:ascii="宋体" w:hAnsi="宋体" w:cs="宋体"/>
        </w:rPr>
        <w:t>供应商(盖章)：</w:t>
      </w:r>
      <w:r>
        <w:rPr>
          <w:rFonts w:hint="eastAsia" w:ascii="宋体" w:hAnsi="宋体" w:cs="宋体"/>
          <w:u w:val="single"/>
        </w:rPr>
        <w:tab/>
      </w:r>
      <w:r>
        <w:rPr>
          <w:rFonts w:hint="eastAsia" w:ascii="宋体" w:hAnsi="宋体" w:cs="宋体"/>
          <w:u w:val="single"/>
        </w:rPr>
        <w:tab/>
      </w:r>
    </w:p>
    <w:p>
      <w:pPr>
        <w:snapToGrid w:val="0"/>
        <w:spacing w:line="400" w:lineRule="exact"/>
        <w:ind w:firstLine="240" w:firstLineChars="100"/>
        <w:jc w:val="both"/>
        <w:textAlignment w:val="auto"/>
        <w:rPr>
          <w:rFonts w:ascii="宋体" w:hAnsi="宋体" w:cs="宋体"/>
        </w:rPr>
      </w:pPr>
      <w:r>
        <w:rPr>
          <w:rFonts w:hint="eastAsia" w:ascii="宋体" w:hAnsi="宋体" w:cs="宋体"/>
        </w:rPr>
        <w:t>法定代表人或供应商授权代表签字：___________________________</w:t>
      </w:r>
    </w:p>
    <w:p>
      <w:pPr>
        <w:snapToGrid w:val="0"/>
        <w:spacing w:line="400" w:lineRule="exact"/>
        <w:ind w:firstLine="240" w:firstLineChars="100"/>
        <w:jc w:val="both"/>
        <w:textAlignment w:val="auto"/>
        <w:rPr>
          <w:rFonts w:ascii="宋体" w:hAnsi="宋体" w:cs="宋体"/>
          <w:u w:val="single"/>
        </w:rPr>
      </w:pPr>
      <w:r>
        <w:rPr>
          <w:rFonts w:hint="eastAsia" w:ascii="宋体" w:hAnsi="宋体" w:cs="宋体"/>
        </w:rPr>
        <w:t>日期：</w:t>
      </w:r>
    </w:p>
    <w:p>
      <w:pPr>
        <w:snapToGrid w:val="0"/>
        <w:spacing w:line="400" w:lineRule="exact"/>
        <w:rPr>
          <w:rFonts w:ascii="宋体" w:hAnsi="宋体" w:cs="宋体"/>
          <w:lang w:val="zh-CN"/>
        </w:rPr>
        <w:sectPr>
          <w:pgSz w:w="11906" w:h="16838"/>
          <w:pgMar w:top="1440" w:right="1797" w:bottom="1440" w:left="1797" w:header="851" w:footer="992" w:gutter="0"/>
          <w:cols w:space="425" w:num="1"/>
          <w:docGrid w:linePitch="312" w:charSpace="0"/>
        </w:sectPr>
      </w:pPr>
    </w:p>
    <w:p>
      <w:pPr>
        <w:pStyle w:val="63"/>
        <w:adjustRightInd w:val="0"/>
        <w:snapToGrid w:val="0"/>
        <w:spacing w:line="400" w:lineRule="exact"/>
        <w:jc w:val="left"/>
        <w:rPr>
          <w:rFonts w:hAnsi="宋体" w:cs="宋体"/>
          <w:lang w:val="zh-CN"/>
        </w:rPr>
      </w:pPr>
      <w:bookmarkStart w:id="231" w:name="_Toc22828"/>
      <w:bookmarkStart w:id="232" w:name="_Toc95326695"/>
      <w:bookmarkStart w:id="233" w:name="_Toc909"/>
      <w:bookmarkStart w:id="234" w:name="_Toc31196"/>
      <w:bookmarkStart w:id="235" w:name="_Toc16022"/>
      <w:bookmarkStart w:id="236" w:name="_Toc86156791"/>
      <w:bookmarkStart w:id="237" w:name="_Toc29565"/>
      <w:bookmarkStart w:id="238" w:name="_Toc19081"/>
      <w:bookmarkStart w:id="239" w:name="_Toc28102"/>
      <w:bookmarkStart w:id="240" w:name="_Toc515"/>
      <w:r>
        <w:rPr>
          <w:rFonts w:hint="eastAsia" w:hAnsi="宋体" w:cs="宋体"/>
          <w:lang w:val="zh-CN"/>
        </w:rPr>
        <w:t>★</w:t>
      </w:r>
      <w:r>
        <w:rPr>
          <w:rFonts w:hint="eastAsia" w:hAnsi="宋体" w:cs="宋体"/>
        </w:rPr>
        <w:t>附件</w:t>
      </w:r>
      <w:r>
        <w:rPr>
          <w:rFonts w:hint="eastAsia" w:hAnsi="宋体" w:cs="宋体"/>
          <w:lang w:val="zh-CN"/>
        </w:rPr>
        <w:t>5</w:t>
      </w:r>
      <w:r>
        <w:rPr>
          <w:rFonts w:hint="eastAsia" w:hAnsi="宋体" w:cs="宋体"/>
        </w:rPr>
        <w:t>-</w:t>
      </w:r>
      <w:r>
        <w:rPr>
          <w:rFonts w:hint="eastAsia" w:hAnsi="宋体" w:cs="宋体"/>
          <w:lang w:val="zh-CN"/>
        </w:rPr>
        <w:t>9供应商控股股东名称、控股公司的名称和存在管理、被管理关系的单位名称说明（ 格式自拟，原件，加盖公章）</w:t>
      </w:r>
      <w:bookmarkEnd w:id="231"/>
      <w:bookmarkEnd w:id="232"/>
      <w:bookmarkEnd w:id="233"/>
      <w:bookmarkEnd w:id="234"/>
      <w:bookmarkEnd w:id="235"/>
      <w:bookmarkEnd w:id="236"/>
      <w:bookmarkEnd w:id="237"/>
      <w:bookmarkEnd w:id="238"/>
      <w:bookmarkEnd w:id="239"/>
      <w:bookmarkEnd w:id="240"/>
    </w:p>
    <w:p>
      <w:pPr>
        <w:pStyle w:val="63"/>
        <w:adjustRightInd w:val="0"/>
        <w:snapToGrid w:val="0"/>
        <w:spacing w:line="400" w:lineRule="exact"/>
        <w:jc w:val="left"/>
        <w:outlineLvl w:val="9"/>
        <w:rPr>
          <w:rFonts w:hAnsi="宋体" w:cs="宋体"/>
        </w:rPr>
      </w:pPr>
      <w:bookmarkStart w:id="241" w:name="_Toc26766"/>
      <w:bookmarkStart w:id="242" w:name="_Toc15318"/>
      <w:bookmarkStart w:id="243" w:name="_Toc7342"/>
      <w:bookmarkStart w:id="244" w:name="_Toc25932"/>
      <w:bookmarkStart w:id="245" w:name="_Toc13057"/>
      <w:bookmarkStart w:id="246" w:name="_Toc8744"/>
      <w:bookmarkStart w:id="247" w:name="_Toc22931"/>
      <w:bookmarkStart w:id="248" w:name="_Toc16617"/>
      <w:r>
        <w:rPr>
          <w:rFonts w:hint="eastAsia" w:hAnsi="宋体" w:cs="宋体"/>
        </w:rPr>
        <w:t>说明：单位负责人为同一人或者存在直接控股、管理关系的不同供应商，不得参加同一合同项下的政府采购活动。请务必对此情况进行说明。</w:t>
      </w:r>
      <w:bookmarkEnd w:id="241"/>
      <w:bookmarkEnd w:id="242"/>
      <w:bookmarkEnd w:id="243"/>
      <w:bookmarkEnd w:id="244"/>
      <w:bookmarkEnd w:id="245"/>
      <w:bookmarkEnd w:id="246"/>
      <w:bookmarkEnd w:id="247"/>
      <w:bookmarkEnd w:id="248"/>
    </w:p>
    <w:p>
      <w:pPr>
        <w:pStyle w:val="63"/>
        <w:adjustRightInd w:val="0"/>
        <w:snapToGrid w:val="0"/>
        <w:spacing w:line="400" w:lineRule="exact"/>
        <w:jc w:val="left"/>
        <w:outlineLvl w:val="9"/>
        <w:rPr>
          <w:rFonts w:hAnsi="宋体" w:cs="宋体"/>
        </w:rPr>
      </w:pPr>
    </w:p>
    <w:p>
      <w:pPr>
        <w:tabs>
          <w:tab w:val="left" w:pos="5580"/>
        </w:tabs>
        <w:snapToGrid w:val="0"/>
        <w:spacing w:line="400" w:lineRule="exact"/>
        <w:rPr>
          <w:rFonts w:ascii="宋体" w:hAnsi="宋体" w:cs="宋体"/>
        </w:rPr>
      </w:pPr>
      <w:r>
        <w:rPr>
          <w:rFonts w:hint="eastAsia" w:ascii="宋体" w:hAnsi="宋体" w:cs="宋体"/>
        </w:rPr>
        <w:t>致：</w:t>
      </w:r>
      <w:r>
        <w:rPr>
          <w:rFonts w:hint="eastAsia" w:ascii="宋体" w:hAnsi="宋体" w:cs="宋体"/>
          <w:u w:val="single"/>
        </w:rPr>
        <w:t>北京中教仪国际招标代理有限公司/清华大学</w:t>
      </w:r>
    </w:p>
    <w:p>
      <w:pPr>
        <w:widowControl/>
        <w:adjustRightInd/>
        <w:spacing w:line="240" w:lineRule="auto"/>
        <w:textAlignment w:val="auto"/>
        <w:rPr>
          <w:rFonts w:ascii="宋体" w:hAnsi="宋体" w:cs="宋体"/>
          <w:lang w:val="zh-CN"/>
        </w:rPr>
      </w:pPr>
    </w:p>
    <w:p>
      <w:pPr>
        <w:suppressAutoHyphens/>
        <w:autoSpaceDN w:val="0"/>
        <w:adjustRightInd/>
        <w:spacing w:line="480" w:lineRule="auto"/>
        <w:jc w:val="both"/>
        <w:textAlignment w:val="auto"/>
        <w:rPr>
          <w:rFonts w:ascii="宋体" w:hAnsi="宋体" w:cs="宋体"/>
          <w:b/>
          <w:bCs/>
          <w:kern w:val="3"/>
        </w:rPr>
      </w:pPr>
      <w:r>
        <w:rPr>
          <w:rFonts w:hint="eastAsia" w:ascii="宋体" w:hAnsi="宋体" w:cs="宋体"/>
          <w:b/>
          <w:bCs/>
          <w:kern w:val="3"/>
        </w:rPr>
        <w:t>（1）投标人相关单位一览表</w:t>
      </w:r>
    </w:p>
    <w:tbl>
      <w:tblPr>
        <w:tblStyle w:val="2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3"/>
        <w:gridCol w:w="74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2" w:type="dxa"/>
            <w:gridSpan w:val="2"/>
            <w:vAlign w:val="center"/>
          </w:tcPr>
          <w:p>
            <w:pPr>
              <w:suppressAutoHyphens/>
              <w:autoSpaceDN w:val="0"/>
              <w:adjustRightInd/>
              <w:spacing w:line="240" w:lineRule="auto"/>
              <w:jc w:val="center"/>
              <w:textAlignment w:val="auto"/>
              <w:rPr>
                <w:rFonts w:ascii="宋体" w:hAnsi="宋体" w:cs="宋体"/>
                <w:kern w:val="3"/>
              </w:rPr>
            </w:pPr>
            <w:r>
              <w:rPr>
                <w:rFonts w:hint="eastAsia" w:ascii="宋体" w:hAnsi="宋体" w:cs="宋体"/>
                <w:kern w:val="3"/>
              </w:rPr>
              <w:t>与供应商的负责人为同一人的其他单位名称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03" w:type="dxa"/>
            <w:vAlign w:val="center"/>
          </w:tcPr>
          <w:p>
            <w:pPr>
              <w:suppressAutoHyphens/>
              <w:autoSpaceDN w:val="0"/>
              <w:adjustRightInd/>
              <w:spacing w:line="240" w:lineRule="auto"/>
              <w:jc w:val="center"/>
              <w:textAlignment w:val="auto"/>
              <w:rPr>
                <w:rFonts w:ascii="宋体" w:hAnsi="宋体" w:cs="宋体"/>
                <w:kern w:val="3"/>
              </w:rPr>
            </w:pPr>
            <w:r>
              <w:rPr>
                <w:rFonts w:hint="eastAsia" w:ascii="宋体" w:hAnsi="宋体" w:cs="宋体"/>
                <w:kern w:val="3"/>
              </w:rPr>
              <w:t>1</w:t>
            </w:r>
          </w:p>
        </w:tc>
        <w:tc>
          <w:tcPr>
            <w:tcW w:w="7419" w:type="dxa"/>
            <w:vAlign w:val="center"/>
          </w:tcPr>
          <w:p>
            <w:pPr>
              <w:suppressAutoHyphens/>
              <w:autoSpaceDN w:val="0"/>
              <w:adjustRightInd/>
              <w:spacing w:line="240" w:lineRule="auto"/>
              <w:jc w:val="center"/>
              <w:textAlignment w:val="auto"/>
              <w:rPr>
                <w:rFonts w:ascii="宋体" w:hAnsi="宋体" w:cs="宋体"/>
                <w:kern w:val="3"/>
              </w:rPr>
            </w:pPr>
            <w:r>
              <w:rPr>
                <w:rFonts w:hint="eastAsia" w:ascii="宋体" w:hAnsi="宋体" w:cs="宋体"/>
                <w:kern w:val="3"/>
              </w:rPr>
              <w:t>（单位名称）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03" w:type="dxa"/>
            <w:vAlign w:val="center"/>
          </w:tcPr>
          <w:p>
            <w:pPr>
              <w:suppressAutoHyphens/>
              <w:autoSpaceDN w:val="0"/>
              <w:adjustRightInd/>
              <w:spacing w:line="240" w:lineRule="auto"/>
              <w:jc w:val="center"/>
              <w:textAlignment w:val="auto"/>
              <w:rPr>
                <w:rFonts w:ascii="宋体" w:hAnsi="宋体" w:cs="宋体"/>
                <w:b/>
                <w:kern w:val="3"/>
              </w:rPr>
            </w:pPr>
            <w:r>
              <w:rPr>
                <w:rFonts w:hint="eastAsia" w:ascii="宋体" w:hAnsi="宋体" w:cs="宋体"/>
                <w:b/>
                <w:kern w:val="3"/>
              </w:rPr>
              <w:t>…</w:t>
            </w:r>
          </w:p>
        </w:tc>
        <w:tc>
          <w:tcPr>
            <w:tcW w:w="7419" w:type="dxa"/>
          </w:tcPr>
          <w:p>
            <w:pPr>
              <w:suppressAutoHyphens/>
              <w:autoSpaceDN w:val="0"/>
              <w:adjustRightInd/>
              <w:spacing w:line="240" w:lineRule="auto"/>
              <w:jc w:val="center"/>
              <w:textAlignment w:val="auto"/>
              <w:rPr>
                <w:rFonts w:ascii="宋体" w:hAnsi="宋体" w:cs="宋体"/>
                <w:b/>
                <w:kern w:val="3"/>
              </w:rPr>
            </w:pPr>
            <w:r>
              <w:rPr>
                <w:rFonts w:hint="eastAsia" w:ascii="宋体" w:hAnsi="宋体" w:cs="宋体"/>
                <w:b/>
                <w:kern w:val="3"/>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03" w:type="dxa"/>
            <w:vAlign w:val="center"/>
          </w:tcPr>
          <w:p>
            <w:pPr>
              <w:suppressAutoHyphens/>
              <w:autoSpaceDN w:val="0"/>
              <w:adjustRightInd/>
              <w:spacing w:line="240" w:lineRule="auto"/>
              <w:jc w:val="center"/>
              <w:textAlignment w:val="auto"/>
              <w:rPr>
                <w:rFonts w:ascii="宋体" w:hAnsi="宋体" w:cs="宋体"/>
                <w:b/>
                <w:kern w:val="3"/>
              </w:rPr>
            </w:pPr>
            <w:r>
              <w:rPr>
                <w:rFonts w:hint="eastAsia" w:ascii="宋体" w:hAnsi="宋体" w:cs="宋体"/>
                <w:b/>
                <w:kern w:val="3"/>
              </w:rPr>
              <w:t>…</w:t>
            </w:r>
          </w:p>
        </w:tc>
        <w:tc>
          <w:tcPr>
            <w:tcW w:w="7419" w:type="dxa"/>
          </w:tcPr>
          <w:p>
            <w:pPr>
              <w:suppressAutoHyphens/>
              <w:autoSpaceDN w:val="0"/>
              <w:adjustRightInd/>
              <w:spacing w:line="240" w:lineRule="auto"/>
              <w:jc w:val="center"/>
              <w:textAlignment w:val="auto"/>
              <w:rPr>
                <w:rFonts w:ascii="宋体" w:hAnsi="宋体" w:cs="宋体"/>
                <w:b/>
                <w:kern w:val="3"/>
              </w:rPr>
            </w:pPr>
            <w:r>
              <w:rPr>
                <w:rFonts w:hint="eastAsia" w:ascii="宋体" w:hAnsi="宋体" w:cs="宋体"/>
                <w:b/>
                <w:kern w:val="3"/>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2" w:type="dxa"/>
            <w:gridSpan w:val="2"/>
            <w:vAlign w:val="center"/>
          </w:tcPr>
          <w:p>
            <w:pPr>
              <w:suppressAutoHyphens/>
              <w:autoSpaceDN w:val="0"/>
              <w:adjustRightInd/>
              <w:spacing w:line="240" w:lineRule="auto"/>
              <w:jc w:val="center"/>
              <w:textAlignment w:val="auto"/>
              <w:rPr>
                <w:rFonts w:ascii="宋体" w:hAnsi="宋体" w:cs="宋体"/>
                <w:kern w:val="3"/>
              </w:rPr>
            </w:pPr>
            <w:r>
              <w:rPr>
                <w:rFonts w:hint="eastAsia" w:ascii="宋体" w:hAnsi="宋体" w:cs="宋体"/>
                <w:kern w:val="3"/>
              </w:rPr>
              <w:t>与供应商存在直接控股、管理关系的其他单位名称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03" w:type="dxa"/>
            <w:vAlign w:val="center"/>
          </w:tcPr>
          <w:p>
            <w:pPr>
              <w:suppressAutoHyphens/>
              <w:autoSpaceDN w:val="0"/>
              <w:adjustRightInd/>
              <w:spacing w:line="240" w:lineRule="auto"/>
              <w:jc w:val="center"/>
              <w:textAlignment w:val="auto"/>
              <w:rPr>
                <w:rFonts w:ascii="宋体" w:hAnsi="宋体" w:cs="宋体"/>
                <w:kern w:val="3"/>
              </w:rPr>
            </w:pPr>
            <w:r>
              <w:rPr>
                <w:rFonts w:hint="eastAsia" w:ascii="宋体" w:hAnsi="宋体" w:cs="宋体"/>
                <w:kern w:val="3"/>
              </w:rPr>
              <w:t>1</w:t>
            </w:r>
          </w:p>
        </w:tc>
        <w:tc>
          <w:tcPr>
            <w:tcW w:w="7419" w:type="dxa"/>
            <w:vAlign w:val="center"/>
          </w:tcPr>
          <w:p>
            <w:pPr>
              <w:suppressAutoHyphens/>
              <w:autoSpaceDN w:val="0"/>
              <w:adjustRightInd/>
              <w:spacing w:line="240" w:lineRule="auto"/>
              <w:jc w:val="center"/>
              <w:textAlignment w:val="auto"/>
              <w:rPr>
                <w:rFonts w:ascii="宋体" w:hAnsi="宋体" w:cs="宋体"/>
                <w:kern w:val="3"/>
              </w:rPr>
            </w:pPr>
            <w:r>
              <w:rPr>
                <w:rFonts w:hint="eastAsia" w:ascii="宋体" w:hAnsi="宋体" w:cs="宋体"/>
                <w:kern w:val="3"/>
              </w:rPr>
              <w:t>（单位名称）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03" w:type="dxa"/>
            <w:vAlign w:val="center"/>
          </w:tcPr>
          <w:p>
            <w:pPr>
              <w:suppressAutoHyphens/>
              <w:autoSpaceDN w:val="0"/>
              <w:adjustRightInd/>
              <w:spacing w:line="240" w:lineRule="auto"/>
              <w:jc w:val="center"/>
              <w:textAlignment w:val="auto"/>
              <w:rPr>
                <w:rFonts w:ascii="宋体" w:hAnsi="宋体" w:cs="宋体"/>
                <w:b/>
                <w:kern w:val="3"/>
              </w:rPr>
            </w:pPr>
            <w:r>
              <w:rPr>
                <w:rFonts w:hint="eastAsia" w:ascii="宋体" w:hAnsi="宋体" w:cs="宋体"/>
                <w:b/>
                <w:kern w:val="3"/>
              </w:rPr>
              <w:t>…</w:t>
            </w:r>
          </w:p>
        </w:tc>
        <w:tc>
          <w:tcPr>
            <w:tcW w:w="7419" w:type="dxa"/>
          </w:tcPr>
          <w:p>
            <w:pPr>
              <w:suppressAutoHyphens/>
              <w:autoSpaceDN w:val="0"/>
              <w:adjustRightInd/>
              <w:spacing w:line="240" w:lineRule="auto"/>
              <w:jc w:val="center"/>
              <w:textAlignment w:val="auto"/>
              <w:rPr>
                <w:rFonts w:ascii="宋体" w:hAnsi="宋体" w:cs="宋体"/>
                <w:b/>
                <w:kern w:val="3"/>
              </w:rPr>
            </w:pPr>
            <w:r>
              <w:rPr>
                <w:rFonts w:hint="eastAsia" w:ascii="宋体" w:hAnsi="宋体" w:cs="宋体"/>
                <w:b/>
                <w:kern w:val="3"/>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03" w:type="dxa"/>
            <w:vAlign w:val="center"/>
          </w:tcPr>
          <w:p>
            <w:pPr>
              <w:suppressAutoHyphens/>
              <w:autoSpaceDN w:val="0"/>
              <w:adjustRightInd/>
              <w:spacing w:line="240" w:lineRule="auto"/>
              <w:jc w:val="center"/>
              <w:textAlignment w:val="auto"/>
              <w:rPr>
                <w:rFonts w:ascii="宋体" w:hAnsi="宋体" w:cs="宋体"/>
                <w:b/>
                <w:kern w:val="3"/>
              </w:rPr>
            </w:pPr>
            <w:r>
              <w:rPr>
                <w:rFonts w:hint="eastAsia" w:ascii="宋体" w:hAnsi="宋体" w:cs="宋体"/>
                <w:b/>
                <w:kern w:val="3"/>
              </w:rPr>
              <w:t>…</w:t>
            </w:r>
          </w:p>
        </w:tc>
        <w:tc>
          <w:tcPr>
            <w:tcW w:w="7419" w:type="dxa"/>
          </w:tcPr>
          <w:p>
            <w:pPr>
              <w:suppressAutoHyphens/>
              <w:autoSpaceDN w:val="0"/>
              <w:adjustRightInd/>
              <w:spacing w:line="240" w:lineRule="auto"/>
              <w:jc w:val="center"/>
              <w:textAlignment w:val="auto"/>
              <w:rPr>
                <w:rFonts w:ascii="宋体" w:hAnsi="宋体" w:cs="宋体"/>
                <w:b/>
                <w:kern w:val="3"/>
              </w:rPr>
            </w:pPr>
            <w:r>
              <w:rPr>
                <w:rFonts w:hint="eastAsia" w:ascii="宋体" w:hAnsi="宋体" w:cs="宋体"/>
                <w:b/>
                <w:kern w:val="3"/>
              </w:rPr>
              <w:t>……</w:t>
            </w:r>
          </w:p>
        </w:tc>
      </w:tr>
    </w:tbl>
    <w:p>
      <w:pPr>
        <w:suppressAutoHyphens/>
        <w:autoSpaceDN w:val="0"/>
        <w:adjustRightInd/>
        <w:spacing w:line="360" w:lineRule="auto"/>
        <w:jc w:val="both"/>
        <w:textAlignment w:val="auto"/>
        <w:rPr>
          <w:rFonts w:ascii="宋体" w:hAnsi="宋体" w:cs="宋体"/>
          <w:kern w:val="3"/>
        </w:rPr>
      </w:pPr>
      <w:r>
        <w:rPr>
          <w:rFonts w:hint="eastAsia" w:ascii="宋体" w:hAnsi="宋体" w:cs="宋体"/>
          <w:kern w:val="3"/>
        </w:rPr>
        <w:t xml:space="preserve">    注1：如供应商没有表中列示的相关单位，请填写“无”。</w:t>
      </w:r>
    </w:p>
    <w:p>
      <w:pPr>
        <w:suppressAutoHyphens/>
        <w:autoSpaceDN w:val="0"/>
        <w:adjustRightInd/>
        <w:spacing w:line="360" w:lineRule="auto"/>
        <w:jc w:val="both"/>
        <w:textAlignment w:val="auto"/>
        <w:rPr>
          <w:rFonts w:ascii="宋体" w:hAnsi="宋体" w:cs="宋体"/>
          <w:kern w:val="3"/>
        </w:rPr>
      </w:pPr>
      <w:r>
        <w:rPr>
          <w:rFonts w:hint="eastAsia" w:ascii="宋体" w:hAnsi="宋体" w:cs="宋体"/>
          <w:kern w:val="3"/>
        </w:rPr>
        <w:t xml:space="preserve">    注2：单位负责人是指单位法定代表人或者法律、行政法规规定代表单位行使职权的主要负责人。</w:t>
      </w:r>
    </w:p>
    <w:p>
      <w:pPr>
        <w:suppressAutoHyphens/>
        <w:autoSpaceDN w:val="0"/>
        <w:adjustRightInd/>
        <w:spacing w:line="360" w:lineRule="auto"/>
        <w:ind w:firstLine="480"/>
        <w:jc w:val="both"/>
        <w:textAlignment w:val="auto"/>
        <w:rPr>
          <w:rFonts w:ascii="宋体" w:hAnsi="宋体" w:cs="宋体"/>
          <w:kern w:val="3"/>
        </w:rPr>
      </w:pPr>
      <w:r>
        <w:rPr>
          <w:rFonts w:hint="eastAsia" w:ascii="宋体" w:hAnsi="宋体" w:cs="宋体"/>
          <w:kern w:val="3"/>
        </w:rPr>
        <w:t>注3：控股关系是指单位或个人股东的控股关系，管理关系是指不具有出资持股关系的其他单位之间存在的管理与被管理关系。</w:t>
      </w:r>
    </w:p>
    <w:p>
      <w:pPr>
        <w:suppressAutoHyphens/>
        <w:autoSpaceDN w:val="0"/>
        <w:adjustRightInd/>
        <w:spacing w:line="360" w:lineRule="auto"/>
        <w:ind w:firstLine="480"/>
        <w:jc w:val="both"/>
        <w:textAlignment w:val="auto"/>
        <w:rPr>
          <w:rFonts w:ascii="宋体" w:hAnsi="宋体" w:cs="宋体"/>
          <w:b/>
          <w:bCs/>
          <w:kern w:val="3"/>
        </w:rPr>
      </w:pPr>
    </w:p>
    <w:p>
      <w:pPr>
        <w:suppressAutoHyphens/>
        <w:autoSpaceDN w:val="0"/>
        <w:spacing w:line="360" w:lineRule="auto"/>
        <w:jc w:val="both"/>
        <w:rPr>
          <w:rFonts w:ascii="宋体" w:hAnsi="宋体" w:cs="宋体"/>
          <w:kern w:val="3"/>
        </w:rPr>
      </w:pPr>
      <w:r>
        <w:rPr>
          <w:rFonts w:hint="eastAsia" w:ascii="宋体" w:hAnsi="宋体" w:cs="宋体"/>
          <w:kern w:val="3"/>
        </w:rPr>
        <w:t>供应商(公章)：__________________________________</w:t>
      </w:r>
    </w:p>
    <w:p>
      <w:pPr>
        <w:suppressAutoHyphens/>
        <w:autoSpaceDN w:val="0"/>
        <w:spacing w:line="360" w:lineRule="auto"/>
        <w:jc w:val="both"/>
        <w:rPr>
          <w:rFonts w:ascii="宋体" w:hAnsi="宋体" w:cs="宋体"/>
          <w:kern w:val="3"/>
        </w:rPr>
      </w:pPr>
      <w:r>
        <w:rPr>
          <w:rFonts w:hint="eastAsia" w:ascii="宋体" w:hAnsi="宋体" w:cs="宋体"/>
          <w:kern w:val="3"/>
        </w:rPr>
        <w:t>法定代表人或授权代表签字：____________________________</w:t>
      </w:r>
    </w:p>
    <w:p>
      <w:pPr>
        <w:suppressAutoHyphens/>
        <w:autoSpaceDN w:val="0"/>
        <w:spacing w:line="360" w:lineRule="auto"/>
        <w:jc w:val="both"/>
        <w:rPr>
          <w:rFonts w:ascii="宋体" w:hAnsi="宋体" w:cs="宋体"/>
          <w:kern w:val="3"/>
        </w:rPr>
      </w:pPr>
      <w:r>
        <w:rPr>
          <w:rFonts w:hint="eastAsia" w:ascii="宋体" w:hAnsi="宋体" w:cs="宋体"/>
          <w:kern w:val="3"/>
        </w:rPr>
        <w:t>日期：__________________________________________</w:t>
      </w:r>
    </w:p>
    <w:p>
      <w:pPr>
        <w:suppressAutoHyphens/>
        <w:autoSpaceDN w:val="0"/>
        <w:spacing w:line="360" w:lineRule="auto"/>
        <w:jc w:val="both"/>
        <w:rPr>
          <w:rFonts w:ascii="宋体" w:hAnsi="宋体" w:cs="宋体"/>
          <w:kern w:val="3"/>
        </w:rPr>
      </w:pPr>
    </w:p>
    <w:p>
      <w:pPr>
        <w:suppressAutoHyphens/>
        <w:autoSpaceDN w:val="0"/>
        <w:spacing w:line="360" w:lineRule="auto"/>
        <w:jc w:val="both"/>
        <w:rPr>
          <w:rFonts w:ascii="宋体" w:hAnsi="宋体" w:cs="宋体"/>
          <w:b/>
          <w:kern w:val="3"/>
        </w:rPr>
      </w:pPr>
      <w:r>
        <w:rPr>
          <w:rFonts w:hint="eastAsia" w:ascii="宋体" w:hAnsi="宋体" w:cs="宋体"/>
          <w:b/>
          <w:kern w:val="3"/>
        </w:rPr>
        <w:t>（2）供应商相关人员一览表</w:t>
      </w:r>
    </w:p>
    <w:tbl>
      <w:tblPr>
        <w:tblStyle w:val="2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3"/>
        <w:gridCol w:w="74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22" w:type="dxa"/>
            <w:gridSpan w:val="2"/>
            <w:vAlign w:val="center"/>
          </w:tcPr>
          <w:p>
            <w:pPr>
              <w:suppressAutoHyphens/>
              <w:autoSpaceDN w:val="0"/>
              <w:adjustRightInd/>
              <w:spacing w:line="240" w:lineRule="auto"/>
              <w:jc w:val="center"/>
              <w:textAlignment w:val="auto"/>
              <w:rPr>
                <w:rFonts w:ascii="宋体" w:hAnsi="宋体" w:cs="宋体"/>
                <w:kern w:val="3"/>
              </w:rPr>
            </w:pPr>
            <w:r>
              <w:rPr>
                <w:rFonts w:hint="eastAsia" w:ascii="宋体" w:hAnsi="宋体" w:cs="宋体"/>
                <w:kern w:val="3"/>
              </w:rPr>
              <w:t>与采购人及采购代理机构下列人员存在利害关系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03" w:type="dxa"/>
            <w:vAlign w:val="center"/>
          </w:tcPr>
          <w:p>
            <w:pPr>
              <w:suppressAutoHyphens/>
              <w:autoSpaceDN w:val="0"/>
              <w:adjustRightInd/>
              <w:spacing w:line="240" w:lineRule="auto"/>
              <w:jc w:val="center"/>
              <w:textAlignment w:val="auto"/>
              <w:rPr>
                <w:rFonts w:ascii="宋体" w:hAnsi="宋体" w:cs="宋体"/>
                <w:kern w:val="3"/>
              </w:rPr>
            </w:pPr>
            <w:r>
              <w:rPr>
                <w:rFonts w:hint="eastAsia" w:ascii="宋体" w:hAnsi="宋体" w:cs="宋体"/>
                <w:kern w:val="3"/>
              </w:rPr>
              <w:t>1</w:t>
            </w:r>
          </w:p>
        </w:tc>
        <w:tc>
          <w:tcPr>
            <w:tcW w:w="7419" w:type="dxa"/>
            <w:vAlign w:val="center"/>
          </w:tcPr>
          <w:p>
            <w:pPr>
              <w:suppressAutoHyphens/>
              <w:autoSpaceDN w:val="0"/>
              <w:adjustRightInd/>
              <w:spacing w:line="240" w:lineRule="auto"/>
              <w:jc w:val="center"/>
              <w:textAlignment w:val="auto"/>
              <w:rPr>
                <w:rFonts w:ascii="宋体" w:hAnsi="宋体" w:cs="宋体"/>
                <w:kern w:val="3"/>
              </w:rPr>
            </w:pPr>
            <w:r>
              <w:rPr>
                <w:rFonts w:hint="eastAsia" w:ascii="宋体" w:hAnsi="宋体" w:cs="宋体"/>
                <w:kern w:val="3"/>
              </w:rPr>
              <w:t>（姓名、身份证号）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03" w:type="dxa"/>
            <w:vAlign w:val="center"/>
          </w:tcPr>
          <w:p>
            <w:pPr>
              <w:suppressAutoHyphens/>
              <w:autoSpaceDN w:val="0"/>
              <w:adjustRightInd/>
              <w:spacing w:line="240" w:lineRule="auto"/>
              <w:jc w:val="center"/>
              <w:textAlignment w:val="auto"/>
              <w:rPr>
                <w:rFonts w:ascii="宋体" w:hAnsi="宋体" w:cs="宋体"/>
                <w:b/>
                <w:kern w:val="3"/>
              </w:rPr>
            </w:pPr>
            <w:r>
              <w:rPr>
                <w:rFonts w:hint="eastAsia" w:ascii="宋体" w:hAnsi="宋体" w:cs="宋体"/>
                <w:b/>
                <w:kern w:val="3"/>
              </w:rPr>
              <w:t>…</w:t>
            </w:r>
          </w:p>
        </w:tc>
        <w:tc>
          <w:tcPr>
            <w:tcW w:w="7419" w:type="dxa"/>
          </w:tcPr>
          <w:p>
            <w:pPr>
              <w:suppressAutoHyphens/>
              <w:autoSpaceDN w:val="0"/>
              <w:adjustRightInd/>
              <w:spacing w:line="240" w:lineRule="auto"/>
              <w:jc w:val="center"/>
              <w:textAlignment w:val="auto"/>
              <w:rPr>
                <w:rFonts w:ascii="宋体" w:hAnsi="宋体" w:cs="宋体"/>
                <w:b/>
                <w:kern w:val="3"/>
              </w:rPr>
            </w:pPr>
            <w:r>
              <w:rPr>
                <w:rFonts w:hint="eastAsia" w:ascii="宋体" w:hAnsi="宋体" w:cs="宋体"/>
                <w:b/>
                <w:kern w:val="3"/>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03" w:type="dxa"/>
            <w:vAlign w:val="center"/>
          </w:tcPr>
          <w:p>
            <w:pPr>
              <w:suppressAutoHyphens/>
              <w:autoSpaceDN w:val="0"/>
              <w:adjustRightInd/>
              <w:spacing w:line="240" w:lineRule="auto"/>
              <w:jc w:val="center"/>
              <w:textAlignment w:val="auto"/>
              <w:rPr>
                <w:rFonts w:ascii="宋体" w:hAnsi="宋体" w:cs="宋体"/>
                <w:b/>
                <w:kern w:val="3"/>
              </w:rPr>
            </w:pPr>
            <w:r>
              <w:rPr>
                <w:rFonts w:hint="eastAsia" w:ascii="宋体" w:hAnsi="宋体" w:cs="宋体"/>
                <w:b/>
                <w:kern w:val="3"/>
              </w:rPr>
              <w:t>…</w:t>
            </w:r>
          </w:p>
        </w:tc>
        <w:tc>
          <w:tcPr>
            <w:tcW w:w="7419" w:type="dxa"/>
          </w:tcPr>
          <w:p>
            <w:pPr>
              <w:suppressAutoHyphens/>
              <w:autoSpaceDN w:val="0"/>
              <w:adjustRightInd/>
              <w:spacing w:line="240" w:lineRule="auto"/>
              <w:jc w:val="center"/>
              <w:textAlignment w:val="auto"/>
              <w:rPr>
                <w:rFonts w:ascii="宋体" w:hAnsi="宋体" w:cs="宋体"/>
                <w:b/>
                <w:kern w:val="3"/>
              </w:rPr>
            </w:pPr>
            <w:r>
              <w:rPr>
                <w:rFonts w:hint="eastAsia" w:ascii="宋体" w:hAnsi="宋体" w:cs="宋体"/>
                <w:b/>
                <w:kern w:val="3"/>
              </w:rPr>
              <w:t>……</w:t>
            </w:r>
          </w:p>
        </w:tc>
      </w:tr>
    </w:tbl>
    <w:p>
      <w:pPr>
        <w:suppressAutoHyphens/>
        <w:autoSpaceDN w:val="0"/>
        <w:adjustRightInd/>
        <w:spacing w:line="360" w:lineRule="auto"/>
        <w:ind w:firstLine="480" w:firstLineChars="200"/>
        <w:jc w:val="both"/>
        <w:textAlignment w:val="auto"/>
        <w:rPr>
          <w:rFonts w:ascii="宋体" w:hAnsi="宋体" w:cs="宋体"/>
          <w:kern w:val="3"/>
        </w:rPr>
      </w:pPr>
      <w:r>
        <w:rPr>
          <w:rFonts w:hint="eastAsia" w:ascii="宋体" w:hAnsi="宋体" w:cs="宋体"/>
          <w:kern w:val="3"/>
        </w:rPr>
        <w:t>注1：</w:t>
      </w:r>
      <w:r>
        <w:rPr>
          <w:rFonts w:hint="eastAsia" w:ascii="宋体" w:hAnsi="宋体" w:cs="宋体"/>
          <w:b/>
          <w:bCs/>
          <w:kern w:val="3"/>
        </w:rPr>
        <w:t>如供应商没有表中列示的相关人员，请填写“无”。</w:t>
      </w:r>
    </w:p>
    <w:p>
      <w:pPr>
        <w:suppressAutoHyphens/>
        <w:autoSpaceDN w:val="0"/>
        <w:adjustRightInd/>
        <w:spacing w:line="360" w:lineRule="auto"/>
        <w:ind w:firstLine="480" w:firstLineChars="200"/>
        <w:jc w:val="both"/>
        <w:textAlignment w:val="auto"/>
        <w:rPr>
          <w:rFonts w:ascii="宋体" w:hAnsi="宋体" w:cs="宋体"/>
          <w:kern w:val="3"/>
        </w:rPr>
      </w:pPr>
      <w:r>
        <w:rPr>
          <w:rFonts w:hint="eastAsia" w:ascii="宋体" w:hAnsi="宋体" w:cs="宋体"/>
          <w:kern w:val="3"/>
        </w:rPr>
        <w:t>注2：利害关系指存在下列之一情况的：</w:t>
      </w:r>
    </w:p>
    <w:p>
      <w:pPr>
        <w:suppressAutoHyphens/>
        <w:autoSpaceDN w:val="0"/>
        <w:adjustRightInd/>
        <w:spacing w:line="360" w:lineRule="auto"/>
        <w:ind w:firstLine="480" w:firstLineChars="200"/>
        <w:jc w:val="both"/>
        <w:textAlignment w:val="auto"/>
        <w:rPr>
          <w:rFonts w:ascii="宋体" w:hAnsi="宋体" w:cs="宋体"/>
          <w:kern w:val="3"/>
        </w:rPr>
      </w:pPr>
      <w:r>
        <w:rPr>
          <w:rFonts w:hint="eastAsia" w:ascii="宋体" w:hAnsi="宋体" w:cs="宋体"/>
          <w:kern w:val="3"/>
        </w:rPr>
        <w:t>①参加采购活动前3年内，与供应商存在劳动关系；</w:t>
      </w:r>
    </w:p>
    <w:p>
      <w:pPr>
        <w:suppressAutoHyphens/>
        <w:autoSpaceDN w:val="0"/>
        <w:adjustRightInd/>
        <w:spacing w:line="360" w:lineRule="auto"/>
        <w:ind w:firstLine="480" w:firstLineChars="200"/>
        <w:jc w:val="both"/>
        <w:textAlignment w:val="auto"/>
        <w:rPr>
          <w:rFonts w:ascii="宋体" w:hAnsi="宋体" w:cs="宋体"/>
          <w:kern w:val="3"/>
        </w:rPr>
      </w:pPr>
      <w:r>
        <w:rPr>
          <w:rFonts w:hint="eastAsia" w:ascii="宋体" w:hAnsi="宋体" w:cs="宋体"/>
          <w:kern w:val="3"/>
        </w:rPr>
        <w:t>②参加采购活动前3年内，担任供应商的董事、监事；</w:t>
      </w:r>
    </w:p>
    <w:p>
      <w:pPr>
        <w:suppressAutoHyphens/>
        <w:autoSpaceDN w:val="0"/>
        <w:adjustRightInd/>
        <w:spacing w:line="360" w:lineRule="auto"/>
        <w:ind w:firstLine="480" w:firstLineChars="200"/>
        <w:jc w:val="both"/>
        <w:textAlignment w:val="auto"/>
        <w:rPr>
          <w:rFonts w:ascii="宋体" w:hAnsi="宋体" w:cs="宋体"/>
          <w:kern w:val="3"/>
        </w:rPr>
      </w:pPr>
      <w:r>
        <w:rPr>
          <w:rFonts w:hint="eastAsia" w:ascii="宋体" w:hAnsi="宋体" w:cs="宋体"/>
          <w:kern w:val="3"/>
        </w:rPr>
        <w:t>③参加采购活动前3年内，是供应商的控股股东或者实际控制人；</w:t>
      </w:r>
    </w:p>
    <w:p>
      <w:pPr>
        <w:suppressAutoHyphens/>
        <w:autoSpaceDN w:val="0"/>
        <w:adjustRightInd/>
        <w:spacing w:line="360" w:lineRule="auto"/>
        <w:ind w:firstLine="480" w:firstLineChars="200"/>
        <w:jc w:val="both"/>
        <w:textAlignment w:val="auto"/>
        <w:rPr>
          <w:rFonts w:ascii="宋体" w:hAnsi="宋体" w:cs="宋体"/>
          <w:kern w:val="3"/>
        </w:rPr>
      </w:pPr>
      <w:r>
        <w:rPr>
          <w:rFonts w:hint="eastAsia" w:ascii="宋体" w:hAnsi="宋体" w:cs="宋体"/>
          <w:kern w:val="3"/>
        </w:rPr>
        <w:t>④与供应商的法定代表人或者负责人有夫妻、直系血亲、三代以内旁系血亲或者近姻亲关系。</w:t>
      </w:r>
    </w:p>
    <w:p>
      <w:pPr>
        <w:suppressAutoHyphens/>
        <w:autoSpaceDN w:val="0"/>
        <w:adjustRightInd/>
        <w:spacing w:line="360" w:lineRule="auto"/>
        <w:ind w:firstLine="480" w:firstLineChars="200"/>
        <w:jc w:val="both"/>
        <w:textAlignment w:val="auto"/>
        <w:rPr>
          <w:rFonts w:ascii="宋体" w:hAnsi="宋体" w:cs="宋体"/>
          <w:kern w:val="3"/>
        </w:rPr>
      </w:pPr>
    </w:p>
    <w:p>
      <w:pPr>
        <w:suppressAutoHyphens/>
        <w:autoSpaceDN w:val="0"/>
        <w:spacing w:line="360" w:lineRule="auto"/>
        <w:jc w:val="both"/>
        <w:rPr>
          <w:rFonts w:ascii="宋体" w:hAnsi="宋体" w:cs="宋体"/>
          <w:kern w:val="3"/>
        </w:rPr>
      </w:pPr>
      <w:r>
        <w:rPr>
          <w:rFonts w:hint="eastAsia" w:ascii="宋体" w:hAnsi="宋体" w:cs="宋体"/>
          <w:kern w:val="3"/>
        </w:rPr>
        <w:t>供应商(公章)：__________________________________</w:t>
      </w:r>
    </w:p>
    <w:p>
      <w:pPr>
        <w:suppressAutoHyphens/>
        <w:autoSpaceDN w:val="0"/>
        <w:spacing w:line="360" w:lineRule="auto"/>
        <w:jc w:val="both"/>
        <w:rPr>
          <w:rFonts w:ascii="宋体" w:hAnsi="宋体" w:cs="宋体"/>
          <w:kern w:val="3"/>
        </w:rPr>
      </w:pPr>
      <w:r>
        <w:rPr>
          <w:rFonts w:hint="eastAsia" w:ascii="宋体" w:hAnsi="宋体" w:cs="宋体"/>
          <w:kern w:val="3"/>
        </w:rPr>
        <w:t>法定代表人或授权代表签字：____________________________</w:t>
      </w:r>
    </w:p>
    <w:p>
      <w:pPr>
        <w:suppressAutoHyphens/>
        <w:autoSpaceDN w:val="0"/>
        <w:spacing w:line="360" w:lineRule="auto"/>
        <w:jc w:val="both"/>
        <w:rPr>
          <w:rFonts w:ascii="宋体" w:hAnsi="宋体" w:cs="宋体"/>
          <w:kern w:val="3"/>
        </w:rPr>
      </w:pPr>
      <w:r>
        <w:rPr>
          <w:rFonts w:hint="eastAsia" w:ascii="宋体" w:hAnsi="宋体" w:cs="宋体"/>
          <w:kern w:val="3"/>
        </w:rPr>
        <w:t>日期：__________________________________________</w:t>
      </w:r>
    </w:p>
    <w:p>
      <w:pPr>
        <w:pStyle w:val="63"/>
        <w:adjustRightInd w:val="0"/>
        <w:snapToGrid w:val="0"/>
        <w:spacing w:line="400" w:lineRule="exact"/>
        <w:jc w:val="left"/>
        <w:rPr>
          <w:rFonts w:hAnsi="宋体" w:cs="宋体"/>
        </w:rPr>
        <w:sectPr>
          <w:headerReference r:id="rId11" w:type="default"/>
          <w:footerReference r:id="rId12" w:type="default"/>
          <w:pgSz w:w="11906" w:h="16838"/>
          <w:pgMar w:top="1440" w:right="1797" w:bottom="1440" w:left="1797" w:header="851" w:footer="992" w:gutter="0"/>
          <w:cols w:space="425" w:num="1"/>
          <w:docGrid w:linePitch="312" w:charSpace="0"/>
        </w:sectPr>
      </w:pPr>
    </w:p>
    <w:p>
      <w:pPr>
        <w:pStyle w:val="63"/>
        <w:adjustRightInd w:val="0"/>
        <w:snapToGrid w:val="0"/>
        <w:spacing w:line="400" w:lineRule="exact"/>
        <w:jc w:val="left"/>
        <w:rPr>
          <w:rFonts w:hAnsi="宋体" w:cs="宋体"/>
        </w:rPr>
      </w:pPr>
      <w:bookmarkStart w:id="249" w:name="_Toc95326696"/>
      <w:bookmarkStart w:id="250" w:name="_Toc8328"/>
      <w:bookmarkStart w:id="251" w:name="_Toc29395"/>
      <w:bookmarkStart w:id="252" w:name="_Toc29655"/>
      <w:bookmarkStart w:id="253" w:name="_Toc5756"/>
      <w:bookmarkStart w:id="254" w:name="_Toc22711"/>
      <w:bookmarkStart w:id="255" w:name="_Toc22612"/>
      <w:bookmarkStart w:id="256" w:name="_Toc86156792"/>
      <w:bookmarkStart w:id="257" w:name="_Toc4928"/>
      <w:bookmarkStart w:id="258" w:name="_Toc31199"/>
      <w:r>
        <w:rPr>
          <w:rFonts w:hint="eastAsia" w:hAnsi="宋体" w:cs="宋体"/>
        </w:rPr>
        <w:t>附件5-10：</w:t>
      </w:r>
      <w:bookmarkEnd w:id="249"/>
      <w:bookmarkEnd w:id="250"/>
      <w:bookmarkEnd w:id="251"/>
      <w:bookmarkEnd w:id="252"/>
    </w:p>
    <w:p>
      <w:pPr>
        <w:snapToGrid w:val="0"/>
        <w:spacing w:line="400" w:lineRule="exact"/>
        <w:jc w:val="center"/>
        <w:rPr>
          <w:rFonts w:ascii="宋体" w:hAnsi="宋体" w:cs="宋体"/>
          <w:caps/>
          <w:sz w:val="32"/>
          <w:szCs w:val="32"/>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中小企业声明函</w:t>
      </w:r>
    </w:p>
    <w:p>
      <w:pPr>
        <w:widowControl/>
        <w:snapToGrid w:val="0"/>
        <w:spacing w:line="400" w:lineRule="exact"/>
        <w:rPr>
          <w:rFonts w:ascii="宋体" w:hAnsi="宋体" w:cs="宋体"/>
        </w:rPr>
      </w:pPr>
    </w:p>
    <w:p>
      <w:pPr>
        <w:widowControl/>
        <w:snapToGrid w:val="0"/>
        <w:spacing w:line="400" w:lineRule="exact"/>
        <w:rPr>
          <w:rFonts w:ascii="宋体" w:hAnsi="宋体" w:cs="宋体"/>
        </w:rPr>
      </w:pPr>
    </w:p>
    <w:p>
      <w:pPr>
        <w:widowControl/>
        <w:autoSpaceDE w:val="0"/>
        <w:autoSpaceDN w:val="0"/>
        <w:snapToGrid w:val="0"/>
        <w:spacing w:line="360" w:lineRule="auto"/>
        <w:ind w:firstLine="480" w:firstLineChars="200"/>
        <w:rPr>
          <w:rFonts w:ascii="宋体" w:hAnsi="宋体" w:cs="宋体"/>
          <w:lang w:val="zh-CN" w:bidi="zh-CN"/>
        </w:rPr>
      </w:pPr>
      <w:r>
        <w:rPr>
          <w:rFonts w:hint="eastAsia" w:ascii="宋体" w:hAnsi="宋体" w:cs="宋体"/>
          <w:lang w:val="zh-CN" w:bidi="zh-CN"/>
        </w:rPr>
        <w:t>本公司郑重声明，根据《政府采购促进中小企业发展管理办法》（财库﹝2020﹞46 号）的规定，本公司参加</w:t>
      </w:r>
      <w:r>
        <w:rPr>
          <w:rFonts w:hint="eastAsia" w:ascii="宋体" w:hAnsi="宋体" w:cs="宋体"/>
          <w:u w:val="single"/>
          <w:lang w:val="zh-CN" w:bidi="zh-CN"/>
        </w:rPr>
        <w:t>（单位名称）</w:t>
      </w:r>
      <w:r>
        <w:rPr>
          <w:rFonts w:hint="eastAsia" w:ascii="宋体" w:hAnsi="宋体" w:cs="宋体"/>
          <w:lang w:val="zh-CN" w:bidi="zh-CN"/>
        </w:rPr>
        <w:t>的</w:t>
      </w:r>
      <w:r>
        <w:rPr>
          <w:rFonts w:hint="eastAsia" w:ascii="宋体" w:hAnsi="宋体" w:cs="宋体"/>
          <w:u w:val="single"/>
          <w:lang w:val="zh-CN" w:bidi="zh-CN"/>
        </w:rPr>
        <w:t>（项目名称）</w:t>
      </w:r>
      <w:r>
        <w:rPr>
          <w:rFonts w:hint="eastAsia" w:ascii="宋体" w:hAnsi="宋体" w:cs="宋体"/>
          <w:lang w:val="zh-CN" w:bidi="zh-CN"/>
        </w:rPr>
        <w:t>采购活动，提供的货物全部由符合政策要求的中小企业制造。相关企业的具体情况如下：</w:t>
      </w:r>
    </w:p>
    <w:p>
      <w:pPr>
        <w:widowControl/>
        <w:autoSpaceDE w:val="0"/>
        <w:autoSpaceDN w:val="0"/>
        <w:snapToGrid w:val="0"/>
        <w:spacing w:line="360" w:lineRule="auto"/>
        <w:ind w:firstLine="480" w:firstLineChars="200"/>
        <w:rPr>
          <w:rFonts w:ascii="宋体" w:hAnsi="宋体" w:cs="宋体"/>
          <w:lang w:val="zh-CN" w:bidi="zh-CN"/>
        </w:rPr>
      </w:pPr>
      <w:r>
        <w:rPr>
          <w:rFonts w:hint="eastAsia" w:ascii="宋体" w:hAnsi="宋体" w:cs="宋体"/>
          <w:lang w:val="zh-CN" w:bidi="zh-CN"/>
        </w:rPr>
        <w:t xml:space="preserve">1. </w:t>
      </w:r>
      <w:r>
        <w:rPr>
          <w:rFonts w:hint="eastAsia" w:ascii="宋体" w:hAnsi="宋体" w:cs="宋体"/>
          <w:u w:val="single"/>
          <w:lang w:val="zh-CN" w:bidi="zh-CN"/>
        </w:rPr>
        <w:t>（ 标的名称）</w:t>
      </w:r>
      <w:r>
        <w:rPr>
          <w:rFonts w:hint="eastAsia" w:ascii="宋体" w:hAnsi="宋体" w:cs="宋体"/>
          <w:lang w:val="zh-CN" w:bidi="zh-CN"/>
        </w:rPr>
        <w:t xml:space="preserve"> ， 属于 </w:t>
      </w:r>
      <w:r>
        <w:rPr>
          <w:rFonts w:hint="eastAsia" w:ascii="宋体" w:hAnsi="宋体" w:cs="宋体"/>
          <w:u w:val="single"/>
          <w:lang w:val="zh-CN" w:bidi="zh-CN"/>
        </w:rPr>
        <w:t xml:space="preserve">（采购文件中明确的所属行业） </w:t>
      </w:r>
      <w:r>
        <w:rPr>
          <w:rFonts w:hint="eastAsia" w:ascii="宋体" w:hAnsi="宋体" w:cs="宋体"/>
          <w:lang w:val="zh-CN" w:bidi="zh-CN"/>
        </w:rPr>
        <w:t>行业；制造商为</w:t>
      </w:r>
      <w:r>
        <w:rPr>
          <w:rFonts w:hint="eastAsia" w:ascii="宋体" w:hAnsi="宋体" w:cs="宋体"/>
          <w:u w:val="single"/>
          <w:lang w:val="zh-CN" w:bidi="zh-CN"/>
        </w:rPr>
        <w:t>（企业名称）</w:t>
      </w:r>
      <w:r>
        <w:rPr>
          <w:rFonts w:hint="eastAsia" w:ascii="宋体" w:hAnsi="宋体" w:cs="宋体"/>
          <w:lang w:val="zh-CN" w:bidi="zh-CN"/>
        </w:rPr>
        <w:t>，从业人员</w:t>
      </w:r>
      <w:r>
        <w:rPr>
          <w:rFonts w:hint="eastAsia" w:ascii="宋体" w:hAnsi="宋体" w:cs="宋体"/>
          <w:u w:val="single"/>
          <w:lang w:val="zh-CN" w:bidi="zh-CN"/>
        </w:rPr>
        <w:t xml:space="preserve"> </w:t>
      </w:r>
      <w:r>
        <w:rPr>
          <w:rFonts w:hint="eastAsia" w:ascii="宋体" w:hAnsi="宋体" w:cs="宋体"/>
          <w:u w:val="single"/>
          <w:lang w:val="zh-CN" w:bidi="zh-CN"/>
        </w:rPr>
        <w:tab/>
      </w:r>
      <w:r>
        <w:rPr>
          <w:rFonts w:hint="eastAsia" w:ascii="宋体" w:hAnsi="宋体" w:cs="宋体"/>
          <w:lang w:val="zh-CN" w:bidi="zh-CN"/>
        </w:rPr>
        <w:t xml:space="preserve">人，营业收入为 </w:t>
      </w:r>
      <w:r>
        <w:rPr>
          <w:rFonts w:hint="eastAsia" w:ascii="宋体" w:hAnsi="宋体" w:cs="宋体"/>
          <w:u w:val="single"/>
          <w:lang w:val="zh-CN" w:bidi="zh-CN"/>
        </w:rPr>
        <w:tab/>
      </w:r>
      <w:r>
        <w:rPr>
          <w:rFonts w:hint="eastAsia" w:ascii="宋体" w:hAnsi="宋体" w:cs="宋体"/>
          <w:lang w:val="zh-CN" w:bidi="zh-CN"/>
        </w:rPr>
        <w:t>万元，资产总额为</w:t>
      </w:r>
      <w:r>
        <w:rPr>
          <w:rFonts w:hint="eastAsia" w:ascii="宋体" w:hAnsi="宋体" w:cs="宋体"/>
          <w:u w:val="single"/>
          <w:lang w:val="zh-CN" w:bidi="zh-CN"/>
        </w:rPr>
        <w:t xml:space="preserve"> </w:t>
      </w:r>
      <w:r>
        <w:rPr>
          <w:rFonts w:hint="eastAsia" w:ascii="宋体" w:hAnsi="宋体" w:cs="宋体"/>
          <w:u w:val="single"/>
          <w:lang w:val="zh-CN" w:bidi="zh-CN"/>
        </w:rPr>
        <w:tab/>
      </w:r>
      <w:r>
        <w:rPr>
          <w:rFonts w:hint="eastAsia" w:ascii="宋体" w:hAnsi="宋体" w:cs="宋体"/>
          <w:lang w:val="zh-CN" w:bidi="zh-CN"/>
        </w:rPr>
        <w:t>万元，属于</w:t>
      </w:r>
      <w:r>
        <w:rPr>
          <w:rFonts w:hint="eastAsia" w:ascii="宋体" w:hAnsi="宋体" w:cs="宋体"/>
          <w:u w:val="single"/>
          <w:lang w:val="zh-CN" w:bidi="zh-CN"/>
        </w:rPr>
        <w:t>（中型企业、小型企业、微型企业）</w:t>
      </w:r>
      <w:r>
        <w:rPr>
          <w:rFonts w:hint="eastAsia" w:ascii="宋体" w:hAnsi="宋体" w:cs="宋体"/>
          <w:lang w:val="zh-CN" w:bidi="zh-CN"/>
        </w:rPr>
        <w:t>；</w:t>
      </w:r>
    </w:p>
    <w:p>
      <w:pPr>
        <w:widowControl/>
        <w:autoSpaceDE w:val="0"/>
        <w:autoSpaceDN w:val="0"/>
        <w:snapToGrid w:val="0"/>
        <w:spacing w:line="360" w:lineRule="auto"/>
        <w:ind w:firstLine="480" w:firstLineChars="200"/>
        <w:rPr>
          <w:rFonts w:ascii="宋体" w:hAnsi="宋体" w:cs="宋体"/>
          <w:lang w:val="zh-CN" w:bidi="zh-CN"/>
        </w:rPr>
      </w:pPr>
      <w:r>
        <w:rPr>
          <w:rFonts w:hint="eastAsia" w:ascii="宋体" w:hAnsi="宋体" w:cs="宋体"/>
          <w:lang w:val="zh-CN" w:bidi="zh-CN"/>
        </w:rPr>
        <w:t xml:space="preserve"> 2.</w:t>
      </w:r>
      <w:r>
        <w:rPr>
          <w:rFonts w:hint="eastAsia" w:ascii="宋体" w:hAnsi="宋体" w:cs="宋体"/>
          <w:u w:val="single"/>
          <w:lang w:val="zh-CN" w:bidi="zh-CN"/>
        </w:rPr>
        <w:t xml:space="preserve">（标的名称） </w:t>
      </w:r>
      <w:r>
        <w:rPr>
          <w:rFonts w:hint="eastAsia" w:ascii="宋体" w:hAnsi="宋体" w:cs="宋体"/>
          <w:lang w:val="zh-CN" w:bidi="zh-CN"/>
        </w:rPr>
        <w:t>，属于</w:t>
      </w:r>
      <w:r>
        <w:rPr>
          <w:rFonts w:hint="eastAsia" w:ascii="宋体" w:hAnsi="宋体" w:cs="宋体"/>
          <w:u w:val="single"/>
          <w:lang w:val="zh-CN" w:bidi="zh-CN"/>
        </w:rPr>
        <w:t>（采购文件中明确的所属行业）</w:t>
      </w:r>
      <w:r>
        <w:rPr>
          <w:rFonts w:hint="eastAsia" w:ascii="宋体" w:hAnsi="宋体" w:cs="宋体"/>
          <w:lang w:val="zh-CN" w:bidi="zh-CN"/>
        </w:rPr>
        <w:t>行业；制造商为</w:t>
      </w:r>
      <w:r>
        <w:rPr>
          <w:rFonts w:hint="eastAsia" w:ascii="宋体" w:hAnsi="宋体" w:cs="宋体"/>
          <w:u w:val="single"/>
          <w:lang w:val="zh-CN" w:bidi="zh-CN"/>
        </w:rPr>
        <w:t>（企业名称）</w:t>
      </w:r>
      <w:r>
        <w:rPr>
          <w:rFonts w:hint="eastAsia" w:ascii="宋体" w:hAnsi="宋体" w:cs="宋体"/>
          <w:lang w:val="zh-CN" w:bidi="zh-CN"/>
        </w:rPr>
        <w:t>，从业人员</w:t>
      </w:r>
      <w:r>
        <w:rPr>
          <w:rFonts w:hint="eastAsia" w:ascii="宋体" w:hAnsi="宋体" w:cs="宋体"/>
          <w:u w:val="single"/>
          <w:lang w:val="zh-CN" w:bidi="zh-CN"/>
        </w:rPr>
        <w:t xml:space="preserve"> </w:t>
      </w:r>
      <w:r>
        <w:rPr>
          <w:rFonts w:hint="eastAsia" w:ascii="宋体" w:hAnsi="宋体" w:cs="宋体"/>
          <w:u w:val="single"/>
          <w:lang w:val="zh-CN" w:bidi="zh-CN"/>
        </w:rPr>
        <w:tab/>
      </w:r>
      <w:r>
        <w:rPr>
          <w:rFonts w:hint="eastAsia" w:ascii="宋体" w:hAnsi="宋体" w:cs="宋体"/>
          <w:lang w:val="zh-CN" w:bidi="zh-CN"/>
        </w:rPr>
        <w:t>人，营业收入为</w:t>
      </w:r>
      <w:r>
        <w:rPr>
          <w:rFonts w:hint="eastAsia" w:ascii="宋体" w:hAnsi="宋体" w:cs="宋体"/>
          <w:u w:val="single"/>
          <w:lang w:val="zh-CN" w:bidi="zh-CN"/>
        </w:rPr>
        <w:t xml:space="preserve"> </w:t>
      </w:r>
      <w:r>
        <w:rPr>
          <w:rFonts w:hint="eastAsia" w:ascii="宋体" w:hAnsi="宋体" w:cs="宋体"/>
          <w:u w:val="single"/>
          <w:lang w:val="zh-CN" w:bidi="zh-CN"/>
        </w:rPr>
        <w:tab/>
      </w:r>
      <w:r>
        <w:rPr>
          <w:rFonts w:hint="eastAsia" w:ascii="宋体" w:hAnsi="宋体" w:cs="宋体"/>
          <w:lang w:val="zh-CN" w:bidi="zh-CN"/>
        </w:rPr>
        <w:t>万元，资产总额为</w:t>
      </w:r>
      <w:r>
        <w:rPr>
          <w:rFonts w:hint="eastAsia" w:ascii="宋体" w:hAnsi="宋体" w:cs="宋体"/>
          <w:u w:val="single"/>
          <w:lang w:val="zh-CN" w:bidi="zh-CN"/>
        </w:rPr>
        <w:t xml:space="preserve"> </w:t>
      </w:r>
      <w:r>
        <w:rPr>
          <w:rFonts w:hint="eastAsia" w:ascii="宋体" w:hAnsi="宋体" w:cs="宋体"/>
          <w:u w:val="single"/>
          <w:lang w:val="zh-CN" w:bidi="zh-CN"/>
        </w:rPr>
        <w:tab/>
      </w:r>
      <w:r>
        <w:rPr>
          <w:rFonts w:hint="eastAsia" w:ascii="宋体" w:hAnsi="宋体" w:cs="宋体"/>
          <w:lang w:val="zh-CN" w:bidi="zh-CN"/>
        </w:rPr>
        <w:t>万元，属于</w:t>
      </w:r>
      <w:r>
        <w:rPr>
          <w:rFonts w:hint="eastAsia" w:ascii="宋体" w:hAnsi="宋体" w:cs="宋体"/>
          <w:u w:val="single"/>
          <w:lang w:val="zh-CN" w:bidi="zh-CN"/>
        </w:rPr>
        <w:t>（中型企业、小型企业、微型企业）</w:t>
      </w:r>
      <w:r>
        <w:rPr>
          <w:rFonts w:hint="eastAsia" w:ascii="宋体" w:hAnsi="宋体" w:cs="宋体"/>
          <w:lang w:val="zh-CN" w:bidi="zh-CN"/>
        </w:rPr>
        <w:t>；</w:t>
      </w:r>
    </w:p>
    <w:p>
      <w:pPr>
        <w:widowControl/>
        <w:autoSpaceDE w:val="0"/>
        <w:autoSpaceDN w:val="0"/>
        <w:snapToGrid w:val="0"/>
        <w:spacing w:line="360" w:lineRule="auto"/>
        <w:ind w:firstLine="480" w:firstLineChars="200"/>
        <w:rPr>
          <w:rFonts w:ascii="宋体" w:hAnsi="宋体" w:cs="宋体"/>
          <w:lang w:val="zh-CN" w:bidi="zh-CN"/>
        </w:rPr>
      </w:pPr>
      <w:r>
        <w:rPr>
          <w:rFonts w:hint="eastAsia" w:ascii="宋体" w:hAnsi="宋体" w:cs="宋体"/>
          <w:lang w:val="zh-CN" w:bidi="zh-CN"/>
        </w:rPr>
        <w:t>……</w:t>
      </w:r>
    </w:p>
    <w:p>
      <w:pPr>
        <w:widowControl/>
        <w:autoSpaceDE w:val="0"/>
        <w:autoSpaceDN w:val="0"/>
        <w:snapToGrid w:val="0"/>
        <w:spacing w:line="360" w:lineRule="auto"/>
        <w:ind w:firstLine="480" w:firstLineChars="200"/>
        <w:rPr>
          <w:rFonts w:ascii="宋体" w:hAnsi="宋体" w:cs="宋体"/>
          <w:lang w:val="zh-CN" w:bidi="zh-CN"/>
        </w:rPr>
      </w:pPr>
      <w:r>
        <w:rPr>
          <w:rFonts w:hint="eastAsia" w:ascii="宋体" w:hAnsi="宋体" w:cs="宋体"/>
          <w:lang w:val="zh-CN" w:bidi="zh-CN"/>
        </w:rPr>
        <w:t>以上企业，不属于大企业的分支机构，不存在控股股东为大企业的情形，也不存在与大企业的负责人为同一人的情形。</w:t>
      </w:r>
    </w:p>
    <w:p>
      <w:pPr>
        <w:widowControl/>
        <w:autoSpaceDE w:val="0"/>
        <w:autoSpaceDN w:val="0"/>
        <w:snapToGrid w:val="0"/>
        <w:spacing w:line="360" w:lineRule="auto"/>
        <w:ind w:firstLine="480" w:firstLineChars="200"/>
        <w:rPr>
          <w:rFonts w:ascii="宋体" w:hAnsi="宋体" w:cs="宋体"/>
          <w:lang w:val="zh-CN" w:bidi="zh-CN"/>
        </w:rPr>
      </w:pPr>
      <w:r>
        <w:rPr>
          <w:rFonts w:hint="eastAsia" w:ascii="宋体" w:hAnsi="宋体" w:cs="宋体"/>
          <w:lang w:val="zh-CN" w:bidi="zh-CN"/>
        </w:rPr>
        <w:t>本企业对上述声明内容的真实性负责。如有虚假，将依法承担相应责任。</w:t>
      </w:r>
    </w:p>
    <w:p>
      <w:pPr>
        <w:widowControl/>
        <w:wordWrap w:val="0"/>
        <w:autoSpaceDE w:val="0"/>
        <w:autoSpaceDN w:val="0"/>
        <w:snapToGrid w:val="0"/>
        <w:spacing w:line="360" w:lineRule="auto"/>
        <w:ind w:firstLine="480" w:firstLineChars="200"/>
        <w:jc w:val="right"/>
        <w:rPr>
          <w:rFonts w:ascii="宋体" w:hAnsi="宋体" w:cs="宋体"/>
          <w:lang w:val="zh-CN" w:bidi="zh-CN"/>
        </w:rPr>
      </w:pPr>
      <w:r>
        <w:rPr>
          <w:rFonts w:hint="eastAsia" w:ascii="宋体" w:hAnsi="宋体" w:cs="宋体"/>
          <w:lang w:val="zh-CN" w:bidi="zh-CN"/>
        </w:rPr>
        <w:t xml:space="preserve">企业名称（盖章）：                       </w:t>
      </w:r>
    </w:p>
    <w:p>
      <w:pPr>
        <w:snapToGrid w:val="0"/>
        <w:spacing w:line="400" w:lineRule="exact"/>
        <w:ind w:firstLine="480" w:firstLineChars="200"/>
        <w:jc w:val="center"/>
        <w:rPr>
          <w:rFonts w:ascii="宋体" w:hAnsi="宋体" w:cs="宋体"/>
        </w:rPr>
      </w:pPr>
      <w:r>
        <w:rPr>
          <w:rFonts w:hint="eastAsia" w:ascii="宋体" w:hAnsi="宋体" w:cs="宋体"/>
          <w:lang w:val="zh-CN" w:bidi="zh-CN"/>
        </w:rPr>
        <w:t>日期：</w:t>
      </w:r>
    </w:p>
    <w:p>
      <w:pPr>
        <w:snapToGrid w:val="0"/>
        <w:spacing w:line="400" w:lineRule="exact"/>
        <w:textAlignment w:val="auto"/>
        <w:rPr>
          <w:rFonts w:ascii="宋体" w:hAnsi="宋体" w:cs="宋体"/>
          <w:b/>
          <w:szCs w:val="20"/>
        </w:rPr>
      </w:pPr>
    </w:p>
    <w:p>
      <w:pPr>
        <w:snapToGrid w:val="0"/>
        <w:spacing w:line="400" w:lineRule="exact"/>
        <w:textAlignment w:val="auto"/>
        <w:rPr>
          <w:rFonts w:ascii="宋体" w:hAnsi="宋体" w:cs="宋体"/>
          <w:b/>
          <w:szCs w:val="20"/>
        </w:rPr>
      </w:pPr>
    </w:p>
    <w:p>
      <w:pPr>
        <w:snapToGrid w:val="0"/>
        <w:spacing w:line="400" w:lineRule="exact"/>
        <w:textAlignment w:val="auto"/>
        <w:rPr>
          <w:rFonts w:ascii="宋体" w:hAnsi="宋体" w:cs="宋体"/>
          <w:b/>
          <w:szCs w:val="20"/>
        </w:rPr>
      </w:pPr>
      <w:r>
        <w:rPr>
          <w:rFonts w:hint="eastAsia" w:ascii="宋体" w:hAnsi="宋体" w:cs="宋体"/>
          <w:b/>
          <w:szCs w:val="20"/>
        </w:rPr>
        <w:t>1 从业人员、营业收入、资产总额填报上一年度数据，无上一年度数据的新成立企业可不填报。</w:t>
      </w:r>
    </w:p>
    <w:p>
      <w:pPr>
        <w:snapToGrid w:val="0"/>
        <w:spacing w:line="400" w:lineRule="exact"/>
        <w:textAlignment w:val="auto"/>
        <w:rPr>
          <w:rFonts w:ascii="宋体" w:hAnsi="宋体" w:cs="宋体"/>
          <w:b/>
          <w:szCs w:val="20"/>
        </w:rPr>
      </w:pPr>
    </w:p>
    <w:p>
      <w:pPr>
        <w:widowControl/>
        <w:snapToGrid w:val="0"/>
        <w:spacing w:line="400" w:lineRule="exact"/>
        <w:rPr>
          <w:rFonts w:ascii="宋体" w:hAnsi="宋体" w:cs="宋体"/>
          <w:b/>
        </w:rPr>
      </w:pPr>
    </w:p>
    <w:p>
      <w:pPr>
        <w:widowControl/>
        <w:snapToGrid w:val="0"/>
        <w:spacing w:line="400" w:lineRule="exact"/>
        <w:rPr>
          <w:rFonts w:ascii="宋体" w:hAnsi="宋体" w:cs="宋体"/>
          <w:b/>
        </w:rPr>
      </w:pPr>
      <w:r>
        <w:rPr>
          <w:rFonts w:hint="eastAsia" w:ascii="宋体" w:hAnsi="宋体" w:cs="宋体"/>
          <w:b/>
        </w:rPr>
        <w:br w:type="page"/>
      </w:r>
    </w:p>
    <w:p>
      <w:pPr>
        <w:widowControl/>
        <w:snapToGrid w:val="0"/>
        <w:spacing w:line="400" w:lineRule="exact"/>
        <w:jc w:val="center"/>
        <w:rPr>
          <w:rFonts w:ascii="宋体" w:hAnsi="宋体" w:cs="宋体"/>
          <w:b/>
          <w:bCs/>
          <w:sz w:val="36"/>
          <w:szCs w:val="36"/>
          <w:shd w:val="clear" w:color="auto" w:fill="FFFFFF"/>
        </w:rPr>
      </w:pPr>
      <w:r>
        <w:rPr>
          <w:rFonts w:hint="eastAsia" w:ascii="宋体" w:hAnsi="宋体" w:cs="宋体"/>
          <w:b/>
          <w:bCs/>
          <w:sz w:val="36"/>
          <w:szCs w:val="36"/>
          <w:shd w:val="clear" w:color="auto" w:fill="FFFFFF"/>
        </w:rPr>
        <w:t>中小企业划型标准规定</w:t>
      </w:r>
    </w:p>
    <w:p>
      <w:pPr>
        <w:pStyle w:val="21"/>
        <w:jc w:val="center"/>
        <w:rPr>
          <w:sz w:val="21"/>
          <w:szCs w:val="21"/>
        </w:rPr>
      </w:pPr>
      <w:r>
        <w:rPr>
          <w:rFonts w:hint="eastAsia"/>
          <w:b/>
          <w:bCs/>
          <w:sz w:val="28"/>
          <w:szCs w:val="28"/>
          <w:shd w:val="clear" w:color="auto" w:fill="FFFFFF"/>
        </w:rPr>
        <w:t>（此页参考使用，不用在投标文件中提供）</w:t>
      </w:r>
    </w:p>
    <w:p>
      <w:pPr>
        <w:widowControl/>
        <w:snapToGrid w:val="0"/>
        <w:spacing w:line="400" w:lineRule="exact"/>
        <w:ind w:firstLine="480" w:firstLineChars="200"/>
        <w:rPr>
          <w:rFonts w:ascii="宋体" w:hAnsi="宋体" w:cs="宋体"/>
          <w:bCs/>
        </w:rPr>
      </w:pPr>
    </w:p>
    <w:p>
      <w:pPr>
        <w:widowControl/>
        <w:snapToGrid w:val="0"/>
        <w:spacing w:line="400" w:lineRule="exact"/>
        <w:ind w:firstLine="480" w:firstLineChars="200"/>
        <w:rPr>
          <w:rFonts w:ascii="宋体" w:hAnsi="宋体" w:cs="宋体"/>
          <w:bCs/>
        </w:rPr>
      </w:pPr>
      <w:r>
        <w:rPr>
          <w:rFonts w:hint="eastAsia" w:ascii="宋体" w:hAnsi="宋体" w:cs="宋体"/>
          <w:bCs/>
        </w:rPr>
        <w:t>（一）农、林、牧、渔业。营业收入20000万元以下的为中小微型企业。其中，营业收入500万元及以上的为中型企业，营业收入50万元及以上的为小型企业，营业收入50万元以下的为微型企业。</w:t>
      </w:r>
    </w:p>
    <w:p>
      <w:pPr>
        <w:widowControl/>
        <w:snapToGrid w:val="0"/>
        <w:spacing w:line="400" w:lineRule="exact"/>
        <w:rPr>
          <w:rFonts w:ascii="宋体" w:hAnsi="宋体" w:cs="宋体"/>
          <w:bCs/>
        </w:rPr>
      </w:pPr>
      <w:r>
        <w:rPr>
          <w:rFonts w:hint="eastAsia" w:ascii="宋体" w:hAnsi="宋体" w:cs="宋体"/>
          <w:bCs/>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widowControl/>
        <w:snapToGrid w:val="0"/>
        <w:spacing w:line="400" w:lineRule="exact"/>
        <w:rPr>
          <w:rFonts w:ascii="宋体" w:hAnsi="宋体" w:cs="宋体"/>
          <w:bCs/>
        </w:rPr>
      </w:pPr>
      <w:r>
        <w:rPr>
          <w:rFonts w:hint="eastAsia" w:ascii="宋体" w:hAnsi="宋体" w:cs="宋体"/>
          <w:bCs/>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widowControl/>
        <w:snapToGrid w:val="0"/>
        <w:spacing w:line="400" w:lineRule="exact"/>
        <w:rPr>
          <w:rFonts w:ascii="宋体" w:hAnsi="宋体" w:cs="宋体"/>
          <w:bCs/>
        </w:rPr>
      </w:pPr>
      <w:r>
        <w:rPr>
          <w:rFonts w:hint="eastAsia" w:ascii="宋体" w:hAnsi="宋体" w:cs="宋体"/>
          <w:bCs/>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widowControl/>
        <w:snapToGrid w:val="0"/>
        <w:spacing w:line="400" w:lineRule="exact"/>
        <w:rPr>
          <w:rFonts w:ascii="宋体" w:hAnsi="宋体" w:cs="宋体"/>
          <w:bCs/>
        </w:rPr>
      </w:pPr>
      <w:r>
        <w:rPr>
          <w:rFonts w:hint="eastAsia" w:ascii="宋体" w:hAnsi="宋体" w:cs="宋体"/>
          <w:bCs/>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widowControl/>
        <w:snapToGrid w:val="0"/>
        <w:spacing w:line="400" w:lineRule="exact"/>
        <w:rPr>
          <w:rFonts w:ascii="宋体" w:hAnsi="宋体" w:cs="宋体"/>
          <w:bCs/>
        </w:rPr>
      </w:pPr>
      <w:r>
        <w:rPr>
          <w:rFonts w:hint="eastAsia" w:ascii="宋体" w:hAnsi="宋体" w:cs="宋体"/>
          <w:bCs/>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widowControl/>
        <w:snapToGrid w:val="0"/>
        <w:spacing w:line="400" w:lineRule="exact"/>
        <w:rPr>
          <w:rFonts w:ascii="宋体" w:hAnsi="宋体" w:cs="宋体"/>
          <w:bCs/>
        </w:rPr>
      </w:pPr>
      <w:r>
        <w:rPr>
          <w:rFonts w:hint="eastAsia" w:ascii="宋体" w:hAnsi="宋体" w:cs="宋体"/>
          <w:bCs/>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widowControl/>
        <w:snapToGrid w:val="0"/>
        <w:spacing w:line="400" w:lineRule="exact"/>
        <w:rPr>
          <w:rFonts w:ascii="宋体" w:hAnsi="宋体" w:cs="宋体"/>
          <w:bCs/>
        </w:rPr>
      </w:pPr>
      <w:r>
        <w:rPr>
          <w:rFonts w:hint="eastAsia" w:ascii="宋体" w:hAnsi="宋体" w:cs="宋体"/>
          <w:bCs/>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widowControl/>
        <w:snapToGrid w:val="0"/>
        <w:spacing w:line="400" w:lineRule="exact"/>
        <w:rPr>
          <w:rFonts w:ascii="宋体" w:hAnsi="宋体" w:cs="宋体"/>
          <w:bCs/>
        </w:rPr>
      </w:pPr>
      <w:r>
        <w:rPr>
          <w:rFonts w:hint="eastAsia" w:ascii="宋体" w:hAnsi="宋体" w:cs="宋体"/>
          <w:bCs/>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widowControl/>
        <w:snapToGrid w:val="0"/>
        <w:spacing w:line="400" w:lineRule="exact"/>
        <w:rPr>
          <w:rFonts w:ascii="宋体" w:hAnsi="宋体" w:cs="宋体"/>
          <w:bCs/>
        </w:rPr>
      </w:pPr>
      <w:r>
        <w:rPr>
          <w:rFonts w:hint="eastAsia" w:ascii="宋体" w:hAnsi="宋体" w:cs="宋体"/>
          <w:bCs/>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widowControl/>
        <w:snapToGrid w:val="0"/>
        <w:spacing w:line="400" w:lineRule="exact"/>
        <w:rPr>
          <w:rFonts w:ascii="宋体" w:hAnsi="宋体" w:cs="宋体"/>
          <w:bCs/>
        </w:rPr>
      </w:pPr>
      <w:r>
        <w:rPr>
          <w:rFonts w:hint="eastAsia" w:ascii="宋体" w:hAnsi="宋体" w:cs="宋体"/>
          <w:bCs/>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widowControl/>
        <w:snapToGrid w:val="0"/>
        <w:spacing w:line="400" w:lineRule="exact"/>
        <w:rPr>
          <w:rFonts w:ascii="宋体" w:hAnsi="宋体" w:cs="宋体"/>
          <w:bCs/>
        </w:rPr>
      </w:pPr>
      <w:r>
        <w:rPr>
          <w:rFonts w:hint="eastAsia" w:ascii="宋体" w:hAnsi="宋体" w:cs="宋体"/>
          <w:bCs/>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widowControl/>
        <w:snapToGrid w:val="0"/>
        <w:spacing w:line="400" w:lineRule="exact"/>
        <w:rPr>
          <w:rFonts w:ascii="宋体" w:hAnsi="宋体" w:cs="宋体"/>
          <w:bCs/>
        </w:rPr>
      </w:pPr>
      <w:r>
        <w:rPr>
          <w:rFonts w:hint="eastAsia" w:ascii="宋体" w:hAnsi="宋体" w:cs="宋体"/>
          <w:bCs/>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widowControl/>
        <w:snapToGrid w:val="0"/>
        <w:spacing w:line="400" w:lineRule="exact"/>
        <w:rPr>
          <w:rFonts w:ascii="宋体" w:hAnsi="宋体" w:cs="宋体"/>
          <w:bCs/>
        </w:rPr>
      </w:pPr>
      <w:r>
        <w:rPr>
          <w:rFonts w:hint="eastAsia" w:ascii="宋体" w:hAnsi="宋体" w:cs="宋体"/>
          <w:bCs/>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widowControl/>
        <w:snapToGrid w:val="0"/>
        <w:spacing w:line="400" w:lineRule="exact"/>
        <w:rPr>
          <w:rFonts w:ascii="宋体" w:hAnsi="宋体" w:cs="宋体"/>
          <w:bCs/>
        </w:rPr>
      </w:pPr>
      <w:r>
        <w:rPr>
          <w:rFonts w:hint="eastAsia" w:ascii="宋体" w:hAnsi="宋体" w:cs="宋体"/>
          <w:bCs/>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widowControl/>
        <w:snapToGrid w:val="0"/>
        <w:spacing w:line="400" w:lineRule="exact"/>
        <w:rPr>
          <w:rFonts w:ascii="宋体" w:hAnsi="宋体" w:cs="宋体"/>
          <w:bCs/>
        </w:rPr>
      </w:pPr>
      <w:r>
        <w:rPr>
          <w:rFonts w:hint="eastAsia" w:ascii="宋体" w:hAnsi="宋体" w:cs="宋体"/>
          <w:bCs/>
        </w:rPr>
        <w:t>　　（十六）其他未列明行业。从业人员300人以下的为中小微型企业。其中，从业人员100人及以上的为中型企业；从业人员10人及以上的为小型企业；从业人员10人以下的为微型企业。</w:t>
      </w:r>
    </w:p>
    <w:p>
      <w:pPr>
        <w:rPr>
          <w:rFonts w:ascii="宋体" w:hAnsi="宋体" w:cs="宋体"/>
          <w:szCs w:val="20"/>
        </w:rPr>
      </w:pPr>
    </w:p>
    <w:p>
      <w:pPr>
        <w:widowControl/>
        <w:snapToGrid w:val="0"/>
        <w:spacing w:line="400" w:lineRule="exact"/>
        <w:rPr>
          <w:rFonts w:ascii="宋体" w:hAnsi="宋体" w:cs="宋体"/>
          <w:bCs/>
        </w:rPr>
      </w:pPr>
      <w:r>
        <w:rPr>
          <w:rFonts w:hint="eastAsia" w:ascii="宋体" w:hAnsi="宋体" w:cs="宋体"/>
          <w:szCs w:val="20"/>
        </w:rPr>
        <w:br w:type="page"/>
      </w:r>
      <w:r>
        <w:rPr>
          <w:rFonts w:hint="eastAsia" w:ascii="宋体" w:hAnsi="宋体" w:cs="宋体"/>
          <w:bCs/>
        </w:rPr>
        <w:t>（1）根据《政府采购促进中小企业发展管理办法》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widowControl/>
        <w:snapToGrid w:val="0"/>
        <w:spacing w:line="400" w:lineRule="exact"/>
        <w:rPr>
          <w:rFonts w:ascii="宋体" w:hAnsi="宋体" w:cs="宋体"/>
          <w:bCs/>
        </w:rPr>
      </w:pPr>
    </w:p>
    <w:p>
      <w:pPr>
        <w:widowControl/>
        <w:snapToGrid w:val="0"/>
        <w:spacing w:line="400" w:lineRule="exact"/>
        <w:rPr>
          <w:rFonts w:ascii="宋体" w:hAnsi="宋体" w:cs="宋体"/>
          <w:bCs/>
        </w:rPr>
      </w:pPr>
      <w:r>
        <w:rPr>
          <w:rFonts w:hint="eastAsia" w:ascii="宋体" w:hAnsi="宋体" w:cs="宋体"/>
          <w:bCs/>
        </w:rPr>
        <w:t>（2）在政府采购活动中，供应商提供的货物、工程或者服务符合下列情形的，享受《政府采购促进中小企业发展管理办法》规定的中小企业扶持政策：</w:t>
      </w:r>
    </w:p>
    <w:p>
      <w:pPr>
        <w:widowControl/>
        <w:snapToGrid w:val="0"/>
        <w:spacing w:line="400" w:lineRule="exact"/>
        <w:rPr>
          <w:rFonts w:ascii="宋体" w:hAnsi="宋体" w:cs="宋体"/>
          <w:bCs/>
        </w:rPr>
      </w:pPr>
      <w:r>
        <w:rPr>
          <w:rFonts w:hint="eastAsia" w:ascii="宋体" w:hAnsi="宋体" w:cs="宋体"/>
          <w:bCs/>
        </w:rPr>
        <w:t xml:space="preserve">（一）在货物采购项目中，货物由中小企业制造，即货物由中小企业生产且使用该中小企业商号或者注册商标； </w:t>
      </w:r>
    </w:p>
    <w:p>
      <w:pPr>
        <w:widowControl/>
        <w:snapToGrid w:val="0"/>
        <w:spacing w:line="400" w:lineRule="exact"/>
        <w:rPr>
          <w:rFonts w:ascii="宋体" w:hAnsi="宋体" w:cs="宋体"/>
          <w:bCs/>
        </w:rPr>
      </w:pPr>
      <w:r>
        <w:rPr>
          <w:rFonts w:hint="eastAsia" w:ascii="宋体" w:hAnsi="宋体" w:cs="宋体"/>
          <w:bCs/>
        </w:rPr>
        <w:t xml:space="preserve">（二）在工程采购项目中，工程由中小企业承建，即工程施工单位为中小企业； </w:t>
      </w:r>
    </w:p>
    <w:p>
      <w:pPr>
        <w:widowControl/>
        <w:snapToGrid w:val="0"/>
        <w:spacing w:line="400" w:lineRule="exact"/>
        <w:rPr>
          <w:rFonts w:ascii="宋体" w:hAnsi="宋体" w:cs="宋体"/>
          <w:bCs/>
        </w:rPr>
      </w:pPr>
      <w:r>
        <w:rPr>
          <w:rFonts w:hint="eastAsia" w:ascii="宋体" w:hAnsi="宋体" w:cs="宋体"/>
          <w:bCs/>
        </w:rPr>
        <w:t xml:space="preserve">（三）在服务采购项目中，服务由中小企业承接，即提供服务的人员为中小企业依照《中华人民共和国劳动合同法》订立劳动合同的从业人员。 </w:t>
      </w:r>
    </w:p>
    <w:p>
      <w:pPr>
        <w:widowControl/>
        <w:snapToGrid w:val="0"/>
        <w:spacing w:line="400" w:lineRule="exact"/>
        <w:rPr>
          <w:rFonts w:ascii="宋体" w:hAnsi="宋体" w:cs="宋体"/>
          <w:bCs/>
        </w:rPr>
      </w:pPr>
      <w:r>
        <w:rPr>
          <w:rFonts w:hint="eastAsia" w:ascii="宋体" w:hAnsi="宋体" w:cs="宋体"/>
          <w:bCs/>
        </w:rPr>
        <w:t>在货物采购项目中，供应商提供的货物既有中小企业制造货物，也有大型企业制造货物的，不享受《政府采购促进中小企业发展管理办法》规定的中小企业扶持政策。以联合体形式参加政府采购活动，联合体各方均为中小企业的，联合体视同中小企业。其中，联合体各方均为小微企业的，联合体视同小微企业。</w:t>
      </w:r>
    </w:p>
    <w:p>
      <w:pPr>
        <w:widowControl/>
        <w:snapToGrid w:val="0"/>
        <w:spacing w:line="400" w:lineRule="exact"/>
        <w:rPr>
          <w:rFonts w:ascii="宋体" w:hAnsi="宋体" w:cs="宋体"/>
          <w:bCs/>
        </w:rPr>
      </w:pPr>
    </w:p>
    <w:p>
      <w:pPr>
        <w:widowControl/>
        <w:snapToGrid w:val="0"/>
        <w:spacing w:line="400" w:lineRule="exact"/>
        <w:rPr>
          <w:rFonts w:ascii="宋体" w:hAnsi="宋体" w:cs="宋体"/>
          <w:bCs/>
        </w:rPr>
      </w:pPr>
      <w:r>
        <w:rPr>
          <w:rFonts w:hint="eastAsia" w:ascii="宋体" w:hAnsi="宋体" w:cs="宋体"/>
          <w:bCs/>
        </w:rPr>
        <w:t>（3）促进中小企业发展政策：根据《政府采购促进中小企业发展管理办法》规定，本项目投标人所投货物、工程或服务为小型或微型企业提供的，将对该投标货物、工程或服务的投标价给予10%-20%的扣除，用扣除后的价格参加评审。</w:t>
      </w:r>
    </w:p>
    <w:p>
      <w:pPr>
        <w:widowControl/>
        <w:snapToGrid w:val="0"/>
        <w:spacing w:line="400" w:lineRule="exact"/>
        <w:rPr>
          <w:rFonts w:ascii="宋体" w:hAnsi="宋体" w:cs="宋体"/>
          <w:bCs/>
        </w:rPr>
      </w:pPr>
      <w:r>
        <w:rPr>
          <w:rFonts w:hint="eastAsia" w:ascii="宋体" w:hAnsi="宋体" w:cs="宋体"/>
          <w:bCs/>
        </w:rPr>
        <w:t>若投标人为联合体，联合体各方均为中小企业的，联合体视同中小企业。其中，联合体各方均为小微企业的，联合体视同小微企业。享受《政府采购促进中小企业发展管理办法》规定的扶持政策。</w:t>
      </w:r>
    </w:p>
    <w:p>
      <w:pPr>
        <w:widowControl/>
        <w:snapToGrid w:val="0"/>
        <w:spacing w:line="400" w:lineRule="exact"/>
        <w:rPr>
          <w:rFonts w:ascii="宋体" w:hAnsi="宋体" w:cs="宋体"/>
          <w:bCs/>
        </w:rPr>
      </w:pPr>
      <w:r>
        <w:rPr>
          <w:rFonts w:hint="eastAsia" w:ascii="宋体" w:hAnsi="宋体" w:cs="宋体"/>
          <w:bCs/>
        </w:rPr>
        <w:t>联合体由大中型企业与小微企业组成的，联合协议中约定，小型、微型企业的协议合同金额占到联合体协议合同总金额30%以上的，可给予联合体4%-6%的价格扣除，用扣除后的价格参与评审。</w:t>
      </w:r>
    </w:p>
    <w:p>
      <w:pPr>
        <w:widowControl/>
        <w:snapToGrid w:val="0"/>
        <w:spacing w:line="400" w:lineRule="exact"/>
        <w:rPr>
          <w:rFonts w:ascii="宋体" w:hAnsi="宋体" w:cs="宋体"/>
          <w:bCs/>
        </w:rPr>
      </w:pPr>
      <w:r>
        <w:rPr>
          <w:rFonts w:hint="eastAsia" w:ascii="宋体" w:hAnsi="宋体" w:cs="宋体"/>
          <w:bCs/>
        </w:rPr>
        <w:t>组成联合体或者接受分包的小微企业与联合体内其他企业、分包企业之间存在直接控股、管理关系的，不享受价格扣除优惠政策。</w:t>
      </w:r>
    </w:p>
    <w:p>
      <w:pPr>
        <w:widowControl/>
        <w:snapToGrid w:val="0"/>
        <w:spacing w:line="400" w:lineRule="exact"/>
        <w:rPr>
          <w:rFonts w:ascii="宋体" w:hAnsi="宋体" w:cs="宋体"/>
          <w:bCs/>
        </w:rPr>
      </w:pPr>
      <w:r>
        <w:rPr>
          <w:rFonts w:hint="eastAsia" w:ascii="宋体" w:hAnsi="宋体" w:cs="宋体"/>
          <w:bCs/>
        </w:rPr>
        <w:t>价格扣除比例或者价格分加分比例对小型企业和微型企业同等对待，不作区分。</w:t>
      </w:r>
    </w:p>
    <w:p>
      <w:pPr>
        <w:pStyle w:val="63"/>
        <w:adjustRightInd w:val="0"/>
        <w:snapToGrid w:val="0"/>
        <w:spacing w:line="400" w:lineRule="exact"/>
        <w:jc w:val="left"/>
        <w:rPr>
          <w:rFonts w:hAnsi="宋体" w:cs="宋体"/>
        </w:rPr>
      </w:pPr>
      <w:r>
        <w:rPr>
          <w:rFonts w:hint="eastAsia" w:hAnsi="宋体" w:cs="宋体"/>
        </w:rPr>
        <w:br w:type="page"/>
      </w:r>
      <w:bookmarkStart w:id="259" w:name="_Toc26599"/>
      <w:bookmarkStart w:id="260" w:name="_Toc95326697"/>
      <w:bookmarkStart w:id="261" w:name="_Toc6157"/>
      <w:bookmarkStart w:id="262" w:name="_Toc24389"/>
      <w:r>
        <w:rPr>
          <w:rFonts w:hint="eastAsia" w:hAnsi="宋体" w:cs="宋体"/>
        </w:rPr>
        <w:t>附件5-11：（不涉及此项的可不提供）</w:t>
      </w:r>
      <w:bookmarkEnd w:id="259"/>
      <w:bookmarkEnd w:id="260"/>
      <w:bookmarkEnd w:id="261"/>
      <w:bookmarkEnd w:id="262"/>
    </w:p>
    <w:p>
      <w:pPr>
        <w:spacing w:line="588" w:lineRule="exact"/>
        <w:rPr>
          <w:rFonts w:ascii="宋体" w:hAnsi="宋体" w:cs="宋体"/>
        </w:rPr>
      </w:pPr>
    </w:p>
    <w:p>
      <w:pPr>
        <w:spacing w:line="588" w:lineRule="exact"/>
        <w:jc w:val="center"/>
        <w:rPr>
          <w:rFonts w:ascii="宋体" w:hAnsi="宋体" w:cs="宋体"/>
          <w:b/>
          <w:spacing w:val="6"/>
          <w:sz w:val="32"/>
          <w:szCs w:val="32"/>
        </w:rPr>
      </w:pPr>
      <w:r>
        <w:rPr>
          <w:rFonts w:hint="eastAsia" w:ascii="宋体" w:hAnsi="宋体" w:cs="宋体"/>
          <w:caps/>
          <w:sz w:val="32"/>
          <w:szCs w:val="32"/>
        </w:rPr>
        <w:t>残疾人福利性单位声明函</w:t>
      </w:r>
    </w:p>
    <w:p>
      <w:pPr>
        <w:spacing w:line="588" w:lineRule="exact"/>
        <w:rPr>
          <w:rFonts w:ascii="宋体" w:hAnsi="宋体" w:cs="宋体"/>
          <w:b/>
          <w:spacing w:val="6"/>
          <w:sz w:val="30"/>
          <w:szCs w:val="30"/>
        </w:rPr>
      </w:pPr>
    </w:p>
    <w:p>
      <w:pPr>
        <w:pStyle w:val="15"/>
        <w:adjustRightInd w:val="0"/>
        <w:snapToGrid w:val="0"/>
        <w:spacing w:line="400" w:lineRule="exact"/>
        <w:ind w:firstLine="480" w:firstLineChars="200"/>
        <w:rPr>
          <w:rFonts w:hAnsi="宋体" w:cs="宋体"/>
          <w:sz w:val="24"/>
          <w:szCs w:val="24"/>
        </w:rPr>
      </w:pPr>
      <w:r>
        <w:rPr>
          <w:rFonts w:hint="eastAsia" w:hAnsi="宋体" w:cs="宋体"/>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15"/>
        <w:adjustRightInd w:val="0"/>
        <w:snapToGrid w:val="0"/>
        <w:spacing w:line="400" w:lineRule="exact"/>
        <w:ind w:firstLine="480" w:firstLineChars="200"/>
        <w:rPr>
          <w:rFonts w:hAnsi="宋体" w:cs="宋体"/>
          <w:sz w:val="24"/>
          <w:szCs w:val="24"/>
        </w:rPr>
      </w:pPr>
      <w:r>
        <w:rPr>
          <w:rFonts w:hint="eastAsia" w:hAnsi="宋体" w:cs="宋体"/>
          <w:sz w:val="24"/>
          <w:szCs w:val="24"/>
        </w:rPr>
        <w:t>本单位对上述声明的真实性负责。如有虚假，将依法承担相应责任。</w:t>
      </w:r>
    </w:p>
    <w:p>
      <w:pPr>
        <w:pStyle w:val="15"/>
        <w:adjustRightInd w:val="0"/>
        <w:snapToGrid w:val="0"/>
        <w:spacing w:line="400" w:lineRule="exact"/>
        <w:ind w:firstLine="480" w:firstLineChars="200"/>
        <w:rPr>
          <w:rFonts w:hAnsi="宋体" w:cs="宋体"/>
          <w:sz w:val="24"/>
          <w:szCs w:val="24"/>
        </w:rPr>
      </w:pPr>
    </w:p>
    <w:p>
      <w:pPr>
        <w:pStyle w:val="15"/>
        <w:adjustRightInd w:val="0"/>
        <w:snapToGrid w:val="0"/>
        <w:spacing w:line="400" w:lineRule="exact"/>
        <w:ind w:firstLine="480" w:firstLineChars="200"/>
        <w:rPr>
          <w:rFonts w:hAnsi="宋体" w:cs="宋体"/>
          <w:sz w:val="24"/>
          <w:szCs w:val="24"/>
        </w:rPr>
      </w:pPr>
    </w:p>
    <w:p>
      <w:pPr>
        <w:pStyle w:val="15"/>
        <w:adjustRightInd w:val="0"/>
        <w:snapToGrid w:val="0"/>
        <w:spacing w:line="400" w:lineRule="exact"/>
        <w:ind w:firstLine="480" w:firstLineChars="200"/>
        <w:rPr>
          <w:rFonts w:hAnsi="宋体" w:cs="宋体"/>
          <w:sz w:val="24"/>
          <w:szCs w:val="24"/>
        </w:rPr>
      </w:pPr>
      <w:r>
        <w:rPr>
          <w:rFonts w:hint="eastAsia" w:hAnsi="宋体" w:cs="宋体"/>
          <w:sz w:val="24"/>
          <w:szCs w:val="24"/>
        </w:rPr>
        <w:t xml:space="preserve">               单位名称（盖章）：</w:t>
      </w:r>
    </w:p>
    <w:p>
      <w:pPr>
        <w:pStyle w:val="15"/>
        <w:adjustRightInd w:val="0"/>
        <w:snapToGrid w:val="0"/>
        <w:spacing w:line="400" w:lineRule="exact"/>
        <w:ind w:firstLine="480" w:firstLineChars="200"/>
        <w:rPr>
          <w:rFonts w:hAnsi="宋体" w:cs="宋体"/>
          <w:sz w:val="24"/>
          <w:szCs w:val="24"/>
        </w:rPr>
      </w:pPr>
      <w:r>
        <w:rPr>
          <w:rFonts w:hint="eastAsia" w:hAnsi="宋体" w:cs="宋体"/>
          <w:sz w:val="24"/>
          <w:szCs w:val="24"/>
        </w:rPr>
        <w:t xml:space="preserve">               日  期：</w:t>
      </w:r>
    </w:p>
    <w:p>
      <w:pPr>
        <w:pStyle w:val="63"/>
        <w:adjustRightInd w:val="0"/>
        <w:snapToGrid w:val="0"/>
        <w:spacing w:line="400" w:lineRule="exact"/>
        <w:jc w:val="left"/>
        <w:outlineLvl w:val="9"/>
        <w:rPr>
          <w:rFonts w:hAnsi="宋体" w:cs="宋体"/>
        </w:rPr>
      </w:pPr>
    </w:p>
    <w:p>
      <w:pPr>
        <w:pStyle w:val="63"/>
        <w:adjustRightInd w:val="0"/>
        <w:snapToGrid w:val="0"/>
        <w:spacing w:line="400" w:lineRule="exact"/>
        <w:jc w:val="left"/>
        <w:outlineLvl w:val="9"/>
        <w:rPr>
          <w:rFonts w:hAnsi="宋体" w:cs="宋体"/>
        </w:rPr>
      </w:pPr>
    </w:p>
    <w:p>
      <w:pPr>
        <w:pStyle w:val="63"/>
        <w:adjustRightInd w:val="0"/>
        <w:snapToGrid w:val="0"/>
        <w:spacing w:line="400" w:lineRule="exact"/>
        <w:jc w:val="left"/>
        <w:outlineLvl w:val="9"/>
        <w:rPr>
          <w:rFonts w:hAnsi="宋体" w:cs="宋体"/>
        </w:rPr>
      </w:pPr>
    </w:p>
    <w:p>
      <w:pPr>
        <w:pStyle w:val="63"/>
        <w:adjustRightInd w:val="0"/>
        <w:snapToGrid w:val="0"/>
        <w:spacing w:line="400" w:lineRule="exact"/>
        <w:jc w:val="left"/>
        <w:outlineLvl w:val="9"/>
        <w:rPr>
          <w:rFonts w:hAnsi="宋体" w:cs="宋体"/>
        </w:rPr>
      </w:pPr>
    </w:p>
    <w:p>
      <w:pPr>
        <w:pStyle w:val="63"/>
        <w:adjustRightInd w:val="0"/>
        <w:snapToGrid w:val="0"/>
        <w:spacing w:line="400" w:lineRule="exact"/>
        <w:jc w:val="left"/>
        <w:outlineLvl w:val="9"/>
        <w:rPr>
          <w:rFonts w:hAnsi="宋体" w:cs="宋体"/>
        </w:rPr>
      </w:pPr>
    </w:p>
    <w:p>
      <w:pPr>
        <w:pStyle w:val="63"/>
        <w:adjustRightInd w:val="0"/>
        <w:snapToGrid w:val="0"/>
        <w:spacing w:line="400" w:lineRule="exact"/>
        <w:jc w:val="left"/>
        <w:outlineLvl w:val="9"/>
        <w:rPr>
          <w:rFonts w:hAnsi="宋体" w:cs="宋体"/>
        </w:rPr>
      </w:pPr>
    </w:p>
    <w:p>
      <w:pPr>
        <w:pStyle w:val="63"/>
        <w:adjustRightInd w:val="0"/>
        <w:snapToGrid w:val="0"/>
        <w:spacing w:line="400" w:lineRule="exact"/>
        <w:jc w:val="left"/>
        <w:outlineLvl w:val="9"/>
        <w:rPr>
          <w:rFonts w:hAnsi="宋体" w:cs="宋体"/>
        </w:rPr>
      </w:pPr>
    </w:p>
    <w:p>
      <w:pPr>
        <w:pStyle w:val="63"/>
        <w:adjustRightInd w:val="0"/>
        <w:snapToGrid w:val="0"/>
        <w:spacing w:line="400" w:lineRule="exact"/>
        <w:jc w:val="left"/>
        <w:outlineLvl w:val="9"/>
        <w:rPr>
          <w:rFonts w:hAnsi="宋体" w:cs="宋体"/>
        </w:rPr>
      </w:pPr>
    </w:p>
    <w:p>
      <w:pPr>
        <w:rPr>
          <w:rFonts w:ascii="宋体" w:hAnsi="宋体" w:cs="宋体"/>
        </w:rPr>
      </w:pPr>
      <w:r>
        <w:rPr>
          <w:rFonts w:hint="eastAsia" w:ascii="宋体" w:hAnsi="宋体" w:cs="宋体"/>
        </w:rPr>
        <w:t>注：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rPr>
          <w:rFonts w:hint="eastAsia" w:ascii="宋体" w:hAnsi="宋体" w:cs="宋体"/>
        </w:rPr>
        <w:br w:type="page"/>
      </w:r>
    </w:p>
    <w:p>
      <w:pPr>
        <w:pStyle w:val="63"/>
        <w:adjustRightInd w:val="0"/>
        <w:snapToGrid w:val="0"/>
        <w:spacing w:line="400" w:lineRule="exact"/>
        <w:jc w:val="left"/>
        <w:rPr>
          <w:rFonts w:hAnsi="宋体" w:cs="宋体"/>
        </w:rPr>
      </w:pPr>
      <w:bookmarkStart w:id="263" w:name="_Toc95326698"/>
      <w:bookmarkStart w:id="264" w:name="_Toc20448"/>
      <w:bookmarkStart w:id="265" w:name="_Toc19042"/>
      <w:bookmarkStart w:id="266" w:name="_Toc31486"/>
      <w:r>
        <w:rPr>
          <w:rFonts w:hint="eastAsia" w:hAnsi="宋体" w:cs="宋体"/>
        </w:rPr>
        <w:t>附件6：</w:t>
      </w:r>
      <w:bookmarkEnd w:id="253"/>
      <w:bookmarkEnd w:id="254"/>
      <w:bookmarkEnd w:id="255"/>
      <w:bookmarkEnd w:id="256"/>
      <w:bookmarkEnd w:id="257"/>
      <w:bookmarkEnd w:id="258"/>
      <w:bookmarkEnd w:id="263"/>
      <w:bookmarkEnd w:id="264"/>
      <w:bookmarkEnd w:id="265"/>
      <w:bookmarkEnd w:id="266"/>
    </w:p>
    <w:p>
      <w:pPr>
        <w:pStyle w:val="41"/>
        <w:adjustRightInd w:val="0"/>
        <w:snapToGrid w:val="0"/>
        <w:spacing w:before="0" w:after="0" w:line="400" w:lineRule="exact"/>
        <w:ind w:firstLine="0" w:firstLineChars="0"/>
        <w:jc w:val="both"/>
        <w:rPr>
          <w:rFonts w:ascii="宋体" w:hAnsi="宋体" w:eastAsia="宋体" w:cs="宋体"/>
          <w:color w:val="auto"/>
          <w:sz w:val="24"/>
          <w:szCs w:val="24"/>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承诺函</w:t>
      </w:r>
    </w:p>
    <w:p>
      <w:pPr>
        <w:pStyle w:val="21"/>
        <w:jc w:val="center"/>
        <w:rPr>
          <w:sz w:val="21"/>
          <w:szCs w:val="21"/>
        </w:rPr>
      </w:pPr>
      <w:r>
        <w:rPr>
          <w:rFonts w:hint="eastAsia"/>
          <w:caps/>
          <w:sz w:val="28"/>
          <w:szCs w:val="28"/>
        </w:rPr>
        <w:t>（有需要承诺的可以在此体现，如没有可以不提供）</w:t>
      </w:r>
    </w:p>
    <w:p>
      <w:pPr>
        <w:snapToGrid w:val="0"/>
        <w:spacing w:line="400" w:lineRule="exact"/>
        <w:rPr>
          <w:rFonts w:ascii="宋体" w:hAnsi="宋体" w:cs="宋体"/>
        </w:rPr>
      </w:pPr>
    </w:p>
    <w:p>
      <w:pPr>
        <w:pStyle w:val="41"/>
        <w:adjustRightInd w:val="0"/>
        <w:snapToGrid w:val="0"/>
        <w:spacing w:before="0" w:after="0" w:line="400" w:lineRule="exact"/>
        <w:ind w:firstLine="0" w:firstLineChars="0"/>
        <w:jc w:val="center"/>
        <w:rPr>
          <w:rFonts w:ascii="宋体" w:hAnsi="宋体" w:eastAsia="宋体" w:cs="宋体"/>
          <w:color w:val="auto"/>
          <w:sz w:val="24"/>
          <w:szCs w:val="24"/>
        </w:rPr>
      </w:pPr>
    </w:p>
    <w:p>
      <w:pPr>
        <w:pStyle w:val="41"/>
        <w:adjustRightInd w:val="0"/>
        <w:snapToGrid w:val="0"/>
        <w:spacing w:before="0" w:after="0" w:line="400" w:lineRule="exact"/>
        <w:ind w:firstLine="0" w:firstLineChars="0"/>
        <w:jc w:val="center"/>
        <w:rPr>
          <w:rFonts w:ascii="宋体" w:hAnsi="宋体" w:eastAsia="宋体" w:cs="宋体"/>
          <w:color w:val="auto"/>
          <w:sz w:val="24"/>
          <w:szCs w:val="24"/>
        </w:rPr>
      </w:pPr>
    </w:p>
    <w:p>
      <w:pPr>
        <w:pStyle w:val="63"/>
        <w:adjustRightInd w:val="0"/>
        <w:snapToGrid w:val="0"/>
        <w:spacing w:line="400" w:lineRule="exact"/>
        <w:jc w:val="left"/>
        <w:rPr>
          <w:rFonts w:hAnsi="宋体" w:cs="宋体"/>
        </w:rPr>
      </w:pPr>
      <w:r>
        <w:rPr>
          <w:rFonts w:hint="eastAsia" w:hAnsi="宋体" w:cs="宋体"/>
        </w:rPr>
        <w:br w:type="page"/>
      </w:r>
      <w:bookmarkStart w:id="267" w:name="_Toc30524"/>
      <w:bookmarkStart w:id="268" w:name="_Toc24498"/>
      <w:bookmarkStart w:id="269" w:name="_Toc20341"/>
      <w:bookmarkStart w:id="270" w:name="_Toc25178"/>
      <w:bookmarkStart w:id="271" w:name="_Toc836"/>
      <w:bookmarkStart w:id="272" w:name="_Toc18820"/>
      <w:bookmarkStart w:id="273" w:name="_Toc95326699"/>
      <w:bookmarkStart w:id="274" w:name="_Toc28790"/>
      <w:bookmarkStart w:id="275" w:name="_Toc86156793"/>
      <w:bookmarkStart w:id="276" w:name="_Toc5703"/>
      <w:r>
        <w:rPr>
          <w:rFonts w:hint="eastAsia" w:hAnsi="宋体" w:cs="宋体"/>
        </w:rPr>
        <w:t>附件7：</w:t>
      </w:r>
      <w:bookmarkEnd w:id="267"/>
      <w:bookmarkEnd w:id="268"/>
      <w:bookmarkEnd w:id="269"/>
      <w:bookmarkEnd w:id="270"/>
      <w:bookmarkEnd w:id="271"/>
      <w:bookmarkEnd w:id="272"/>
      <w:bookmarkEnd w:id="273"/>
      <w:bookmarkEnd w:id="274"/>
      <w:bookmarkEnd w:id="275"/>
      <w:bookmarkEnd w:id="276"/>
    </w:p>
    <w:p>
      <w:pPr>
        <w:widowControl/>
        <w:snapToGrid w:val="0"/>
        <w:spacing w:line="400" w:lineRule="exact"/>
        <w:textAlignment w:val="auto"/>
        <w:rPr>
          <w:rFonts w:ascii="宋体" w:hAnsi="宋体" w:cs="宋体"/>
          <w:kern w:val="20"/>
          <w:lang w:val="zh-CN"/>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投标人业绩证明</w:t>
      </w:r>
    </w:p>
    <w:p>
      <w:pPr>
        <w:pStyle w:val="41"/>
        <w:adjustRightInd w:val="0"/>
        <w:snapToGrid w:val="0"/>
        <w:spacing w:before="0" w:after="0" w:line="400" w:lineRule="exact"/>
        <w:ind w:firstLine="0" w:firstLineChars="0"/>
        <w:jc w:val="center"/>
        <w:rPr>
          <w:rFonts w:ascii="宋体" w:hAnsi="宋体" w:eastAsia="宋体" w:cs="宋体"/>
          <w:caps/>
          <w:color w:val="auto"/>
          <w:sz w:val="24"/>
          <w:szCs w:val="24"/>
        </w:rPr>
      </w:pPr>
    </w:p>
    <w:p>
      <w:pPr>
        <w:pStyle w:val="63"/>
        <w:adjustRightInd w:val="0"/>
        <w:snapToGrid w:val="0"/>
        <w:spacing w:line="400" w:lineRule="exact"/>
        <w:jc w:val="left"/>
        <w:rPr>
          <w:rFonts w:hAnsi="宋体" w:cs="宋体"/>
        </w:rPr>
      </w:pPr>
      <w:r>
        <w:rPr>
          <w:rFonts w:hint="eastAsia" w:hAnsi="宋体" w:cs="宋体"/>
        </w:rPr>
        <w:br w:type="page"/>
      </w:r>
      <w:bookmarkStart w:id="277" w:name="_Toc95326700"/>
      <w:bookmarkStart w:id="278" w:name="_Toc10268"/>
      <w:bookmarkStart w:id="279" w:name="_Toc86156794"/>
      <w:bookmarkStart w:id="280" w:name="_Toc16149"/>
      <w:bookmarkStart w:id="281" w:name="_Toc14939"/>
      <w:bookmarkStart w:id="282" w:name="_Toc13769"/>
      <w:bookmarkStart w:id="283" w:name="_Toc4875"/>
      <w:bookmarkStart w:id="284" w:name="_Toc477185311"/>
      <w:bookmarkStart w:id="285" w:name="_Toc22043"/>
      <w:bookmarkStart w:id="286" w:name="_Toc1547"/>
      <w:bookmarkStart w:id="287" w:name="_Toc26497"/>
      <w:r>
        <w:rPr>
          <w:rFonts w:hint="eastAsia" w:hAnsi="宋体" w:cs="宋体"/>
          <w:lang w:val="zh-CN"/>
        </w:rPr>
        <w:t>★</w:t>
      </w:r>
      <w:r>
        <w:rPr>
          <w:rFonts w:hint="eastAsia" w:hAnsi="宋体" w:cs="宋体"/>
        </w:rPr>
        <w:t>附件8：</w:t>
      </w:r>
      <w:bookmarkEnd w:id="277"/>
      <w:bookmarkEnd w:id="278"/>
      <w:bookmarkEnd w:id="279"/>
      <w:bookmarkEnd w:id="280"/>
      <w:bookmarkEnd w:id="281"/>
      <w:bookmarkEnd w:id="282"/>
      <w:bookmarkEnd w:id="283"/>
      <w:bookmarkEnd w:id="284"/>
      <w:bookmarkEnd w:id="285"/>
      <w:bookmarkEnd w:id="286"/>
      <w:bookmarkEnd w:id="287"/>
    </w:p>
    <w:p>
      <w:pPr>
        <w:snapToGrid w:val="0"/>
        <w:spacing w:line="400" w:lineRule="exact"/>
        <w:jc w:val="center"/>
        <w:rPr>
          <w:rFonts w:ascii="宋体" w:hAnsi="宋体" w:cs="宋体"/>
          <w:caps/>
          <w:sz w:val="36"/>
          <w:szCs w:val="36"/>
        </w:rPr>
      </w:pPr>
      <w:r>
        <w:rPr>
          <w:rFonts w:hint="eastAsia" w:ascii="宋体" w:hAnsi="宋体" w:cs="宋体"/>
          <w:caps/>
          <w:sz w:val="36"/>
          <w:szCs w:val="36"/>
        </w:rPr>
        <w:t>投标人基本情况表</w:t>
      </w:r>
    </w:p>
    <w:p>
      <w:pPr>
        <w:snapToGrid w:val="0"/>
        <w:spacing w:line="400" w:lineRule="exact"/>
        <w:rPr>
          <w:rFonts w:ascii="宋体" w:hAnsi="宋体" w:cs="宋体"/>
          <w:szCs w:val="21"/>
        </w:rPr>
      </w:pPr>
    </w:p>
    <w:p>
      <w:pPr>
        <w:snapToGrid w:val="0"/>
        <w:spacing w:after="120" w:afterLines="50" w:line="400" w:lineRule="exact"/>
        <w:rPr>
          <w:rFonts w:ascii="宋体" w:hAnsi="宋体" w:cs="宋体"/>
          <w:szCs w:val="21"/>
        </w:rPr>
      </w:pPr>
      <w:bookmarkStart w:id="288" w:name="_Toc164331028"/>
      <w:bookmarkStart w:id="289" w:name="_Toc184367783"/>
      <w:r>
        <w:rPr>
          <w:rFonts w:hint="eastAsia" w:ascii="宋体" w:hAnsi="宋体" w:cs="宋体"/>
          <w:szCs w:val="21"/>
        </w:rPr>
        <w:t>项目编号：__________</w:t>
      </w:r>
      <w:bookmarkEnd w:id="288"/>
      <w:bookmarkEnd w:id="289"/>
    </w:p>
    <w:tbl>
      <w:tblPr>
        <w:tblStyle w:val="26"/>
        <w:tblW w:w="936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2084"/>
        <w:gridCol w:w="2551"/>
        <w:gridCol w:w="1985"/>
        <w:gridCol w:w="274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2084" w:type="dxa"/>
            <w:tcBorders>
              <w:top w:val="double" w:color="auto" w:sz="4" w:space="0"/>
            </w:tcBorders>
            <w:vAlign w:val="bottom"/>
          </w:tcPr>
          <w:p>
            <w:pPr>
              <w:snapToGrid w:val="0"/>
              <w:spacing w:line="400" w:lineRule="exact"/>
              <w:rPr>
                <w:rFonts w:ascii="宋体" w:hAnsi="宋体" w:cs="宋体"/>
                <w:szCs w:val="21"/>
              </w:rPr>
            </w:pPr>
            <w:r>
              <w:rPr>
                <w:rFonts w:hint="eastAsia" w:ascii="宋体" w:hAnsi="宋体" w:cs="宋体"/>
                <w:szCs w:val="21"/>
              </w:rPr>
              <w:t>投标人全称</w:t>
            </w:r>
          </w:p>
        </w:tc>
        <w:tc>
          <w:tcPr>
            <w:tcW w:w="2551" w:type="dxa"/>
            <w:tcBorders>
              <w:top w:val="double" w:color="auto" w:sz="4" w:space="0"/>
            </w:tcBorders>
            <w:vAlign w:val="bottom"/>
          </w:tcPr>
          <w:p>
            <w:pPr>
              <w:snapToGrid w:val="0"/>
              <w:spacing w:line="400" w:lineRule="exact"/>
              <w:rPr>
                <w:rFonts w:ascii="宋体" w:hAnsi="宋体" w:cs="宋体"/>
                <w:szCs w:val="21"/>
              </w:rPr>
            </w:pPr>
          </w:p>
        </w:tc>
        <w:tc>
          <w:tcPr>
            <w:tcW w:w="1985" w:type="dxa"/>
            <w:tcBorders>
              <w:top w:val="double" w:color="auto" w:sz="4" w:space="0"/>
            </w:tcBorders>
            <w:vAlign w:val="bottom"/>
          </w:tcPr>
          <w:p>
            <w:pPr>
              <w:snapToGrid w:val="0"/>
              <w:spacing w:line="400" w:lineRule="exact"/>
              <w:rPr>
                <w:rFonts w:ascii="宋体" w:hAnsi="宋体" w:cs="宋体"/>
                <w:szCs w:val="21"/>
              </w:rPr>
            </w:pPr>
            <w:r>
              <w:rPr>
                <w:rFonts w:hint="eastAsia" w:ascii="宋体" w:hAnsi="宋体" w:cs="宋体"/>
                <w:szCs w:val="21"/>
              </w:rPr>
              <w:t>投标人注册地</w:t>
            </w:r>
          </w:p>
        </w:tc>
        <w:tc>
          <w:tcPr>
            <w:tcW w:w="2740" w:type="dxa"/>
            <w:tcBorders>
              <w:top w:val="double" w:color="auto" w:sz="4" w:space="0"/>
            </w:tcBorders>
            <w:vAlign w:val="bottom"/>
          </w:tcPr>
          <w:p>
            <w:pPr>
              <w:snapToGrid w:val="0"/>
              <w:spacing w:line="400" w:lineRule="exact"/>
              <w:rPr>
                <w:rFonts w:ascii="宋体" w:hAnsi="宋体" w:cs="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2084" w:type="dxa"/>
            <w:vAlign w:val="bottom"/>
          </w:tcPr>
          <w:p>
            <w:pPr>
              <w:snapToGrid w:val="0"/>
              <w:spacing w:line="400" w:lineRule="exact"/>
              <w:rPr>
                <w:rFonts w:ascii="宋体" w:hAnsi="宋体" w:cs="宋体"/>
                <w:szCs w:val="21"/>
              </w:rPr>
            </w:pPr>
            <w:r>
              <w:rPr>
                <w:rFonts w:hint="eastAsia" w:ascii="宋体" w:hAnsi="宋体" w:cs="宋体"/>
                <w:szCs w:val="21"/>
              </w:rPr>
              <w:t>成立和注册日期</w:t>
            </w:r>
          </w:p>
        </w:tc>
        <w:tc>
          <w:tcPr>
            <w:tcW w:w="2551" w:type="dxa"/>
            <w:vAlign w:val="bottom"/>
          </w:tcPr>
          <w:p>
            <w:pPr>
              <w:snapToGrid w:val="0"/>
              <w:spacing w:line="400" w:lineRule="exact"/>
              <w:rPr>
                <w:rFonts w:ascii="宋体" w:hAnsi="宋体" w:cs="宋体"/>
                <w:szCs w:val="21"/>
              </w:rPr>
            </w:pPr>
          </w:p>
        </w:tc>
        <w:tc>
          <w:tcPr>
            <w:tcW w:w="1985" w:type="dxa"/>
            <w:vAlign w:val="bottom"/>
          </w:tcPr>
          <w:p>
            <w:pPr>
              <w:snapToGrid w:val="0"/>
              <w:spacing w:line="400" w:lineRule="exact"/>
              <w:rPr>
                <w:rFonts w:ascii="宋体" w:hAnsi="宋体" w:cs="宋体"/>
                <w:szCs w:val="21"/>
              </w:rPr>
            </w:pPr>
            <w:r>
              <w:rPr>
                <w:rFonts w:hint="eastAsia" w:ascii="宋体" w:hAnsi="宋体" w:cs="宋体"/>
                <w:szCs w:val="21"/>
              </w:rPr>
              <w:t>注册资金</w:t>
            </w:r>
          </w:p>
        </w:tc>
        <w:tc>
          <w:tcPr>
            <w:tcW w:w="2740" w:type="dxa"/>
            <w:vAlign w:val="bottom"/>
          </w:tcPr>
          <w:p>
            <w:pPr>
              <w:snapToGrid w:val="0"/>
              <w:spacing w:line="400" w:lineRule="exact"/>
              <w:rPr>
                <w:rFonts w:ascii="宋体" w:hAnsi="宋体" w:cs="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2084" w:type="dxa"/>
            <w:vAlign w:val="bottom"/>
          </w:tcPr>
          <w:p>
            <w:pPr>
              <w:snapToGrid w:val="0"/>
              <w:spacing w:line="400" w:lineRule="exact"/>
              <w:rPr>
                <w:rFonts w:ascii="宋体" w:hAnsi="宋体" w:cs="宋体"/>
                <w:szCs w:val="21"/>
              </w:rPr>
            </w:pPr>
            <w:r>
              <w:rPr>
                <w:rFonts w:hint="eastAsia" w:ascii="宋体" w:hAnsi="宋体" w:cs="宋体"/>
                <w:szCs w:val="21"/>
              </w:rPr>
              <w:t>企业性质</w:t>
            </w:r>
          </w:p>
        </w:tc>
        <w:tc>
          <w:tcPr>
            <w:tcW w:w="2551" w:type="dxa"/>
            <w:vAlign w:val="bottom"/>
          </w:tcPr>
          <w:p>
            <w:pPr>
              <w:snapToGrid w:val="0"/>
              <w:spacing w:line="400" w:lineRule="exact"/>
              <w:rPr>
                <w:rFonts w:ascii="宋体" w:hAnsi="宋体" w:cs="宋体"/>
                <w:szCs w:val="21"/>
              </w:rPr>
            </w:pPr>
          </w:p>
        </w:tc>
        <w:tc>
          <w:tcPr>
            <w:tcW w:w="1985" w:type="dxa"/>
            <w:vAlign w:val="bottom"/>
          </w:tcPr>
          <w:p>
            <w:pPr>
              <w:snapToGrid w:val="0"/>
              <w:spacing w:line="400" w:lineRule="exact"/>
              <w:rPr>
                <w:rFonts w:ascii="宋体" w:hAnsi="宋体" w:cs="宋体"/>
                <w:szCs w:val="21"/>
              </w:rPr>
            </w:pPr>
            <w:r>
              <w:rPr>
                <w:rFonts w:hint="eastAsia" w:ascii="宋体" w:hAnsi="宋体" w:cs="宋体"/>
                <w:szCs w:val="21"/>
              </w:rPr>
              <w:t>上级主管部门</w:t>
            </w:r>
          </w:p>
        </w:tc>
        <w:tc>
          <w:tcPr>
            <w:tcW w:w="2740" w:type="dxa"/>
            <w:vAlign w:val="bottom"/>
          </w:tcPr>
          <w:p>
            <w:pPr>
              <w:snapToGrid w:val="0"/>
              <w:spacing w:line="400" w:lineRule="exact"/>
              <w:rPr>
                <w:rFonts w:ascii="宋体" w:hAnsi="宋体" w:cs="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2084" w:type="dxa"/>
            <w:vAlign w:val="bottom"/>
          </w:tcPr>
          <w:p>
            <w:pPr>
              <w:snapToGrid w:val="0"/>
              <w:spacing w:line="400" w:lineRule="exact"/>
              <w:rPr>
                <w:rFonts w:ascii="宋体" w:hAnsi="宋体" w:cs="宋体"/>
                <w:szCs w:val="21"/>
              </w:rPr>
            </w:pPr>
            <w:r>
              <w:rPr>
                <w:rFonts w:hint="eastAsia" w:ascii="宋体" w:hAnsi="宋体" w:cs="宋体"/>
                <w:szCs w:val="21"/>
              </w:rPr>
              <w:t>法定代表人姓名</w:t>
            </w:r>
          </w:p>
        </w:tc>
        <w:tc>
          <w:tcPr>
            <w:tcW w:w="2551" w:type="dxa"/>
            <w:vAlign w:val="bottom"/>
          </w:tcPr>
          <w:p>
            <w:pPr>
              <w:snapToGrid w:val="0"/>
              <w:spacing w:line="400" w:lineRule="exact"/>
              <w:rPr>
                <w:rFonts w:ascii="宋体" w:hAnsi="宋体" w:cs="宋体"/>
                <w:szCs w:val="21"/>
              </w:rPr>
            </w:pPr>
          </w:p>
        </w:tc>
        <w:tc>
          <w:tcPr>
            <w:tcW w:w="1985" w:type="dxa"/>
            <w:vAlign w:val="bottom"/>
          </w:tcPr>
          <w:p>
            <w:pPr>
              <w:snapToGrid w:val="0"/>
              <w:spacing w:line="400" w:lineRule="exact"/>
              <w:rPr>
                <w:rFonts w:ascii="宋体" w:hAnsi="宋体" w:cs="宋体"/>
                <w:szCs w:val="21"/>
              </w:rPr>
            </w:pPr>
            <w:r>
              <w:rPr>
                <w:rFonts w:hint="eastAsia" w:ascii="宋体" w:hAnsi="宋体" w:cs="宋体"/>
                <w:szCs w:val="21"/>
              </w:rPr>
              <w:t>职员人数</w:t>
            </w:r>
          </w:p>
        </w:tc>
        <w:tc>
          <w:tcPr>
            <w:tcW w:w="2740" w:type="dxa"/>
            <w:vAlign w:val="bottom"/>
          </w:tcPr>
          <w:p>
            <w:pPr>
              <w:snapToGrid w:val="0"/>
              <w:spacing w:line="400" w:lineRule="exact"/>
              <w:rPr>
                <w:rFonts w:ascii="宋体" w:hAnsi="宋体" w:cs="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2084" w:type="dxa"/>
            <w:vAlign w:val="bottom"/>
          </w:tcPr>
          <w:p>
            <w:pPr>
              <w:snapToGrid w:val="0"/>
              <w:spacing w:line="400" w:lineRule="exact"/>
              <w:rPr>
                <w:rFonts w:ascii="宋体" w:hAnsi="宋体" w:cs="宋体"/>
                <w:szCs w:val="21"/>
              </w:rPr>
            </w:pPr>
            <w:r>
              <w:rPr>
                <w:rFonts w:hint="eastAsia" w:ascii="宋体" w:hAnsi="宋体" w:cs="宋体"/>
                <w:szCs w:val="21"/>
              </w:rPr>
              <w:t>北京常驻机构地址</w:t>
            </w:r>
          </w:p>
        </w:tc>
        <w:tc>
          <w:tcPr>
            <w:tcW w:w="2551" w:type="dxa"/>
            <w:vAlign w:val="bottom"/>
          </w:tcPr>
          <w:p>
            <w:pPr>
              <w:snapToGrid w:val="0"/>
              <w:spacing w:line="400" w:lineRule="exact"/>
              <w:rPr>
                <w:rFonts w:ascii="宋体" w:hAnsi="宋体" w:cs="宋体"/>
                <w:szCs w:val="21"/>
              </w:rPr>
            </w:pPr>
          </w:p>
        </w:tc>
        <w:tc>
          <w:tcPr>
            <w:tcW w:w="1985" w:type="dxa"/>
            <w:vAlign w:val="bottom"/>
          </w:tcPr>
          <w:p>
            <w:pPr>
              <w:snapToGrid w:val="0"/>
              <w:spacing w:line="400" w:lineRule="exact"/>
              <w:rPr>
                <w:rFonts w:ascii="宋体" w:hAnsi="宋体" w:cs="宋体"/>
                <w:szCs w:val="21"/>
              </w:rPr>
            </w:pPr>
            <w:r>
              <w:rPr>
                <w:rFonts w:hint="eastAsia" w:ascii="宋体" w:hAnsi="宋体" w:cs="宋体"/>
                <w:szCs w:val="21"/>
              </w:rPr>
              <w:t>联系人</w:t>
            </w:r>
          </w:p>
        </w:tc>
        <w:tc>
          <w:tcPr>
            <w:tcW w:w="2740" w:type="dxa"/>
            <w:vAlign w:val="bottom"/>
          </w:tcPr>
          <w:p>
            <w:pPr>
              <w:snapToGrid w:val="0"/>
              <w:spacing w:line="400" w:lineRule="exact"/>
              <w:rPr>
                <w:rFonts w:ascii="宋体" w:hAnsi="宋体" w:cs="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2084" w:type="dxa"/>
            <w:vAlign w:val="bottom"/>
          </w:tcPr>
          <w:p>
            <w:pPr>
              <w:snapToGrid w:val="0"/>
              <w:spacing w:line="400" w:lineRule="exact"/>
              <w:rPr>
                <w:rFonts w:ascii="宋体" w:hAnsi="宋体" w:cs="宋体"/>
                <w:szCs w:val="21"/>
              </w:rPr>
            </w:pPr>
            <w:r>
              <w:rPr>
                <w:rFonts w:hint="eastAsia" w:ascii="宋体" w:hAnsi="宋体" w:cs="宋体"/>
                <w:szCs w:val="21"/>
              </w:rPr>
              <w:t>电话</w:t>
            </w:r>
          </w:p>
        </w:tc>
        <w:tc>
          <w:tcPr>
            <w:tcW w:w="2551" w:type="dxa"/>
            <w:vAlign w:val="bottom"/>
          </w:tcPr>
          <w:p>
            <w:pPr>
              <w:snapToGrid w:val="0"/>
              <w:spacing w:line="400" w:lineRule="exact"/>
              <w:rPr>
                <w:rFonts w:ascii="宋体" w:hAnsi="宋体" w:cs="宋体"/>
                <w:szCs w:val="21"/>
              </w:rPr>
            </w:pPr>
          </w:p>
        </w:tc>
        <w:tc>
          <w:tcPr>
            <w:tcW w:w="1985" w:type="dxa"/>
            <w:vAlign w:val="bottom"/>
          </w:tcPr>
          <w:p>
            <w:pPr>
              <w:snapToGrid w:val="0"/>
              <w:spacing w:line="400" w:lineRule="exact"/>
              <w:rPr>
                <w:rFonts w:ascii="宋体" w:hAnsi="宋体" w:cs="宋体"/>
                <w:szCs w:val="21"/>
              </w:rPr>
            </w:pPr>
            <w:r>
              <w:rPr>
                <w:rFonts w:hint="eastAsia" w:ascii="宋体" w:hAnsi="宋体" w:cs="宋体"/>
                <w:szCs w:val="21"/>
              </w:rPr>
              <w:t>传真</w:t>
            </w:r>
          </w:p>
        </w:tc>
        <w:tc>
          <w:tcPr>
            <w:tcW w:w="2740" w:type="dxa"/>
            <w:vAlign w:val="bottom"/>
          </w:tcPr>
          <w:p>
            <w:pPr>
              <w:snapToGrid w:val="0"/>
              <w:spacing w:line="400" w:lineRule="exact"/>
              <w:rPr>
                <w:rFonts w:ascii="宋体" w:hAnsi="宋体" w:cs="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084" w:type="dxa"/>
            <w:vAlign w:val="bottom"/>
          </w:tcPr>
          <w:p>
            <w:pPr>
              <w:snapToGrid w:val="0"/>
              <w:spacing w:line="400" w:lineRule="exact"/>
              <w:rPr>
                <w:rFonts w:ascii="宋体" w:hAnsi="宋体" w:cs="宋体"/>
                <w:szCs w:val="21"/>
              </w:rPr>
            </w:pPr>
            <w:r>
              <w:rPr>
                <w:rFonts w:hint="eastAsia" w:ascii="宋体" w:hAnsi="宋体" w:cs="宋体"/>
                <w:szCs w:val="21"/>
              </w:rPr>
              <w:t>基本帐户开户银行名称</w:t>
            </w:r>
          </w:p>
        </w:tc>
        <w:tc>
          <w:tcPr>
            <w:tcW w:w="2551" w:type="dxa"/>
            <w:vAlign w:val="bottom"/>
          </w:tcPr>
          <w:p>
            <w:pPr>
              <w:snapToGrid w:val="0"/>
              <w:spacing w:line="400" w:lineRule="exact"/>
              <w:rPr>
                <w:rFonts w:ascii="宋体" w:hAnsi="宋体" w:cs="宋体"/>
                <w:szCs w:val="21"/>
              </w:rPr>
            </w:pPr>
          </w:p>
        </w:tc>
        <w:tc>
          <w:tcPr>
            <w:tcW w:w="1985" w:type="dxa"/>
            <w:vAlign w:val="center"/>
          </w:tcPr>
          <w:p>
            <w:pPr>
              <w:snapToGrid w:val="0"/>
              <w:spacing w:line="400" w:lineRule="exact"/>
              <w:rPr>
                <w:rFonts w:ascii="宋体" w:hAnsi="宋体" w:cs="宋体"/>
                <w:szCs w:val="21"/>
              </w:rPr>
            </w:pPr>
            <w:r>
              <w:rPr>
                <w:rFonts w:hint="eastAsia" w:ascii="宋体" w:hAnsi="宋体" w:cs="宋体"/>
                <w:szCs w:val="21"/>
              </w:rPr>
              <w:t>财务状况报告</w:t>
            </w:r>
          </w:p>
        </w:tc>
        <w:tc>
          <w:tcPr>
            <w:tcW w:w="2740" w:type="dxa"/>
            <w:vAlign w:val="bottom"/>
          </w:tcPr>
          <w:p>
            <w:pPr>
              <w:snapToGrid w:val="0"/>
              <w:spacing w:line="400" w:lineRule="exact"/>
              <w:rPr>
                <w:rFonts w:ascii="宋体" w:hAnsi="宋体" w:cs="宋体"/>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084" w:type="dxa"/>
            <w:vAlign w:val="center"/>
          </w:tcPr>
          <w:p>
            <w:pPr>
              <w:snapToGrid w:val="0"/>
              <w:spacing w:line="400" w:lineRule="exact"/>
              <w:rPr>
                <w:rFonts w:ascii="宋体" w:hAnsi="宋体" w:cs="宋体"/>
                <w:szCs w:val="21"/>
              </w:rPr>
            </w:pPr>
            <w:r>
              <w:rPr>
                <w:rFonts w:hint="eastAsia" w:ascii="宋体" w:hAnsi="宋体" w:cs="宋体"/>
                <w:szCs w:val="21"/>
              </w:rPr>
              <w:t>依法缴纳税收</w:t>
            </w:r>
          </w:p>
        </w:tc>
        <w:tc>
          <w:tcPr>
            <w:tcW w:w="2551" w:type="dxa"/>
            <w:vAlign w:val="center"/>
          </w:tcPr>
          <w:p>
            <w:pPr>
              <w:snapToGrid w:val="0"/>
              <w:spacing w:line="400" w:lineRule="exact"/>
              <w:rPr>
                <w:rFonts w:ascii="宋体" w:hAnsi="宋体" w:cs="宋体"/>
                <w:szCs w:val="21"/>
              </w:rPr>
            </w:pPr>
            <w:r>
              <w:rPr>
                <w:rFonts w:hint="eastAsia" w:ascii="宋体" w:hAnsi="宋体" w:cs="宋体"/>
                <w:szCs w:val="21"/>
              </w:rPr>
              <w:t>（依法缴纳税收则标明：√，未缴纳则标明：×）</w:t>
            </w:r>
          </w:p>
        </w:tc>
        <w:tc>
          <w:tcPr>
            <w:tcW w:w="1985" w:type="dxa"/>
            <w:vAlign w:val="center"/>
          </w:tcPr>
          <w:p>
            <w:pPr>
              <w:snapToGrid w:val="0"/>
              <w:spacing w:line="400" w:lineRule="exact"/>
              <w:rPr>
                <w:rFonts w:ascii="宋体" w:hAnsi="宋体" w:cs="宋体"/>
                <w:szCs w:val="21"/>
              </w:rPr>
            </w:pPr>
            <w:r>
              <w:rPr>
                <w:rFonts w:hint="eastAsia" w:ascii="宋体" w:hAnsi="宋体" w:cs="宋体"/>
                <w:szCs w:val="21"/>
              </w:rPr>
              <w:t>依法缴纳社会保障资金</w:t>
            </w:r>
          </w:p>
        </w:tc>
        <w:tc>
          <w:tcPr>
            <w:tcW w:w="2740" w:type="dxa"/>
            <w:vAlign w:val="center"/>
          </w:tcPr>
          <w:p>
            <w:pPr>
              <w:snapToGrid w:val="0"/>
              <w:spacing w:line="400" w:lineRule="exact"/>
              <w:rPr>
                <w:rFonts w:ascii="宋体" w:hAnsi="宋体" w:cs="宋体"/>
                <w:szCs w:val="21"/>
              </w:rPr>
            </w:pPr>
            <w:r>
              <w:rPr>
                <w:rFonts w:hint="eastAsia" w:ascii="宋体" w:hAnsi="宋体" w:cs="宋体"/>
                <w:szCs w:val="21"/>
              </w:rPr>
              <w:t>（依法缴纳社会保障资金则标明：√，未缴纳则标明：×）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1496" w:hRule="atLeast"/>
          <w:jc w:val="center"/>
        </w:trPr>
        <w:tc>
          <w:tcPr>
            <w:tcW w:w="2084" w:type="dxa"/>
            <w:vAlign w:val="center"/>
          </w:tcPr>
          <w:p>
            <w:pPr>
              <w:snapToGrid w:val="0"/>
              <w:spacing w:line="400" w:lineRule="exact"/>
              <w:ind w:left="120" w:leftChars="50"/>
              <w:rPr>
                <w:rFonts w:ascii="宋体" w:hAnsi="宋体" w:cs="宋体"/>
                <w:szCs w:val="21"/>
              </w:rPr>
            </w:pPr>
            <w:r>
              <w:rPr>
                <w:rFonts w:hint="eastAsia" w:ascii="宋体" w:hAnsi="宋体" w:cs="宋体"/>
                <w:szCs w:val="21"/>
              </w:rPr>
              <w:t>近三年</w:t>
            </w:r>
          </w:p>
          <w:p>
            <w:pPr>
              <w:snapToGrid w:val="0"/>
              <w:spacing w:line="400" w:lineRule="exact"/>
              <w:ind w:left="120" w:leftChars="50"/>
              <w:rPr>
                <w:rFonts w:ascii="宋体" w:hAnsi="宋体" w:cs="宋体"/>
                <w:szCs w:val="21"/>
              </w:rPr>
            </w:pPr>
            <w:r>
              <w:rPr>
                <w:rFonts w:hint="eastAsia" w:ascii="宋体" w:hAnsi="宋体" w:cs="宋体"/>
                <w:szCs w:val="21"/>
              </w:rPr>
              <w:t>营业额</w:t>
            </w:r>
          </w:p>
        </w:tc>
        <w:tc>
          <w:tcPr>
            <w:tcW w:w="2551" w:type="dxa"/>
            <w:vAlign w:val="center"/>
          </w:tcPr>
          <w:p>
            <w:pPr>
              <w:snapToGrid w:val="0"/>
              <w:spacing w:line="400" w:lineRule="exact"/>
              <w:ind w:left="120" w:leftChars="50"/>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年度：</w:t>
            </w:r>
          </w:p>
          <w:p>
            <w:pPr>
              <w:snapToGrid w:val="0"/>
              <w:spacing w:line="400" w:lineRule="exact"/>
              <w:ind w:left="120" w:leftChars="50"/>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年度：</w:t>
            </w:r>
          </w:p>
          <w:p>
            <w:pPr>
              <w:snapToGrid w:val="0"/>
              <w:spacing w:line="400" w:lineRule="exact"/>
              <w:ind w:left="120" w:leftChars="50"/>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年度：</w:t>
            </w:r>
          </w:p>
        </w:tc>
        <w:tc>
          <w:tcPr>
            <w:tcW w:w="1985" w:type="dxa"/>
            <w:vAlign w:val="center"/>
          </w:tcPr>
          <w:p>
            <w:pPr>
              <w:snapToGrid w:val="0"/>
              <w:spacing w:line="400" w:lineRule="exact"/>
              <w:rPr>
                <w:rFonts w:ascii="宋体" w:hAnsi="宋体" w:cs="宋体"/>
                <w:szCs w:val="21"/>
              </w:rPr>
            </w:pPr>
            <w:r>
              <w:rPr>
                <w:rFonts w:hint="eastAsia" w:ascii="宋体" w:hAnsi="宋体" w:cs="宋体"/>
                <w:szCs w:val="21"/>
              </w:rPr>
              <w:t>近三年经营活动情况</w:t>
            </w:r>
          </w:p>
        </w:tc>
        <w:tc>
          <w:tcPr>
            <w:tcW w:w="2740" w:type="dxa"/>
            <w:vAlign w:val="center"/>
          </w:tcPr>
          <w:p>
            <w:pPr>
              <w:snapToGrid w:val="0"/>
              <w:spacing w:line="400" w:lineRule="exact"/>
              <w:rPr>
                <w:rFonts w:ascii="宋体" w:hAnsi="宋体" w:cs="宋体"/>
                <w:szCs w:val="21"/>
              </w:rPr>
            </w:pPr>
            <w:r>
              <w:rPr>
                <w:rFonts w:hint="eastAsia" w:ascii="宋体" w:hAnsi="宋体" w:cs="宋体"/>
                <w:szCs w:val="21"/>
              </w:rPr>
              <w:t>（无重大违法记录则标明：√，有违法记录则标明：×）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2084" w:type="dxa"/>
            <w:tcBorders>
              <w:bottom w:val="double" w:color="auto" w:sz="4" w:space="0"/>
            </w:tcBorders>
            <w:vAlign w:val="center"/>
          </w:tcPr>
          <w:p>
            <w:pPr>
              <w:snapToGrid w:val="0"/>
              <w:spacing w:line="400" w:lineRule="exact"/>
              <w:ind w:left="120" w:leftChars="50"/>
              <w:rPr>
                <w:rFonts w:ascii="宋体" w:hAnsi="宋体" w:cs="宋体"/>
                <w:szCs w:val="21"/>
              </w:rPr>
            </w:pPr>
            <w:r>
              <w:rPr>
                <w:rFonts w:hint="eastAsia" w:ascii="宋体" w:hAnsi="宋体" w:cs="宋体"/>
                <w:szCs w:val="21"/>
              </w:rPr>
              <w:t>投标人企业类型</w:t>
            </w:r>
          </w:p>
        </w:tc>
        <w:tc>
          <w:tcPr>
            <w:tcW w:w="2551" w:type="dxa"/>
            <w:tcBorders>
              <w:bottom w:val="double" w:color="auto" w:sz="4" w:space="0"/>
            </w:tcBorders>
            <w:vAlign w:val="center"/>
          </w:tcPr>
          <w:p>
            <w:pPr>
              <w:snapToGrid w:val="0"/>
              <w:spacing w:line="400" w:lineRule="exact"/>
              <w:ind w:left="120" w:leftChars="50"/>
              <w:rPr>
                <w:rFonts w:ascii="宋体" w:hAnsi="宋体" w:cs="宋体"/>
                <w:szCs w:val="21"/>
              </w:rPr>
            </w:pPr>
            <w:r>
              <w:rPr>
                <w:rFonts w:hint="eastAsia" w:ascii="宋体" w:hAnsi="宋体" w:cs="宋体"/>
                <w:szCs w:val="21"/>
              </w:rPr>
              <w:t>大型/中型/小型/微型</w:t>
            </w:r>
          </w:p>
        </w:tc>
        <w:tc>
          <w:tcPr>
            <w:tcW w:w="1985" w:type="dxa"/>
            <w:tcBorders>
              <w:bottom w:val="double" w:color="auto" w:sz="4" w:space="0"/>
            </w:tcBorders>
            <w:vAlign w:val="center"/>
          </w:tcPr>
          <w:p>
            <w:pPr>
              <w:snapToGrid w:val="0"/>
              <w:spacing w:line="400" w:lineRule="exact"/>
              <w:rPr>
                <w:rFonts w:ascii="宋体" w:hAnsi="宋体" w:cs="宋体"/>
                <w:szCs w:val="21"/>
              </w:rPr>
            </w:pPr>
            <w:r>
              <w:rPr>
                <w:rFonts w:hint="eastAsia" w:ascii="宋体" w:hAnsi="宋体" w:cs="宋体"/>
                <w:szCs w:val="21"/>
              </w:rPr>
              <w:t>其它资质认证</w:t>
            </w:r>
          </w:p>
        </w:tc>
        <w:tc>
          <w:tcPr>
            <w:tcW w:w="2740" w:type="dxa"/>
            <w:tcBorders>
              <w:bottom w:val="double" w:color="auto" w:sz="4" w:space="0"/>
            </w:tcBorders>
            <w:vAlign w:val="center"/>
          </w:tcPr>
          <w:p>
            <w:pPr>
              <w:snapToGrid w:val="0"/>
              <w:spacing w:line="400" w:lineRule="exact"/>
              <w:rPr>
                <w:rFonts w:ascii="宋体" w:hAnsi="宋体" w:cs="宋体"/>
                <w:szCs w:val="21"/>
              </w:rPr>
            </w:pPr>
          </w:p>
        </w:tc>
      </w:tr>
    </w:tbl>
    <w:p>
      <w:pPr>
        <w:snapToGrid w:val="0"/>
        <w:spacing w:line="400" w:lineRule="exact"/>
        <w:rPr>
          <w:rFonts w:ascii="宋体" w:hAnsi="宋体" w:cs="宋体"/>
          <w:szCs w:val="21"/>
        </w:rPr>
      </w:pPr>
    </w:p>
    <w:p>
      <w:pPr>
        <w:snapToGrid w:val="0"/>
        <w:spacing w:line="400" w:lineRule="exact"/>
        <w:ind w:left="960" w:hanging="960" w:hangingChars="400"/>
        <w:rPr>
          <w:rFonts w:ascii="宋体" w:hAnsi="宋体" w:cs="宋体"/>
        </w:rPr>
      </w:pPr>
    </w:p>
    <w:p>
      <w:pPr>
        <w:snapToGrid w:val="0"/>
        <w:spacing w:line="400" w:lineRule="exact"/>
        <w:ind w:left="960" w:hanging="960" w:hangingChars="400"/>
        <w:rPr>
          <w:rFonts w:ascii="宋体" w:hAnsi="宋体" w:cs="宋体"/>
        </w:rPr>
      </w:pPr>
      <w:r>
        <w:rPr>
          <w:rFonts w:hint="eastAsia" w:ascii="宋体" w:hAnsi="宋体" w:cs="宋体"/>
        </w:rPr>
        <w:t>投标人名称：（单位公章）</w:t>
      </w:r>
    </w:p>
    <w:p>
      <w:pPr>
        <w:pStyle w:val="15"/>
        <w:adjustRightInd w:val="0"/>
        <w:snapToGrid w:val="0"/>
        <w:spacing w:before="120" w:beforeLines="50" w:line="400" w:lineRule="exact"/>
        <w:rPr>
          <w:rFonts w:hAnsi="宋体" w:cs="宋体"/>
          <w:sz w:val="24"/>
          <w:szCs w:val="24"/>
        </w:rPr>
      </w:pPr>
      <w:r>
        <w:rPr>
          <w:rFonts w:hint="eastAsia" w:hAnsi="宋体" w:cs="宋体"/>
          <w:sz w:val="24"/>
          <w:szCs w:val="24"/>
        </w:rPr>
        <w:t>法定代表人或授权代表：（签字）</w:t>
      </w:r>
    </w:p>
    <w:p>
      <w:pPr>
        <w:snapToGrid w:val="0"/>
        <w:spacing w:before="120" w:beforeLines="50" w:line="400" w:lineRule="exact"/>
        <w:rPr>
          <w:rFonts w:ascii="宋体" w:hAnsi="宋体" w:cs="宋体"/>
          <w:caps/>
          <w:sz w:val="32"/>
          <w:szCs w:val="32"/>
        </w:rPr>
      </w:pPr>
      <w:r>
        <w:rPr>
          <w:rFonts w:hint="eastAsia" w:ascii="宋体" w:hAnsi="宋体" w:cs="宋体"/>
        </w:rPr>
        <w:t>日期：</w:t>
      </w:r>
    </w:p>
    <w:p>
      <w:pPr>
        <w:rPr>
          <w:rFonts w:ascii="宋体" w:hAnsi="宋体" w:cs="宋体"/>
        </w:rPr>
      </w:pPr>
      <w:r>
        <w:rPr>
          <w:rFonts w:hint="eastAsia" w:ascii="宋体" w:hAnsi="宋体" w:cs="宋体"/>
          <w:caps/>
          <w:sz w:val="32"/>
          <w:szCs w:val="32"/>
        </w:rPr>
        <w:br w:type="page"/>
      </w:r>
      <w:bookmarkStart w:id="290" w:name="_Toc26873"/>
      <w:bookmarkStart w:id="291" w:name="_Toc31113"/>
      <w:bookmarkStart w:id="292" w:name="_Toc28753"/>
      <w:bookmarkStart w:id="293" w:name="_Toc9004"/>
      <w:bookmarkStart w:id="294" w:name="_Toc86156798"/>
      <w:bookmarkStart w:id="295" w:name="_Toc477185313"/>
      <w:bookmarkStart w:id="296" w:name="_Toc16164"/>
    </w:p>
    <w:p>
      <w:pPr>
        <w:pStyle w:val="63"/>
        <w:adjustRightInd w:val="0"/>
        <w:snapToGrid w:val="0"/>
        <w:spacing w:line="400" w:lineRule="exact"/>
        <w:jc w:val="left"/>
        <w:rPr>
          <w:rFonts w:hAnsi="宋体" w:cs="宋体"/>
        </w:rPr>
      </w:pPr>
      <w:bookmarkStart w:id="297" w:name="_Toc30335"/>
      <w:bookmarkStart w:id="298" w:name="_Toc95326701"/>
      <w:bookmarkStart w:id="299" w:name="_Toc1338"/>
      <w:bookmarkStart w:id="300" w:name="_Toc5923"/>
      <w:r>
        <w:rPr>
          <w:rFonts w:hint="eastAsia" w:hAnsi="宋体" w:cs="宋体"/>
          <w:lang w:val="zh-CN"/>
        </w:rPr>
        <w:t>★</w:t>
      </w:r>
      <w:r>
        <w:rPr>
          <w:rFonts w:hint="eastAsia" w:hAnsi="宋体" w:cs="宋体"/>
        </w:rPr>
        <w:t>附件9：</w:t>
      </w:r>
      <w:bookmarkEnd w:id="290"/>
      <w:bookmarkEnd w:id="291"/>
      <w:bookmarkEnd w:id="292"/>
      <w:bookmarkEnd w:id="293"/>
      <w:bookmarkEnd w:id="294"/>
      <w:bookmarkEnd w:id="295"/>
      <w:bookmarkEnd w:id="296"/>
      <w:bookmarkEnd w:id="297"/>
      <w:bookmarkEnd w:id="298"/>
      <w:bookmarkEnd w:id="299"/>
      <w:bookmarkEnd w:id="300"/>
    </w:p>
    <w:p>
      <w:pPr>
        <w:snapToGrid w:val="0"/>
        <w:spacing w:line="400" w:lineRule="exact"/>
        <w:jc w:val="both"/>
        <w:rPr>
          <w:rFonts w:ascii="宋体" w:hAnsi="宋体" w:cs="宋体"/>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投标保证金说明函</w:t>
      </w:r>
    </w:p>
    <w:p>
      <w:pPr>
        <w:snapToGrid w:val="0"/>
        <w:spacing w:line="400" w:lineRule="exact"/>
        <w:jc w:val="center"/>
        <w:rPr>
          <w:rFonts w:ascii="宋体" w:hAnsi="宋体" w:cs="宋体"/>
          <w:caps/>
          <w:sz w:val="32"/>
          <w:szCs w:val="32"/>
        </w:rPr>
      </w:pPr>
    </w:p>
    <w:p>
      <w:pPr>
        <w:pStyle w:val="15"/>
        <w:adjustRightInd w:val="0"/>
        <w:snapToGrid w:val="0"/>
        <w:spacing w:line="400" w:lineRule="exact"/>
        <w:rPr>
          <w:rFonts w:hAnsi="宋体" w:cs="宋体"/>
          <w:sz w:val="24"/>
          <w:szCs w:val="24"/>
        </w:rPr>
      </w:pPr>
      <w:r>
        <w:rPr>
          <w:rFonts w:hint="eastAsia" w:hAnsi="宋体" w:cs="宋体"/>
          <w:sz w:val="24"/>
          <w:szCs w:val="24"/>
        </w:rPr>
        <w:t>致：（</w:t>
      </w:r>
      <w:r>
        <w:rPr>
          <w:rFonts w:hint="eastAsia" w:hAnsi="宋体" w:cs="宋体"/>
          <w:sz w:val="24"/>
          <w:szCs w:val="24"/>
          <w:u w:val="single"/>
        </w:rPr>
        <w:t>填写采购代理机构名称</w:t>
      </w:r>
      <w:r>
        <w:rPr>
          <w:rFonts w:hint="eastAsia" w:hAnsi="宋体" w:cs="宋体"/>
          <w:sz w:val="24"/>
          <w:szCs w:val="24"/>
        </w:rPr>
        <w:t>）</w:t>
      </w:r>
    </w:p>
    <w:p>
      <w:pPr>
        <w:pStyle w:val="15"/>
        <w:adjustRightInd w:val="0"/>
        <w:snapToGrid w:val="0"/>
        <w:spacing w:line="400" w:lineRule="exact"/>
        <w:rPr>
          <w:rFonts w:hAnsi="宋体" w:cs="宋体"/>
          <w:sz w:val="24"/>
          <w:szCs w:val="24"/>
        </w:rPr>
      </w:pPr>
    </w:p>
    <w:p>
      <w:pPr>
        <w:pStyle w:val="15"/>
        <w:adjustRightInd w:val="0"/>
        <w:snapToGrid w:val="0"/>
        <w:spacing w:line="400" w:lineRule="exact"/>
        <w:ind w:firstLine="480" w:firstLineChars="200"/>
        <w:rPr>
          <w:rFonts w:hAnsi="宋体" w:cs="宋体"/>
          <w:sz w:val="24"/>
          <w:szCs w:val="24"/>
        </w:rPr>
      </w:pPr>
      <w:r>
        <w:rPr>
          <w:rFonts w:hint="eastAsia" w:hAnsi="宋体" w:cs="宋体"/>
          <w:sz w:val="24"/>
          <w:szCs w:val="24"/>
        </w:rPr>
        <w:t>项目编号：__________</w:t>
      </w:r>
    </w:p>
    <w:p>
      <w:pPr>
        <w:pStyle w:val="15"/>
        <w:adjustRightInd w:val="0"/>
        <w:snapToGrid w:val="0"/>
        <w:spacing w:line="400" w:lineRule="exact"/>
        <w:ind w:left="240" w:leftChars="100" w:firstLine="240" w:firstLineChars="100"/>
        <w:rPr>
          <w:rFonts w:hAnsi="宋体" w:cs="宋体"/>
          <w:sz w:val="24"/>
          <w:szCs w:val="24"/>
        </w:rPr>
      </w:pPr>
      <w:r>
        <w:rPr>
          <w:rFonts w:hint="eastAsia" w:hAnsi="宋体" w:cs="宋体"/>
          <w:sz w:val="24"/>
          <w:szCs w:val="24"/>
        </w:rPr>
        <w:t>1.投标保证金金额(大写)元，以支票/汇款/保函方式支付。</w:t>
      </w:r>
    </w:p>
    <w:p>
      <w:pPr>
        <w:pStyle w:val="15"/>
        <w:adjustRightInd w:val="0"/>
        <w:snapToGrid w:val="0"/>
        <w:spacing w:line="400" w:lineRule="exact"/>
        <w:ind w:firstLine="480" w:firstLineChars="200"/>
        <w:rPr>
          <w:rFonts w:hAnsi="宋体" w:cs="宋体"/>
          <w:sz w:val="24"/>
          <w:szCs w:val="24"/>
        </w:rPr>
      </w:pPr>
      <w:r>
        <w:rPr>
          <w:rFonts w:hint="eastAsia" w:hAnsi="宋体" w:cs="宋体"/>
          <w:sz w:val="24"/>
          <w:szCs w:val="24"/>
        </w:rPr>
        <w:t>2.在担保期内，贵公司根据下列事实中的任何一点，即可无条件地扣留保证金。</w:t>
      </w:r>
    </w:p>
    <w:p>
      <w:pPr>
        <w:pStyle w:val="15"/>
        <w:adjustRightInd w:val="0"/>
        <w:snapToGrid w:val="0"/>
        <w:spacing w:line="400" w:lineRule="exact"/>
        <w:ind w:firstLine="424" w:firstLineChars="177"/>
        <w:rPr>
          <w:rFonts w:hAnsi="宋体" w:cs="宋体"/>
          <w:sz w:val="24"/>
          <w:szCs w:val="24"/>
        </w:rPr>
      </w:pPr>
      <w:r>
        <w:rPr>
          <w:rFonts w:hint="eastAsia" w:hAnsi="宋体" w:cs="宋体"/>
          <w:sz w:val="24"/>
          <w:szCs w:val="24"/>
        </w:rPr>
        <w:t>(1)我方在开标之日后到投标文件有效期满前，撤回投标；</w:t>
      </w:r>
    </w:p>
    <w:p>
      <w:pPr>
        <w:pStyle w:val="15"/>
        <w:adjustRightInd w:val="0"/>
        <w:snapToGrid w:val="0"/>
        <w:spacing w:line="400" w:lineRule="exact"/>
        <w:ind w:firstLine="424" w:firstLineChars="177"/>
        <w:rPr>
          <w:rFonts w:hAnsi="宋体" w:cs="宋体"/>
          <w:sz w:val="24"/>
          <w:szCs w:val="24"/>
        </w:rPr>
      </w:pPr>
      <w:r>
        <w:rPr>
          <w:rFonts w:hint="eastAsia" w:hAnsi="宋体" w:cs="宋体"/>
          <w:sz w:val="24"/>
          <w:szCs w:val="24"/>
        </w:rPr>
        <w:t>(2)我方在收到中标通知后30天内，未能按规定的时间、地点与买方签订合同。</w:t>
      </w:r>
    </w:p>
    <w:p>
      <w:pPr>
        <w:pStyle w:val="15"/>
        <w:adjustRightInd w:val="0"/>
        <w:snapToGrid w:val="0"/>
        <w:spacing w:line="400" w:lineRule="exact"/>
        <w:ind w:firstLine="480" w:firstLineChars="200"/>
        <w:rPr>
          <w:rFonts w:hAnsi="宋体" w:cs="宋体"/>
          <w:sz w:val="24"/>
          <w:szCs w:val="24"/>
        </w:rPr>
      </w:pPr>
      <w:r>
        <w:rPr>
          <w:rFonts w:hint="eastAsia" w:hAnsi="宋体" w:cs="宋体"/>
          <w:sz w:val="24"/>
          <w:szCs w:val="24"/>
        </w:rPr>
        <w:t>3.保证金自开标之日起生效，直到投标文件有效期后</w:t>
      </w:r>
      <w:r>
        <w:rPr>
          <w:rFonts w:hint="eastAsia" w:hAnsi="宋体" w:cs="宋体"/>
          <w:sz w:val="24"/>
          <w:szCs w:val="24"/>
          <w:u w:val="single"/>
        </w:rPr>
        <w:t>30</w:t>
      </w:r>
      <w:r>
        <w:rPr>
          <w:rFonts w:hint="eastAsia" w:hAnsi="宋体" w:cs="宋体"/>
          <w:sz w:val="24"/>
          <w:szCs w:val="24"/>
        </w:rPr>
        <w:t>天内有效或贵方与我方书面协定的延长期后30天内有效。</w:t>
      </w:r>
    </w:p>
    <w:p>
      <w:pPr>
        <w:pStyle w:val="15"/>
        <w:adjustRightInd w:val="0"/>
        <w:snapToGrid w:val="0"/>
        <w:spacing w:line="400" w:lineRule="exact"/>
        <w:ind w:firstLine="480" w:firstLineChars="200"/>
        <w:rPr>
          <w:rFonts w:hAnsi="宋体" w:cs="宋体"/>
          <w:sz w:val="24"/>
          <w:szCs w:val="24"/>
        </w:rPr>
      </w:pPr>
      <w:r>
        <w:rPr>
          <w:rFonts w:hint="eastAsia" w:hAnsi="宋体" w:cs="宋体"/>
          <w:sz w:val="24"/>
          <w:szCs w:val="24"/>
        </w:rPr>
        <w:t>4.请贵方于本保证金有效期满后5个工作日内将保证金退回我方。</w:t>
      </w:r>
    </w:p>
    <w:p>
      <w:pPr>
        <w:pStyle w:val="15"/>
        <w:adjustRightInd w:val="0"/>
        <w:snapToGrid w:val="0"/>
        <w:spacing w:line="400" w:lineRule="exact"/>
        <w:ind w:firstLine="480" w:firstLineChars="200"/>
        <w:rPr>
          <w:rFonts w:hAnsi="宋体" w:cs="宋体"/>
          <w:sz w:val="24"/>
          <w:szCs w:val="24"/>
        </w:rPr>
      </w:pPr>
      <w:r>
        <w:rPr>
          <w:rFonts w:hint="eastAsia" w:hAnsi="宋体" w:cs="宋体"/>
          <w:sz w:val="24"/>
          <w:szCs w:val="24"/>
        </w:rPr>
        <w:t>5.我公司开票信息如下：</w:t>
      </w:r>
    </w:p>
    <w:p>
      <w:pPr>
        <w:pStyle w:val="15"/>
        <w:adjustRightInd w:val="0"/>
        <w:snapToGrid w:val="0"/>
        <w:spacing w:line="400" w:lineRule="exact"/>
        <w:ind w:firstLine="424" w:firstLineChars="177"/>
        <w:rPr>
          <w:rFonts w:hAnsi="宋体" w:cs="宋体"/>
          <w:sz w:val="24"/>
          <w:szCs w:val="24"/>
        </w:rPr>
      </w:pPr>
      <w:r>
        <w:rPr>
          <w:rFonts w:hint="eastAsia" w:hAnsi="宋体" w:cs="宋体"/>
          <w:sz w:val="24"/>
          <w:szCs w:val="24"/>
        </w:rPr>
        <w:t xml:space="preserve">(1)开票单位名称：                       </w:t>
      </w:r>
    </w:p>
    <w:p>
      <w:pPr>
        <w:pStyle w:val="15"/>
        <w:adjustRightInd w:val="0"/>
        <w:snapToGrid w:val="0"/>
        <w:spacing w:line="400" w:lineRule="exact"/>
        <w:ind w:firstLine="424" w:firstLineChars="177"/>
        <w:rPr>
          <w:rFonts w:hAnsi="宋体" w:cs="宋体"/>
          <w:sz w:val="24"/>
          <w:szCs w:val="24"/>
        </w:rPr>
      </w:pPr>
      <w:r>
        <w:rPr>
          <w:rFonts w:hint="eastAsia" w:hAnsi="宋体" w:cs="宋体"/>
          <w:sz w:val="24"/>
          <w:szCs w:val="24"/>
        </w:rPr>
        <w:t xml:space="preserve">(2)纳税人识别号：                       </w:t>
      </w:r>
    </w:p>
    <w:p>
      <w:pPr>
        <w:pStyle w:val="15"/>
        <w:adjustRightInd w:val="0"/>
        <w:snapToGrid w:val="0"/>
        <w:spacing w:line="400" w:lineRule="exact"/>
        <w:ind w:firstLine="424" w:firstLineChars="177"/>
        <w:rPr>
          <w:rFonts w:hAnsi="宋体" w:cs="宋体"/>
          <w:sz w:val="24"/>
          <w:szCs w:val="24"/>
        </w:rPr>
      </w:pPr>
      <w:r>
        <w:rPr>
          <w:rFonts w:hint="eastAsia" w:hAnsi="宋体" w:cs="宋体"/>
          <w:sz w:val="24"/>
          <w:szCs w:val="24"/>
        </w:rPr>
        <w:t xml:space="preserve">(3)地址、电话：                         </w:t>
      </w:r>
    </w:p>
    <w:p>
      <w:pPr>
        <w:pStyle w:val="15"/>
        <w:adjustRightInd w:val="0"/>
        <w:snapToGrid w:val="0"/>
        <w:spacing w:line="400" w:lineRule="exact"/>
        <w:ind w:firstLine="424" w:firstLineChars="177"/>
        <w:rPr>
          <w:rFonts w:hAnsi="宋体" w:cs="宋体"/>
          <w:sz w:val="24"/>
          <w:szCs w:val="24"/>
        </w:rPr>
      </w:pPr>
      <w:r>
        <w:rPr>
          <w:rFonts w:hint="eastAsia" w:hAnsi="宋体" w:cs="宋体"/>
          <w:sz w:val="24"/>
          <w:szCs w:val="24"/>
        </w:rPr>
        <w:t xml:space="preserve">(4)开户银行及帐号：                     </w:t>
      </w:r>
    </w:p>
    <w:p>
      <w:pPr>
        <w:pStyle w:val="15"/>
        <w:adjustRightInd w:val="0"/>
        <w:snapToGrid w:val="0"/>
        <w:spacing w:line="400" w:lineRule="exact"/>
        <w:rPr>
          <w:rFonts w:hAnsi="宋体" w:cs="宋体"/>
          <w:sz w:val="24"/>
          <w:szCs w:val="24"/>
        </w:rPr>
      </w:pPr>
    </w:p>
    <w:p>
      <w:pPr>
        <w:pStyle w:val="15"/>
        <w:adjustRightInd w:val="0"/>
        <w:snapToGrid w:val="0"/>
        <w:spacing w:line="400" w:lineRule="exact"/>
        <w:ind w:firstLine="240" w:firstLineChars="100"/>
        <w:rPr>
          <w:rFonts w:hAnsi="宋体" w:cs="宋体"/>
          <w:sz w:val="24"/>
          <w:szCs w:val="24"/>
        </w:rPr>
      </w:pPr>
      <w:r>
        <w:rPr>
          <w:rFonts w:hint="eastAsia" w:hAnsi="宋体" w:cs="宋体"/>
          <w:sz w:val="24"/>
          <w:szCs w:val="24"/>
        </w:rPr>
        <w:t>投标人名称：（单位公章）</w:t>
      </w:r>
    </w:p>
    <w:p>
      <w:pPr>
        <w:pStyle w:val="15"/>
        <w:adjustRightInd w:val="0"/>
        <w:snapToGrid w:val="0"/>
        <w:spacing w:line="400" w:lineRule="exact"/>
        <w:rPr>
          <w:rFonts w:hAnsi="宋体" w:cs="宋体"/>
          <w:sz w:val="24"/>
          <w:szCs w:val="24"/>
        </w:rPr>
      </w:pPr>
    </w:p>
    <w:p>
      <w:pPr>
        <w:pStyle w:val="15"/>
        <w:adjustRightInd w:val="0"/>
        <w:snapToGrid w:val="0"/>
        <w:spacing w:line="400" w:lineRule="exact"/>
        <w:ind w:firstLine="240" w:firstLineChars="100"/>
        <w:rPr>
          <w:rFonts w:hAnsi="宋体" w:cs="宋体"/>
          <w:sz w:val="24"/>
          <w:szCs w:val="24"/>
        </w:rPr>
      </w:pPr>
      <w:r>
        <w:rPr>
          <w:rFonts w:hint="eastAsia" w:hAnsi="宋体" w:cs="宋体"/>
          <w:sz w:val="24"/>
          <w:szCs w:val="24"/>
        </w:rPr>
        <w:t>法定代表人或授权代表：（签字）</w:t>
      </w:r>
    </w:p>
    <w:p>
      <w:pPr>
        <w:pStyle w:val="15"/>
        <w:adjustRightInd w:val="0"/>
        <w:snapToGrid w:val="0"/>
        <w:spacing w:line="400" w:lineRule="exact"/>
        <w:rPr>
          <w:rFonts w:hAnsi="宋体" w:cs="宋体"/>
          <w:sz w:val="24"/>
          <w:szCs w:val="24"/>
        </w:rPr>
      </w:pPr>
    </w:p>
    <w:p>
      <w:pPr>
        <w:pStyle w:val="15"/>
        <w:adjustRightInd w:val="0"/>
        <w:snapToGrid w:val="0"/>
        <w:spacing w:line="400" w:lineRule="exact"/>
        <w:ind w:firstLine="240" w:firstLineChars="100"/>
        <w:rPr>
          <w:rFonts w:hAnsi="宋体" w:cs="宋体"/>
          <w:sz w:val="24"/>
          <w:szCs w:val="24"/>
        </w:rPr>
      </w:pPr>
      <w:r>
        <w:rPr>
          <w:rFonts w:hint="eastAsia" w:hAnsi="宋体" w:cs="宋体"/>
          <w:sz w:val="24"/>
          <w:szCs w:val="24"/>
        </w:rPr>
        <w:t>日期：</w:t>
      </w:r>
    </w:p>
    <w:p>
      <w:pPr>
        <w:pStyle w:val="15"/>
        <w:adjustRightInd w:val="0"/>
        <w:snapToGrid w:val="0"/>
        <w:spacing w:line="400" w:lineRule="exact"/>
        <w:rPr>
          <w:rFonts w:hAnsi="宋体" w:cs="宋体"/>
          <w:sz w:val="24"/>
          <w:szCs w:val="24"/>
        </w:rPr>
      </w:pPr>
    </w:p>
    <w:p>
      <w:pPr>
        <w:pStyle w:val="15"/>
        <w:adjustRightInd w:val="0"/>
        <w:snapToGrid w:val="0"/>
        <w:spacing w:line="400" w:lineRule="exact"/>
        <w:rPr>
          <w:rFonts w:hAnsi="宋体" w:cs="宋体"/>
          <w:sz w:val="24"/>
          <w:szCs w:val="24"/>
        </w:rPr>
      </w:pPr>
    </w:p>
    <w:p>
      <w:pPr>
        <w:snapToGrid w:val="0"/>
        <w:spacing w:line="400" w:lineRule="exact"/>
        <w:ind w:left="480" w:hanging="480" w:hangingChars="200"/>
        <w:rPr>
          <w:rFonts w:ascii="宋体" w:hAnsi="宋体" w:cs="宋体"/>
        </w:rPr>
      </w:pPr>
      <w:r>
        <w:rPr>
          <w:rFonts w:hint="eastAsia" w:ascii="宋体" w:hAnsi="宋体" w:cs="宋体"/>
        </w:rPr>
        <w:t>（此说明在递交投标保证金的时候需要提交，须在标书中提供该项，且在该附件后附上投标保证金证明的复印件，该附件还需要和保证金单独密封。）</w:t>
      </w:r>
    </w:p>
    <w:p>
      <w:pPr>
        <w:snapToGrid w:val="0"/>
        <w:spacing w:line="400" w:lineRule="exact"/>
        <w:jc w:val="center"/>
        <w:rPr>
          <w:rFonts w:ascii="宋体" w:hAnsi="宋体" w:cs="宋体"/>
          <w:caps/>
          <w:sz w:val="32"/>
          <w:szCs w:val="32"/>
        </w:rPr>
      </w:pPr>
    </w:p>
    <w:p>
      <w:pPr>
        <w:widowControl/>
        <w:snapToGrid w:val="0"/>
        <w:spacing w:line="400" w:lineRule="exact"/>
        <w:textAlignment w:val="auto"/>
        <w:rPr>
          <w:rFonts w:ascii="宋体" w:hAnsi="宋体" w:cs="宋体"/>
          <w:caps/>
          <w:sz w:val="32"/>
          <w:szCs w:val="32"/>
        </w:rPr>
      </w:pPr>
    </w:p>
    <w:p>
      <w:pPr>
        <w:pStyle w:val="63"/>
        <w:adjustRightInd w:val="0"/>
        <w:snapToGrid w:val="0"/>
        <w:spacing w:line="400" w:lineRule="exact"/>
        <w:jc w:val="left"/>
        <w:rPr>
          <w:rFonts w:hAnsi="宋体" w:cs="宋体"/>
        </w:rPr>
      </w:pPr>
      <w:r>
        <w:rPr>
          <w:rFonts w:hint="eastAsia" w:hAnsi="宋体" w:cs="宋体"/>
          <w:caps/>
          <w:sz w:val="32"/>
          <w:szCs w:val="32"/>
        </w:rPr>
        <w:br w:type="page"/>
      </w:r>
      <w:bookmarkStart w:id="301" w:name="_Toc8667"/>
      <w:bookmarkStart w:id="302" w:name="_Toc281"/>
      <w:bookmarkStart w:id="303" w:name="_Toc12404"/>
      <w:bookmarkStart w:id="304" w:name="_Toc477185314"/>
      <w:bookmarkStart w:id="305" w:name="_Toc86156799"/>
      <w:bookmarkStart w:id="306" w:name="_Toc27153"/>
      <w:bookmarkStart w:id="307" w:name="_Toc95326702"/>
      <w:bookmarkStart w:id="308" w:name="_Toc10665"/>
      <w:bookmarkStart w:id="309" w:name="_Toc6166"/>
      <w:bookmarkStart w:id="310" w:name="_Toc15446"/>
      <w:bookmarkStart w:id="311" w:name="_Toc741"/>
      <w:r>
        <w:rPr>
          <w:rFonts w:hint="eastAsia" w:hAnsi="宋体" w:cs="宋体"/>
        </w:rPr>
        <w:t>附件10：</w:t>
      </w:r>
      <w:bookmarkEnd w:id="301"/>
      <w:bookmarkEnd w:id="302"/>
      <w:bookmarkEnd w:id="303"/>
      <w:bookmarkEnd w:id="304"/>
      <w:bookmarkEnd w:id="305"/>
      <w:bookmarkEnd w:id="306"/>
      <w:bookmarkEnd w:id="307"/>
      <w:bookmarkEnd w:id="308"/>
      <w:bookmarkEnd w:id="309"/>
      <w:bookmarkEnd w:id="310"/>
      <w:bookmarkEnd w:id="311"/>
    </w:p>
    <w:p>
      <w:pPr>
        <w:snapToGrid w:val="0"/>
        <w:spacing w:line="400" w:lineRule="exact"/>
        <w:jc w:val="center"/>
        <w:rPr>
          <w:rFonts w:ascii="宋体" w:hAnsi="宋体" w:cs="宋体"/>
          <w:caps/>
          <w:sz w:val="36"/>
          <w:szCs w:val="36"/>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投标保证金担保函</w:t>
      </w:r>
    </w:p>
    <w:p>
      <w:pPr>
        <w:snapToGrid w:val="0"/>
        <w:spacing w:after="120" w:afterLines="50" w:line="400" w:lineRule="exact"/>
        <w:jc w:val="center"/>
        <w:rPr>
          <w:rFonts w:ascii="宋体" w:hAnsi="宋体" w:cs="宋体"/>
          <w:sz w:val="28"/>
          <w:szCs w:val="28"/>
        </w:rPr>
      </w:pPr>
    </w:p>
    <w:p>
      <w:pPr>
        <w:snapToGrid w:val="0"/>
        <w:spacing w:after="120" w:afterLines="50" w:line="400" w:lineRule="exact"/>
        <w:jc w:val="center"/>
        <w:rPr>
          <w:rFonts w:ascii="宋体" w:hAnsi="宋体" w:cs="宋体"/>
          <w:sz w:val="28"/>
          <w:szCs w:val="28"/>
        </w:rPr>
      </w:pPr>
      <w:r>
        <w:rPr>
          <w:rFonts w:hint="eastAsia" w:ascii="宋体" w:hAnsi="宋体" w:cs="宋体"/>
          <w:sz w:val="28"/>
          <w:szCs w:val="28"/>
        </w:rPr>
        <w:t>(如已提供投标保证金，则不需再提供此保函)</w:t>
      </w:r>
    </w:p>
    <w:p>
      <w:pPr>
        <w:snapToGrid w:val="0"/>
        <w:spacing w:line="400" w:lineRule="exact"/>
        <w:rPr>
          <w:rFonts w:ascii="宋体" w:hAnsi="宋体" w:cs="宋体"/>
          <w:b/>
        </w:rPr>
      </w:pPr>
      <w:r>
        <w:rPr>
          <w:rFonts w:hint="eastAsia" w:ascii="宋体" w:hAnsi="宋体" w:cs="宋体"/>
        </w:rPr>
        <w:t>编号：</w:t>
      </w:r>
    </w:p>
    <w:p>
      <w:pPr>
        <w:snapToGrid w:val="0"/>
        <w:spacing w:line="400" w:lineRule="exact"/>
        <w:rPr>
          <w:rFonts w:ascii="宋体" w:hAnsi="宋体" w:cs="宋体"/>
        </w:rPr>
      </w:pPr>
      <w:r>
        <w:rPr>
          <w:rFonts w:hint="eastAsia" w:ascii="宋体" w:hAnsi="宋体" w:cs="宋体"/>
          <w:u w:val="single"/>
        </w:rPr>
        <w:t>（填写采购代理机构）</w:t>
      </w:r>
      <w:r>
        <w:rPr>
          <w:rFonts w:hint="eastAsia" w:ascii="宋体" w:hAnsi="宋体" w:cs="宋体"/>
        </w:rPr>
        <w:t xml:space="preserve">： </w:t>
      </w:r>
    </w:p>
    <w:p>
      <w:pPr>
        <w:snapToGrid w:val="0"/>
        <w:spacing w:line="400" w:lineRule="exact"/>
        <w:ind w:firstLine="480" w:firstLineChars="200"/>
        <w:rPr>
          <w:rFonts w:ascii="宋体" w:hAnsi="宋体" w:cs="宋体"/>
        </w:rPr>
      </w:pPr>
      <w:r>
        <w:rPr>
          <w:rFonts w:hint="eastAsia" w:ascii="宋体" w:hAnsi="宋体" w:cs="宋体"/>
        </w:rPr>
        <w:t>鉴于</w:t>
      </w:r>
      <w:r>
        <w:rPr>
          <w:rFonts w:hint="eastAsia" w:ascii="宋体" w:hAnsi="宋体" w:cs="宋体"/>
          <w:u w:val="single"/>
        </w:rPr>
        <w:t>（填写投标人名称）</w:t>
      </w:r>
      <w:r>
        <w:rPr>
          <w:rFonts w:hint="eastAsia" w:ascii="宋体" w:hAnsi="宋体" w:cs="宋体"/>
        </w:rPr>
        <w:t>（以下简称“投标人”）拟参加</w:t>
      </w:r>
      <w:r>
        <w:rPr>
          <w:rFonts w:hint="eastAsia" w:ascii="宋体" w:hAnsi="宋体" w:cs="宋体"/>
          <w:u w:val="single"/>
        </w:rPr>
        <w:t>（填写项目名称）</w:t>
      </w:r>
      <w:r>
        <w:rPr>
          <w:rFonts w:hint="eastAsia" w:ascii="宋体" w:hAnsi="宋体" w:cs="宋体"/>
        </w:rPr>
        <w:t>（以下简称“本项目”）投标，编号为</w:t>
      </w:r>
      <w:r>
        <w:rPr>
          <w:rFonts w:hint="eastAsia" w:ascii="宋体" w:hAnsi="宋体" w:cs="宋体"/>
          <w:u w:val="single"/>
        </w:rPr>
        <w:t xml:space="preserve">     </w:t>
      </w:r>
      <w:r>
        <w:rPr>
          <w:rFonts w:hint="eastAsia" w:ascii="宋体" w:hAnsi="宋体" w:cs="宋体"/>
        </w:rPr>
        <w:t xml:space="preserve">，根据本项目招标文件，供应商参加投标时应向你方交纳投标保证金，且可以投标担保函的形式交纳投标保证金。应供应商的申请，我方以保证的方式向你方提供如下投标保证金担保： </w:t>
      </w:r>
    </w:p>
    <w:p>
      <w:pPr>
        <w:snapToGrid w:val="0"/>
        <w:spacing w:line="400" w:lineRule="exact"/>
        <w:ind w:firstLine="482" w:firstLineChars="200"/>
        <w:rPr>
          <w:rFonts w:ascii="宋体" w:hAnsi="宋体" w:cs="宋体"/>
          <w:b/>
        </w:rPr>
      </w:pPr>
      <w:r>
        <w:rPr>
          <w:rFonts w:hint="eastAsia" w:ascii="宋体" w:hAnsi="宋体" w:cs="宋体"/>
          <w:b/>
        </w:rPr>
        <w:t xml:space="preserve">一、保证责任的情形及保证金额 </w:t>
      </w:r>
    </w:p>
    <w:p>
      <w:pPr>
        <w:snapToGrid w:val="0"/>
        <w:spacing w:line="400" w:lineRule="exact"/>
        <w:ind w:firstLine="480" w:firstLineChars="200"/>
        <w:rPr>
          <w:rFonts w:ascii="宋体" w:hAnsi="宋体" w:cs="宋体"/>
        </w:rPr>
      </w:pPr>
      <w:r>
        <w:rPr>
          <w:rFonts w:hint="eastAsia" w:ascii="宋体" w:hAnsi="宋体" w:cs="宋体"/>
        </w:rPr>
        <w:t xml:space="preserve">（一）在投标人出现下列情形之一时，我方承担保证责任： </w:t>
      </w:r>
    </w:p>
    <w:p>
      <w:pPr>
        <w:snapToGrid w:val="0"/>
        <w:spacing w:line="400" w:lineRule="exact"/>
        <w:ind w:firstLine="480" w:firstLineChars="200"/>
        <w:rPr>
          <w:rFonts w:ascii="宋体" w:hAnsi="宋体" w:cs="宋体"/>
        </w:rPr>
      </w:pPr>
      <w:r>
        <w:rPr>
          <w:rFonts w:hint="eastAsia" w:ascii="宋体" w:hAnsi="宋体" w:cs="宋体"/>
        </w:rPr>
        <w:t>1.在开标之日后到投标有效期满前，投标人擅自撤回投标的；</w:t>
      </w:r>
    </w:p>
    <w:p>
      <w:pPr>
        <w:snapToGrid w:val="0"/>
        <w:spacing w:line="400" w:lineRule="exact"/>
        <w:ind w:firstLine="480" w:firstLineChars="200"/>
        <w:rPr>
          <w:rFonts w:ascii="宋体" w:hAnsi="宋体" w:cs="宋体"/>
        </w:rPr>
      </w:pPr>
      <w:r>
        <w:rPr>
          <w:rFonts w:hint="eastAsia" w:ascii="宋体" w:hAnsi="宋体" w:cs="宋体"/>
        </w:rPr>
        <w:t>2.投标人为中标供应商时，不按规定签订合同的；</w:t>
      </w:r>
    </w:p>
    <w:p>
      <w:pPr>
        <w:snapToGrid w:val="0"/>
        <w:spacing w:line="400" w:lineRule="exact"/>
        <w:ind w:firstLine="480" w:firstLineChars="200"/>
        <w:rPr>
          <w:rFonts w:ascii="宋体" w:hAnsi="宋体" w:cs="宋体"/>
        </w:rPr>
      </w:pPr>
      <w:r>
        <w:rPr>
          <w:rFonts w:hint="eastAsia" w:ascii="宋体" w:hAnsi="宋体" w:cs="宋体"/>
        </w:rPr>
        <w:t>3.投标人为中标供应商时，不按规定交纳履约保证金；</w:t>
      </w:r>
    </w:p>
    <w:p>
      <w:pPr>
        <w:snapToGrid w:val="0"/>
        <w:spacing w:line="400" w:lineRule="exact"/>
        <w:ind w:firstLine="480" w:firstLineChars="200"/>
        <w:rPr>
          <w:rFonts w:ascii="宋体" w:hAnsi="宋体" w:cs="宋体"/>
        </w:rPr>
      </w:pPr>
      <w:r>
        <w:rPr>
          <w:rFonts w:hint="eastAsia" w:ascii="宋体" w:hAnsi="宋体" w:cs="宋体"/>
        </w:rPr>
        <w:t>4.投标人为中标供应商时，不按规定交纳中标服务费的。</w:t>
      </w:r>
    </w:p>
    <w:p>
      <w:pPr>
        <w:snapToGrid w:val="0"/>
        <w:spacing w:line="400" w:lineRule="exact"/>
        <w:ind w:firstLine="480" w:firstLineChars="200"/>
        <w:rPr>
          <w:rFonts w:ascii="宋体" w:hAnsi="宋体" w:cs="宋体"/>
        </w:rPr>
      </w:pPr>
      <w:r>
        <w:rPr>
          <w:rFonts w:hint="eastAsia" w:ascii="宋体" w:hAnsi="宋体" w:cs="宋体"/>
        </w:rPr>
        <w:t>（二）我方承担保证责任的最高金额为人民币</w:t>
      </w:r>
      <w:r>
        <w:rPr>
          <w:rFonts w:hint="eastAsia" w:ascii="宋体" w:hAnsi="宋体" w:cs="宋体"/>
          <w:u w:val="single"/>
        </w:rPr>
        <w:t xml:space="preserve">  大写金额   </w:t>
      </w:r>
      <w:r>
        <w:rPr>
          <w:rFonts w:hint="eastAsia" w:ascii="宋体" w:hAnsi="宋体" w:cs="宋体"/>
        </w:rPr>
        <w:t>元整（</w:t>
      </w:r>
      <w:r>
        <w:rPr>
          <w:rFonts w:hint="eastAsia" w:ascii="宋体" w:hAnsi="宋体" w:cs="宋体"/>
          <w:bCs/>
        </w:rPr>
        <w:t>¥</w:t>
      </w:r>
      <w:r>
        <w:rPr>
          <w:rFonts w:hint="eastAsia" w:ascii="宋体" w:hAnsi="宋体" w:cs="宋体"/>
          <w:bCs/>
          <w:u w:val="single"/>
        </w:rPr>
        <w:t>小写</w:t>
      </w:r>
      <w:r>
        <w:rPr>
          <w:rFonts w:hint="eastAsia" w:ascii="宋体" w:hAnsi="宋体" w:cs="宋体"/>
        </w:rPr>
        <w:t xml:space="preserve">），即本项目的投标保证金金额。 </w:t>
      </w:r>
    </w:p>
    <w:p>
      <w:pPr>
        <w:snapToGrid w:val="0"/>
        <w:spacing w:line="400" w:lineRule="exact"/>
        <w:ind w:firstLine="482" w:firstLineChars="200"/>
        <w:rPr>
          <w:rFonts w:ascii="宋体" w:hAnsi="宋体" w:cs="宋体"/>
        </w:rPr>
      </w:pPr>
      <w:r>
        <w:rPr>
          <w:rFonts w:hint="eastAsia" w:ascii="宋体" w:hAnsi="宋体" w:cs="宋体"/>
          <w:b/>
        </w:rPr>
        <w:t>二、保证的方式及保证期间</w:t>
      </w:r>
    </w:p>
    <w:p>
      <w:pPr>
        <w:snapToGrid w:val="0"/>
        <w:spacing w:line="400" w:lineRule="exact"/>
        <w:ind w:firstLine="480" w:firstLineChars="200"/>
        <w:rPr>
          <w:rFonts w:ascii="宋体" w:hAnsi="宋体" w:cs="宋体"/>
        </w:rPr>
      </w:pPr>
      <w:r>
        <w:rPr>
          <w:rFonts w:hint="eastAsia" w:ascii="宋体" w:hAnsi="宋体" w:cs="宋体"/>
        </w:rPr>
        <w:t xml:space="preserve">我方保证的方式为：连带责任保证。 </w:t>
      </w:r>
    </w:p>
    <w:p>
      <w:pPr>
        <w:snapToGrid w:val="0"/>
        <w:spacing w:line="400" w:lineRule="exact"/>
        <w:ind w:firstLine="480" w:firstLineChars="200"/>
        <w:rPr>
          <w:rFonts w:ascii="宋体" w:hAnsi="宋体" w:cs="宋体"/>
        </w:rPr>
      </w:pPr>
      <w:r>
        <w:rPr>
          <w:rFonts w:hint="eastAsia" w:ascii="宋体" w:hAnsi="宋体" w:cs="宋体"/>
        </w:rPr>
        <w:t>我方的保证期间为：自本保函生效之日起</w:t>
      </w:r>
      <w:r>
        <w:rPr>
          <w:rFonts w:hint="eastAsia" w:ascii="宋体" w:hAnsi="宋体" w:cs="宋体"/>
          <w:u w:val="single"/>
        </w:rPr>
        <w:t xml:space="preserve">  </w:t>
      </w:r>
      <w:r>
        <w:rPr>
          <w:rFonts w:hint="eastAsia" w:ascii="宋体" w:hAnsi="宋体" w:cs="宋体"/>
        </w:rPr>
        <w:t>个月止。</w:t>
      </w:r>
    </w:p>
    <w:p>
      <w:pPr>
        <w:snapToGrid w:val="0"/>
        <w:spacing w:line="400" w:lineRule="exact"/>
        <w:ind w:firstLine="482" w:firstLineChars="200"/>
        <w:rPr>
          <w:rFonts w:ascii="宋体" w:hAnsi="宋体" w:cs="宋体"/>
          <w:b/>
        </w:rPr>
      </w:pPr>
      <w:r>
        <w:rPr>
          <w:rFonts w:hint="eastAsia" w:ascii="宋体" w:hAnsi="宋体" w:cs="宋体"/>
          <w:b/>
        </w:rPr>
        <w:t xml:space="preserve">三、承担保证责任的程序 </w:t>
      </w:r>
    </w:p>
    <w:p>
      <w:pPr>
        <w:snapToGrid w:val="0"/>
        <w:spacing w:line="400" w:lineRule="exact"/>
        <w:ind w:firstLine="480" w:firstLineChars="200"/>
        <w:rPr>
          <w:rFonts w:ascii="宋体" w:hAnsi="宋体" w:cs="宋体"/>
        </w:rPr>
      </w:pPr>
      <w:r>
        <w:rPr>
          <w:rFonts w:hint="eastAsia" w:ascii="宋体" w:hAnsi="宋体" w:cs="宋体"/>
        </w:rPr>
        <w:t xml:space="preserve">1.你方要求我方承担保证责任的，应在本保函保证期间内向我方发出书面索赔通知。索赔通知应写明要求索赔的金额，支付款项应到达的账号，并附有证明投标人发生我方应承担保证责任情形的事实材料。 </w:t>
      </w:r>
    </w:p>
    <w:p>
      <w:pPr>
        <w:snapToGrid w:val="0"/>
        <w:spacing w:line="400" w:lineRule="exact"/>
        <w:ind w:firstLine="480" w:firstLineChars="200"/>
        <w:rPr>
          <w:rFonts w:ascii="宋体" w:hAnsi="宋体" w:cs="宋体"/>
          <w:b/>
        </w:rPr>
      </w:pPr>
      <w:r>
        <w:rPr>
          <w:rFonts w:hint="eastAsia" w:ascii="宋体" w:hAnsi="宋体" w:cs="宋体"/>
        </w:rPr>
        <w:t xml:space="preserve">2.我方在收到索赔通知及相关证明材料后，在个工作日内进行审查，符合应承担保证责任情形的，我方应按照你方的要求代投标人向你方支付投标保证金。 </w:t>
      </w:r>
    </w:p>
    <w:p>
      <w:pPr>
        <w:snapToGrid w:val="0"/>
        <w:spacing w:line="400" w:lineRule="exact"/>
        <w:ind w:firstLine="482" w:firstLineChars="200"/>
        <w:rPr>
          <w:rFonts w:ascii="宋体" w:hAnsi="宋体" w:cs="宋体"/>
          <w:b/>
        </w:rPr>
      </w:pPr>
      <w:r>
        <w:rPr>
          <w:rFonts w:hint="eastAsia" w:ascii="宋体" w:hAnsi="宋体" w:cs="宋体"/>
          <w:b/>
        </w:rPr>
        <w:t xml:space="preserve">四、保证责任的终止 </w:t>
      </w:r>
    </w:p>
    <w:p>
      <w:pPr>
        <w:snapToGrid w:val="0"/>
        <w:spacing w:line="400" w:lineRule="exact"/>
        <w:ind w:firstLine="480" w:firstLineChars="200"/>
        <w:rPr>
          <w:rFonts w:ascii="宋体" w:hAnsi="宋体" w:cs="宋体"/>
        </w:rPr>
      </w:pPr>
      <w:r>
        <w:rPr>
          <w:rFonts w:hint="eastAsia" w:ascii="宋体" w:hAnsi="宋体" w:cs="宋体"/>
        </w:rPr>
        <w:t xml:space="preserve">1.保证期间届满你方未向我方书面主张保证责任的，自保证期间届满次日起，我方保证责任自动终止。 </w:t>
      </w:r>
    </w:p>
    <w:p>
      <w:pPr>
        <w:snapToGrid w:val="0"/>
        <w:spacing w:line="400" w:lineRule="exact"/>
        <w:ind w:firstLine="480" w:firstLineChars="200"/>
        <w:rPr>
          <w:rFonts w:ascii="宋体" w:hAnsi="宋体" w:cs="宋体"/>
        </w:rPr>
      </w:pPr>
      <w:r>
        <w:rPr>
          <w:rFonts w:hint="eastAsia" w:ascii="宋体" w:hAnsi="宋体" w:cs="宋体"/>
        </w:rPr>
        <w:t xml:space="preserve">2.我方按照本保函向你方履行了保证责任后，自我方向你方支付款项（支付款项从我方账户划出）之日起，保证责任终止。 </w:t>
      </w:r>
    </w:p>
    <w:p>
      <w:pPr>
        <w:snapToGrid w:val="0"/>
        <w:spacing w:line="400" w:lineRule="exact"/>
        <w:ind w:firstLine="480" w:firstLineChars="200"/>
        <w:rPr>
          <w:rFonts w:ascii="宋体" w:hAnsi="宋体" w:cs="宋体"/>
        </w:rPr>
      </w:pPr>
      <w:r>
        <w:rPr>
          <w:rFonts w:hint="eastAsia" w:ascii="宋体" w:hAnsi="宋体" w:cs="宋体"/>
        </w:rPr>
        <w:t xml:space="preserve">3.按照法律法规的规定或出现我方保证责任终止的其它情形的，我方在本保函项下的保证责任亦终止。 </w:t>
      </w:r>
    </w:p>
    <w:p>
      <w:pPr>
        <w:snapToGrid w:val="0"/>
        <w:spacing w:line="400" w:lineRule="exact"/>
        <w:ind w:firstLine="482" w:firstLineChars="200"/>
        <w:rPr>
          <w:rFonts w:ascii="宋体" w:hAnsi="宋体" w:cs="宋体"/>
          <w:b/>
        </w:rPr>
      </w:pPr>
      <w:r>
        <w:rPr>
          <w:rFonts w:hint="eastAsia" w:ascii="宋体" w:hAnsi="宋体" w:cs="宋体"/>
          <w:b/>
        </w:rPr>
        <w:t xml:space="preserve">五、免责条款 </w:t>
      </w:r>
    </w:p>
    <w:p>
      <w:pPr>
        <w:snapToGrid w:val="0"/>
        <w:spacing w:line="400" w:lineRule="exact"/>
        <w:ind w:firstLine="480" w:firstLineChars="200"/>
        <w:rPr>
          <w:rFonts w:ascii="宋体" w:hAnsi="宋体" w:cs="宋体"/>
        </w:rPr>
      </w:pPr>
      <w:r>
        <w:rPr>
          <w:rFonts w:hint="eastAsia" w:ascii="宋体" w:hAnsi="宋体" w:cs="宋体"/>
        </w:rPr>
        <w:t>1.依照法律规定或你方与投标人的另行约定，全部或者部分免除投标人投标保证金义务时，我方亦免除相应的保证责任。</w:t>
      </w:r>
    </w:p>
    <w:p>
      <w:pPr>
        <w:snapToGrid w:val="0"/>
        <w:spacing w:line="400" w:lineRule="exact"/>
        <w:ind w:firstLine="480" w:firstLineChars="200"/>
        <w:rPr>
          <w:rFonts w:ascii="宋体" w:hAnsi="宋体" w:cs="宋体"/>
        </w:rPr>
      </w:pPr>
      <w:r>
        <w:rPr>
          <w:rFonts w:hint="eastAsia" w:ascii="宋体" w:hAnsi="宋体" w:cs="宋体"/>
        </w:rPr>
        <w:t>2.因你方原因致使投标人发生本保函第一条第（一）款约定情形的，我方不承担保证责任。</w:t>
      </w:r>
    </w:p>
    <w:p>
      <w:pPr>
        <w:snapToGrid w:val="0"/>
        <w:spacing w:line="400" w:lineRule="exact"/>
        <w:ind w:firstLine="480" w:firstLineChars="200"/>
        <w:rPr>
          <w:rFonts w:ascii="宋体" w:hAnsi="宋体" w:cs="宋体"/>
        </w:rPr>
      </w:pPr>
      <w:r>
        <w:rPr>
          <w:rFonts w:hint="eastAsia" w:ascii="宋体" w:hAnsi="宋体" w:cs="宋体"/>
        </w:rPr>
        <w:t>3.因不可抗力造成投标人发生本保函第一条约定情形的，我方不承担保证责任。</w:t>
      </w:r>
    </w:p>
    <w:p>
      <w:pPr>
        <w:snapToGrid w:val="0"/>
        <w:spacing w:line="400" w:lineRule="exact"/>
        <w:ind w:firstLine="480" w:firstLineChars="200"/>
        <w:rPr>
          <w:rFonts w:ascii="宋体" w:hAnsi="宋体" w:cs="宋体"/>
        </w:rPr>
      </w:pPr>
      <w:r>
        <w:rPr>
          <w:rFonts w:hint="eastAsia" w:ascii="宋体" w:hAnsi="宋体" w:cs="宋体"/>
        </w:rPr>
        <w:t xml:space="preserve">4.你方或其他有权机关对招标文件进行任何澄清或修改，加重我方保证责任的，我方对加重部分不承担保证责任，但该澄清或修改经我方事先书面同意的除外。 </w:t>
      </w:r>
    </w:p>
    <w:p>
      <w:pPr>
        <w:snapToGrid w:val="0"/>
        <w:spacing w:line="400" w:lineRule="exact"/>
        <w:ind w:firstLine="482" w:firstLineChars="200"/>
        <w:rPr>
          <w:rFonts w:ascii="宋体" w:hAnsi="宋体" w:cs="宋体"/>
          <w:b/>
        </w:rPr>
      </w:pPr>
      <w:r>
        <w:rPr>
          <w:rFonts w:hint="eastAsia" w:ascii="宋体" w:hAnsi="宋体" w:cs="宋体"/>
          <w:b/>
        </w:rPr>
        <w:t xml:space="preserve">六、争议的解决 </w:t>
      </w:r>
    </w:p>
    <w:p>
      <w:pPr>
        <w:snapToGrid w:val="0"/>
        <w:spacing w:line="400" w:lineRule="exact"/>
        <w:ind w:firstLine="480" w:firstLineChars="200"/>
        <w:rPr>
          <w:rFonts w:ascii="宋体" w:hAnsi="宋体" w:cs="宋体"/>
        </w:rPr>
      </w:pPr>
      <w:r>
        <w:rPr>
          <w:rFonts w:hint="eastAsia" w:ascii="宋体" w:hAnsi="宋体" w:cs="宋体"/>
        </w:rPr>
        <w:t>因本保函发生的纠纷，由你我双方协商解决，协商不成的，通过诉讼程序解决，诉讼管辖地法院为法院。</w:t>
      </w:r>
    </w:p>
    <w:p>
      <w:pPr>
        <w:snapToGrid w:val="0"/>
        <w:spacing w:line="400" w:lineRule="exact"/>
        <w:ind w:firstLine="482" w:firstLineChars="200"/>
        <w:rPr>
          <w:rFonts w:ascii="宋体" w:hAnsi="宋体" w:cs="宋体"/>
          <w:b/>
        </w:rPr>
      </w:pPr>
      <w:r>
        <w:rPr>
          <w:rFonts w:hint="eastAsia" w:ascii="宋体" w:hAnsi="宋体" w:cs="宋体"/>
          <w:b/>
        </w:rPr>
        <w:t xml:space="preserve">七、保函的生效 </w:t>
      </w:r>
    </w:p>
    <w:p>
      <w:pPr>
        <w:snapToGrid w:val="0"/>
        <w:spacing w:line="400" w:lineRule="exact"/>
        <w:ind w:firstLine="480" w:firstLineChars="200"/>
        <w:rPr>
          <w:rFonts w:ascii="宋体" w:hAnsi="宋体" w:cs="宋体"/>
        </w:rPr>
      </w:pPr>
      <w:r>
        <w:rPr>
          <w:rFonts w:hint="eastAsia" w:ascii="宋体" w:hAnsi="宋体" w:cs="宋体"/>
        </w:rPr>
        <w:t xml:space="preserve">本保函自我方加盖公章之日起生效。 </w:t>
      </w:r>
    </w:p>
    <w:p>
      <w:pPr>
        <w:snapToGrid w:val="0"/>
        <w:spacing w:line="400" w:lineRule="exact"/>
        <w:ind w:right="960"/>
        <w:jc w:val="right"/>
        <w:rPr>
          <w:rFonts w:ascii="宋体" w:hAnsi="宋体" w:cs="宋体"/>
        </w:rPr>
      </w:pPr>
    </w:p>
    <w:p>
      <w:pPr>
        <w:snapToGrid w:val="0"/>
        <w:spacing w:line="400" w:lineRule="exact"/>
        <w:ind w:right="960"/>
        <w:jc w:val="right"/>
        <w:rPr>
          <w:rFonts w:ascii="宋体" w:hAnsi="宋体" w:cs="宋体"/>
        </w:rPr>
      </w:pPr>
    </w:p>
    <w:p>
      <w:pPr>
        <w:snapToGrid w:val="0"/>
        <w:spacing w:line="400" w:lineRule="exact"/>
        <w:ind w:right="960"/>
        <w:jc w:val="right"/>
        <w:rPr>
          <w:rFonts w:ascii="宋体" w:hAnsi="宋体" w:cs="宋体"/>
        </w:rPr>
      </w:pPr>
    </w:p>
    <w:p>
      <w:pPr>
        <w:snapToGrid w:val="0"/>
        <w:spacing w:line="400" w:lineRule="exact"/>
        <w:ind w:right="960"/>
        <w:jc w:val="right"/>
        <w:rPr>
          <w:rFonts w:ascii="宋体" w:hAnsi="宋体" w:cs="宋体"/>
        </w:rPr>
      </w:pPr>
      <w:r>
        <w:rPr>
          <w:rFonts w:hint="eastAsia" w:ascii="宋体" w:hAnsi="宋体" w:cs="宋体"/>
        </w:rPr>
        <w:t>保证人：（公章）</w:t>
      </w:r>
    </w:p>
    <w:p>
      <w:pPr>
        <w:snapToGrid w:val="0"/>
        <w:spacing w:line="400" w:lineRule="exact"/>
        <w:ind w:right="960"/>
        <w:jc w:val="center"/>
        <w:rPr>
          <w:rFonts w:ascii="宋体" w:hAnsi="宋体" w:cs="宋体"/>
        </w:rPr>
      </w:pPr>
      <w:r>
        <w:rPr>
          <w:rFonts w:hint="eastAsia" w:ascii="宋体" w:hAnsi="宋体" w:cs="宋体"/>
        </w:rPr>
        <w:t xml:space="preserve">                                            年  月  日</w:t>
      </w:r>
    </w:p>
    <w:p>
      <w:pPr>
        <w:snapToGrid w:val="0"/>
        <w:spacing w:line="400" w:lineRule="exact"/>
        <w:jc w:val="both"/>
        <w:rPr>
          <w:rFonts w:ascii="宋体" w:hAnsi="宋体" w:cs="宋体"/>
          <w:caps/>
          <w:sz w:val="32"/>
          <w:szCs w:val="32"/>
        </w:rPr>
      </w:pPr>
    </w:p>
    <w:p>
      <w:pPr>
        <w:pStyle w:val="63"/>
        <w:adjustRightInd w:val="0"/>
        <w:snapToGrid w:val="0"/>
        <w:spacing w:line="400" w:lineRule="exact"/>
        <w:jc w:val="left"/>
        <w:rPr>
          <w:rFonts w:hAnsi="宋体" w:cs="宋体"/>
        </w:rPr>
      </w:pPr>
      <w:r>
        <w:rPr>
          <w:rFonts w:hint="eastAsia" w:hAnsi="宋体" w:cs="宋体"/>
        </w:rPr>
        <w:br w:type="page"/>
      </w:r>
      <w:bookmarkStart w:id="312" w:name="_Toc95326703"/>
      <w:bookmarkStart w:id="313" w:name="_Toc6369"/>
      <w:bookmarkStart w:id="314" w:name="_Toc18190"/>
      <w:bookmarkStart w:id="315" w:name="_Toc477185315"/>
      <w:bookmarkStart w:id="316" w:name="_Toc29714"/>
      <w:bookmarkStart w:id="317" w:name="_Toc86156800"/>
      <w:bookmarkStart w:id="318" w:name="_Toc14971"/>
      <w:bookmarkStart w:id="319" w:name="_Toc24398"/>
      <w:bookmarkStart w:id="320" w:name="_Toc29222"/>
      <w:bookmarkStart w:id="321" w:name="_Toc30686"/>
      <w:bookmarkStart w:id="322" w:name="_Toc879"/>
      <w:r>
        <w:rPr>
          <w:rFonts w:hint="eastAsia" w:hAnsi="宋体" w:cs="宋体"/>
        </w:rPr>
        <w:t>附件11：</w:t>
      </w:r>
      <w:bookmarkEnd w:id="312"/>
      <w:bookmarkEnd w:id="313"/>
      <w:bookmarkEnd w:id="314"/>
      <w:bookmarkEnd w:id="315"/>
      <w:bookmarkEnd w:id="316"/>
      <w:bookmarkEnd w:id="317"/>
      <w:bookmarkEnd w:id="318"/>
      <w:bookmarkEnd w:id="319"/>
      <w:bookmarkEnd w:id="320"/>
      <w:bookmarkEnd w:id="321"/>
      <w:bookmarkEnd w:id="322"/>
    </w:p>
    <w:p>
      <w:pPr>
        <w:snapToGrid w:val="0"/>
        <w:spacing w:line="400" w:lineRule="exact"/>
        <w:jc w:val="both"/>
        <w:rPr>
          <w:rFonts w:ascii="宋体" w:hAnsi="宋体" w:cs="宋体"/>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履约保证金担保函</w:t>
      </w:r>
    </w:p>
    <w:p>
      <w:pPr>
        <w:pStyle w:val="25"/>
        <w:ind w:left="0" w:leftChars="0" w:firstLine="0" w:firstLineChars="0"/>
        <w:jc w:val="center"/>
        <w:rPr>
          <w:rFonts w:ascii="宋体" w:hAnsi="宋体" w:cs="宋体"/>
          <w:b/>
          <w:bCs/>
          <w:sz w:val="18"/>
          <w:szCs w:val="16"/>
        </w:rPr>
      </w:pPr>
      <w:r>
        <w:rPr>
          <w:rFonts w:hint="eastAsia" w:ascii="宋体" w:hAnsi="宋体" w:cs="宋体"/>
          <w:b/>
          <w:bCs/>
          <w:caps/>
          <w:sz w:val="28"/>
          <w:szCs w:val="28"/>
        </w:rPr>
        <w:t>（投标文件中不用放此项）</w:t>
      </w:r>
    </w:p>
    <w:p>
      <w:pPr>
        <w:snapToGrid w:val="0"/>
        <w:spacing w:line="400" w:lineRule="exact"/>
        <w:rPr>
          <w:rFonts w:ascii="宋体" w:hAnsi="宋体" w:cs="宋体"/>
          <w:szCs w:val="21"/>
        </w:rPr>
      </w:pPr>
    </w:p>
    <w:p>
      <w:pPr>
        <w:snapToGrid w:val="0"/>
        <w:spacing w:line="400" w:lineRule="exact"/>
        <w:rPr>
          <w:rFonts w:ascii="宋体" w:hAnsi="宋体" w:cs="宋体"/>
          <w:b/>
          <w:szCs w:val="21"/>
        </w:rPr>
      </w:pPr>
      <w:r>
        <w:rPr>
          <w:rFonts w:hint="eastAsia" w:ascii="宋体" w:hAnsi="宋体" w:cs="宋体"/>
          <w:szCs w:val="21"/>
        </w:rPr>
        <w:t>编号：</w:t>
      </w:r>
    </w:p>
    <w:p>
      <w:pPr>
        <w:snapToGrid w:val="0"/>
        <w:spacing w:line="400" w:lineRule="exact"/>
        <w:rPr>
          <w:rFonts w:ascii="宋体" w:hAnsi="宋体" w:cs="宋体"/>
          <w:szCs w:val="21"/>
        </w:rPr>
      </w:pPr>
      <w:r>
        <w:rPr>
          <w:rFonts w:hint="eastAsia" w:ascii="宋体" w:hAnsi="宋体" w:cs="宋体"/>
          <w:szCs w:val="21"/>
        </w:rPr>
        <w:t>（</w:t>
      </w:r>
      <w:r>
        <w:rPr>
          <w:rFonts w:hint="eastAsia" w:ascii="宋体" w:hAnsi="宋体" w:cs="宋体"/>
          <w:szCs w:val="21"/>
          <w:u w:val="single"/>
        </w:rPr>
        <w:t>填写买方名称</w:t>
      </w:r>
      <w:r>
        <w:rPr>
          <w:rFonts w:hint="eastAsia" w:ascii="宋体" w:hAnsi="宋体" w:cs="宋体"/>
          <w:szCs w:val="21"/>
        </w:rPr>
        <w:t xml:space="preserve">）： </w:t>
      </w:r>
    </w:p>
    <w:p>
      <w:pPr>
        <w:snapToGrid w:val="0"/>
        <w:spacing w:line="400" w:lineRule="exact"/>
        <w:ind w:firstLine="480" w:firstLineChars="200"/>
        <w:rPr>
          <w:rFonts w:ascii="宋体" w:hAnsi="宋体" w:cs="宋体"/>
          <w:szCs w:val="21"/>
        </w:rPr>
      </w:pPr>
    </w:p>
    <w:p>
      <w:pPr>
        <w:snapToGrid w:val="0"/>
        <w:spacing w:line="400" w:lineRule="exact"/>
        <w:ind w:firstLine="480" w:firstLineChars="200"/>
        <w:rPr>
          <w:rFonts w:ascii="宋体" w:hAnsi="宋体" w:cs="宋体"/>
          <w:szCs w:val="21"/>
          <w:u w:val="single"/>
        </w:rPr>
      </w:pPr>
      <w:r>
        <w:rPr>
          <w:rFonts w:hint="eastAsia" w:ascii="宋体" w:hAnsi="宋体" w:cs="宋体"/>
          <w:szCs w:val="21"/>
        </w:rPr>
        <w:t>鉴于你方与</w:t>
      </w:r>
      <w:r>
        <w:rPr>
          <w:rFonts w:hint="eastAsia" w:ascii="宋体" w:hAnsi="宋体" w:cs="宋体"/>
          <w:szCs w:val="21"/>
          <w:u w:val="single"/>
        </w:rPr>
        <w:t>（填写供应商名称）</w:t>
      </w:r>
      <w:r>
        <w:rPr>
          <w:rFonts w:hint="eastAsia" w:ascii="宋体" w:hAnsi="宋体" w:cs="宋体"/>
          <w:szCs w:val="21"/>
        </w:rPr>
        <w:t>（以下简称供应商）于</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日签定的《</w:t>
      </w:r>
      <w:r>
        <w:rPr>
          <w:rFonts w:hint="eastAsia" w:ascii="宋体" w:hAnsi="宋体" w:cs="宋体"/>
          <w:szCs w:val="21"/>
          <w:u w:val="single"/>
        </w:rPr>
        <w:t xml:space="preserve">    </w:t>
      </w:r>
      <w:r>
        <w:rPr>
          <w:rFonts w:hint="eastAsia" w:ascii="宋体" w:hAnsi="宋体" w:cs="宋体"/>
          <w:szCs w:val="21"/>
        </w:rPr>
        <w:t>政府采购合同》（以下简称主合同），且依据该合同的约定，供应商应在</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日前向你方交纳履约保证金，且可以履约担保函的形式交纳履约保证金。应供应商的申请，我方以保证的方式向你方提供如下履约保证金担保：</w:t>
      </w:r>
    </w:p>
    <w:p>
      <w:pPr>
        <w:snapToGrid w:val="0"/>
        <w:spacing w:line="400" w:lineRule="exact"/>
        <w:ind w:firstLine="482" w:firstLineChars="200"/>
        <w:rPr>
          <w:rFonts w:ascii="宋体" w:hAnsi="宋体" w:cs="宋体"/>
          <w:b/>
          <w:szCs w:val="21"/>
        </w:rPr>
      </w:pPr>
      <w:r>
        <w:rPr>
          <w:rFonts w:hint="eastAsia" w:ascii="宋体" w:hAnsi="宋体" w:cs="宋体"/>
          <w:b/>
          <w:szCs w:val="21"/>
        </w:rPr>
        <w:t>一、保证责任的情形及保证金额</w:t>
      </w:r>
    </w:p>
    <w:p>
      <w:pPr>
        <w:snapToGrid w:val="0"/>
        <w:spacing w:line="400" w:lineRule="exact"/>
        <w:ind w:firstLine="480" w:firstLineChars="200"/>
        <w:rPr>
          <w:rFonts w:ascii="宋体" w:hAnsi="宋体" w:cs="宋体"/>
          <w:szCs w:val="21"/>
        </w:rPr>
      </w:pPr>
      <w:r>
        <w:rPr>
          <w:rFonts w:hint="eastAsia" w:ascii="宋体" w:hAnsi="宋体" w:cs="宋体"/>
          <w:szCs w:val="21"/>
        </w:rPr>
        <w:t>（一）在供应商出现下列情形之一时，我方承担保证责任：</w:t>
      </w:r>
    </w:p>
    <w:p>
      <w:pPr>
        <w:snapToGrid w:val="0"/>
        <w:spacing w:line="400" w:lineRule="exact"/>
        <w:ind w:firstLine="480" w:firstLineChars="200"/>
        <w:rPr>
          <w:rFonts w:ascii="宋体" w:hAnsi="宋体" w:cs="宋体"/>
          <w:szCs w:val="21"/>
        </w:rPr>
      </w:pPr>
      <w:r>
        <w:rPr>
          <w:rFonts w:hint="eastAsia" w:ascii="宋体" w:hAnsi="宋体" w:cs="宋体"/>
          <w:szCs w:val="21"/>
        </w:rPr>
        <w:t>1.将中标项目转让给他人，或者在投标文件中未说明，且未经采购人同意，将中标项目分包给他人的；</w:t>
      </w:r>
    </w:p>
    <w:p>
      <w:pPr>
        <w:snapToGrid w:val="0"/>
        <w:spacing w:line="400" w:lineRule="exact"/>
        <w:ind w:firstLine="480" w:firstLineChars="200"/>
        <w:rPr>
          <w:rFonts w:ascii="宋体" w:hAnsi="宋体" w:cs="宋体"/>
          <w:szCs w:val="21"/>
          <w:u w:val="single"/>
        </w:rPr>
      </w:pPr>
      <w:r>
        <w:rPr>
          <w:rFonts w:hint="eastAsia" w:ascii="宋体" w:hAnsi="宋体" w:cs="宋体"/>
          <w:szCs w:val="21"/>
        </w:rPr>
        <w:t>2.未按主合同约定的质量、数量和期限执行的。</w:t>
      </w:r>
    </w:p>
    <w:p>
      <w:pPr>
        <w:snapToGrid w:val="0"/>
        <w:spacing w:line="400" w:lineRule="exact"/>
        <w:ind w:firstLine="480" w:firstLineChars="200"/>
        <w:rPr>
          <w:rFonts w:ascii="宋体" w:hAnsi="宋体" w:cs="宋体"/>
          <w:szCs w:val="21"/>
        </w:rPr>
      </w:pPr>
      <w:r>
        <w:rPr>
          <w:rFonts w:hint="eastAsia" w:ascii="宋体" w:hAnsi="宋体" w:cs="宋体"/>
          <w:szCs w:val="21"/>
        </w:rPr>
        <w:t>（二）我方的保证范围是主合同约定的合同价款总额的</w:t>
      </w:r>
      <w:r>
        <w:rPr>
          <w:rFonts w:hint="eastAsia" w:ascii="宋体" w:hAnsi="宋体" w:cs="宋体"/>
          <w:szCs w:val="21"/>
          <w:u w:val="single"/>
        </w:rPr>
        <w:t xml:space="preserve"> 30 </w:t>
      </w:r>
      <w:r>
        <w:rPr>
          <w:rFonts w:hint="eastAsia" w:ascii="宋体" w:hAnsi="宋体" w:cs="宋体"/>
          <w:szCs w:val="21"/>
        </w:rPr>
        <w:t>%数额为</w:t>
      </w:r>
      <w:r>
        <w:rPr>
          <w:rFonts w:hint="eastAsia" w:ascii="宋体" w:hAnsi="宋体" w:cs="宋体"/>
        </w:rPr>
        <w:t>人民币</w:t>
      </w:r>
      <w:r>
        <w:rPr>
          <w:rFonts w:hint="eastAsia" w:ascii="宋体" w:hAnsi="宋体" w:cs="宋体"/>
          <w:u w:val="single"/>
        </w:rPr>
        <w:t xml:space="preserve">  大写金额  </w:t>
      </w:r>
      <w:r>
        <w:rPr>
          <w:rFonts w:hint="eastAsia" w:ascii="宋体" w:hAnsi="宋体" w:cs="宋体"/>
        </w:rPr>
        <w:t>元整（</w:t>
      </w:r>
      <w:r>
        <w:rPr>
          <w:rFonts w:hint="eastAsia" w:ascii="宋体" w:hAnsi="宋体" w:cs="宋体"/>
          <w:bCs/>
        </w:rPr>
        <w:t>¥</w:t>
      </w:r>
      <w:r>
        <w:rPr>
          <w:rFonts w:hint="eastAsia" w:ascii="宋体" w:hAnsi="宋体" w:cs="宋体"/>
          <w:bCs/>
          <w:u w:val="single"/>
        </w:rPr>
        <w:t>小写</w:t>
      </w:r>
      <w:r>
        <w:rPr>
          <w:rFonts w:hint="eastAsia" w:ascii="宋体" w:hAnsi="宋体" w:cs="宋体"/>
        </w:rPr>
        <w:t>）</w:t>
      </w:r>
      <w:r>
        <w:rPr>
          <w:rFonts w:hint="eastAsia" w:ascii="宋体" w:hAnsi="宋体" w:cs="宋体"/>
          <w:szCs w:val="21"/>
        </w:rPr>
        <w:t>。（即主合同履约保证金金额）</w:t>
      </w:r>
    </w:p>
    <w:p>
      <w:pPr>
        <w:snapToGrid w:val="0"/>
        <w:spacing w:line="400" w:lineRule="exact"/>
        <w:ind w:firstLine="482" w:firstLineChars="200"/>
        <w:rPr>
          <w:rFonts w:ascii="宋体" w:hAnsi="宋体" w:cs="宋体"/>
          <w:b/>
          <w:szCs w:val="21"/>
        </w:rPr>
      </w:pPr>
      <w:r>
        <w:rPr>
          <w:rFonts w:hint="eastAsia" w:ascii="宋体" w:hAnsi="宋体" w:cs="宋体"/>
          <w:b/>
          <w:szCs w:val="21"/>
        </w:rPr>
        <w:t xml:space="preserve">二、保证的方式及保证期间 </w:t>
      </w:r>
    </w:p>
    <w:p>
      <w:pPr>
        <w:snapToGrid w:val="0"/>
        <w:spacing w:line="400" w:lineRule="exact"/>
        <w:ind w:firstLine="480" w:firstLineChars="200"/>
        <w:rPr>
          <w:rFonts w:ascii="宋体" w:hAnsi="宋体" w:cs="宋体"/>
          <w:szCs w:val="21"/>
        </w:rPr>
      </w:pPr>
      <w:r>
        <w:rPr>
          <w:rFonts w:hint="eastAsia" w:ascii="宋体" w:hAnsi="宋体" w:cs="宋体"/>
          <w:szCs w:val="21"/>
        </w:rPr>
        <w:t xml:space="preserve">我方保证的方式为：连带责任保证。 </w:t>
      </w:r>
    </w:p>
    <w:p>
      <w:pPr>
        <w:snapToGrid w:val="0"/>
        <w:spacing w:line="400" w:lineRule="exact"/>
        <w:ind w:firstLine="480" w:firstLineChars="200"/>
        <w:rPr>
          <w:rFonts w:ascii="宋体" w:hAnsi="宋体" w:cs="宋体"/>
          <w:szCs w:val="21"/>
        </w:rPr>
      </w:pPr>
      <w:r>
        <w:rPr>
          <w:rFonts w:hint="eastAsia" w:ascii="宋体" w:hAnsi="宋体" w:cs="宋体"/>
          <w:szCs w:val="21"/>
        </w:rPr>
        <w:t>我方保证的期间为：自本合同生效之日起至供应商按照主合同约定的</w:t>
      </w:r>
      <w:r>
        <w:rPr>
          <w:rFonts w:hint="eastAsia" w:ascii="宋体" w:hAnsi="宋体" w:cs="宋体"/>
          <w:szCs w:val="21"/>
          <w:u w:val="single"/>
        </w:rPr>
        <w:t xml:space="preserve"> 供货 </w:t>
      </w:r>
      <w:r>
        <w:rPr>
          <w:rFonts w:hint="eastAsia" w:ascii="宋体" w:hAnsi="宋体" w:cs="宋体"/>
          <w:szCs w:val="21"/>
        </w:rPr>
        <w:t>期限届满后日内。</w:t>
      </w:r>
    </w:p>
    <w:p>
      <w:pPr>
        <w:snapToGrid w:val="0"/>
        <w:spacing w:line="400" w:lineRule="exact"/>
        <w:ind w:firstLine="480" w:firstLineChars="200"/>
        <w:rPr>
          <w:rFonts w:ascii="宋体" w:hAnsi="宋体" w:cs="宋体"/>
          <w:szCs w:val="21"/>
        </w:rPr>
      </w:pPr>
      <w:r>
        <w:rPr>
          <w:rFonts w:hint="eastAsia" w:ascii="宋体" w:hAnsi="宋体" w:cs="宋体"/>
          <w:szCs w:val="21"/>
        </w:rPr>
        <w:t xml:space="preserve">如果供应商未按主合同约定向贵方供应货物的，由我方在保证金额内向你方支付上述款项。 </w:t>
      </w:r>
    </w:p>
    <w:p>
      <w:pPr>
        <w:snapToGrid w:val="0"/>
        <w:spacing w:line="400" w:lineRule="exact"/>
        <w:ind w:firstLine="482" w:firstLineChars="200"/>
        <w:rPr>
          <w:rFonts w:ascii="宋体" w:hAnsi="宋体" w:cs="宋体"/>
          <w:b/>
          <w:szCs w:val="21"/>
        </w:rPr>
      </w:pPr>
      <w:r>
        <w:rPr>
          <w:rFonts w:hint="eastAsia" w:ascii="宋体" w:hAnsi="宋体" w:cs="宋体"/>
          <w:b/>
          <w:szCs w:val="21"/>
        </w:rPr>
        <w:t>三、承担保证责任的程序</w:t>
      </w:r>
    </w:p>
    <w:p>
      <w:pPr>
        <w:snapToGrid w:val="0"/>
        <w:spacing w:line="400" w:lineRule="exact"/>
        <w:ind w:firstLine="480" w:firstLineChars="200"/>
        <w:rPr>
          <w:rFonts w:ascii="宋体" w:hAnsi="宋体" w:cs="宋体"/>
          <w:b/>
          <w:szCs w:val="21"/>
        </w:rPr>
      </w:pPr>
      <w:r>
        <w:rPr>
          <w:rFonts w:hint="eastAsia" w:ascii="宋体" w:hAnsi="宋体" w:cs="宋体"/>
          <w:szCs w:val="21"/>
        </w:rPr>
        <w:t xml:space="preserve">1.你方要求我方承担保证责任的，应在本保函保证期间内向我方发出书面索赔通知。索赔通知应写明要求索赔的金额，支付款项应到达的帐号。并附有证明供应商违约事实的证明材料。 </w:t>
      </w:r>
    </w:p>
    <w:p>
      <w:pPr>
        <w:snapToGrid w:val="0"/>
        <w:spacing w:line="400" w:lineRule="exact"/>
        <w:ind w:firstLine="480" w:firstLineChars="200"/>
        <w:rPr>
          <w:rFonts w:ascii="宋体" w:hAnsi="宋体" w:cs="宋体"/>
          <w:szCs w:val="21"/>
        </w:rPr>
      </w:pPr>
      <w:r>
        <w:rPr>
          <w:rFonts w:hint="eastAsia" w:ascii="宋体" w:hAnsi="宋体" w:cs="宋体"/>
          <w:szCs w:val="21"/>
        </w:rPr>
        <w:t>如果你方与供应商因货物质量问题产生争议，你方还需同时提供</w:t>
      </w:r>
    </w:p>
    <w:p>
      <w:pPr>
        <w:snapToGrid w:val="0"/>
        <w:spacing w:line="400" w:lineRule="exact"/>
        <w:rPr>
          <w:rFonts w:ascii="宋体" w:hAnsi="宋体" w:cs="宋体"/>
          <w:szCs w:val="21"/>
        </w:rPr>
      </w:pPr>
      <w:r>
        <w:rPr>
          <w:rFonts w:hint="eastAsia" w:ascii="宋体" w:hAnsi="宋体" w:cs="宋体"/>
          <w:szCs w:val="21"/>
        </w:rPr>
        <w:t>部门出具的质量检测报告，或经诉讼（仲裁）程序裁决后的裁决书、调解书，本保证人即按照检测结果或裁决书、调解书决定是否承担保证责任。</w:t>
      </w:r>
    </w:p>
    <w:p>
      <w:pPr>
        <w:snapToGrid w:val="0"/>
        <w:spacing w:line="400" w:lineRule="exact"/>
        <w:ind w:firstLine="480" w:firstLineChars="200"/>
        <w:rPr>
          <w:rFonts w:ascii="宋体" w:hAnsi="宋体" w:cs="宋体"/>
          <w:szCs w:val="21"/>
        </w:rPr>
      </w:pPr>
      <w:r>
        <w:rPr>
          <w:rFonts w:hint="eastAsia" w:ascii="宋体" w:hAnsi="宋体" w:cs="宋体"/>
          <w:szCs w:val="21"/>
        </w:rPr>
        <w:t>2.我方收到你方的书面索赔通知及相应证明材料，在</w:t>
      </w:r>
      <w:r>
        <w:rPr>
          <w:rFonts w:hint="eastAsia" w:ascii="宋体" w:hAnsi="宋体" w:cs="宋体"/>
          <w:szCs w:val="21"/>
          <w:u w:val="single"/>
        </w:rPr>
        <w:t xml:space="preserve">  </w:t>
      </w:r>
      <w:r>
        <w:rPr>
          <w:rFonts w:hint="eastAsia" w:ascii="宋体" w:hAnsi="宋体" w:cs="宋体"/>
          <w:szCs w:val="21"/>
        </w:rPr>
        <w:t>个工作日内进行核定后按照本保函的承诺承担保证责任。</w:t>
      </w:r>
    </w:p>
    <w:p>
      <w:pPr>
        <w:snapToGrid w:val="0"/>
        <w:spacing w:line="400" w:lineRule="exact"/>
        <w:ind w:firstLine="482" w:firstLineChars="200"/>
        <w:rPr>
          <w:rFonts w:ascii="宋体" w:hAnsi="宋体" w:cs="宋体"/>
          <w:b/>
          <w:szCs w:val="21"/>
        </w:rPr>
      </w:pPr>
      <w:r>
        <w:rPr>
          <w:rFonts w:hint="eastAsia" w:ascii="宋体" w:hAnsi="宋体" w:cs="宋体"/>
          <w:b/>
          <w:szCs w:val="21"/>
        </w:rPr>
        <w:t>四、保证责任的终止</w:t>
      </w:r>
    </w:p>
    <w:p>
      <w:pPr>
        <w:snapToGrid w:val="0"/>
        <w:spacing w:line="400" w:lineRule="exact"/>
        <w:ind w:firstLine="480" w:firstLineChars="200"/>
        <w:rPr>
          <w:rFonts w:ascii="宋体" w:hAnsi="宋体" w:cs="宋体"/>
          <w:szCs w:val="21"/>
        </w:rPr>
      </w:pPr>
      <w:r>
        <w:rPr>
          <w:rFonts w:hint="eastAsia" w:ascii="宋体" w:hAnsi="宋体" w:cs="宋体"/>
          <w:szCs w:val="21"/>
        </w:rPr>
        <w:t>1.保证期满你方未向我方书面主张保证责任的，自保证期间届满次日起，我方保证责任自动终止。</w:t>
      </w:r>
    </w:p>
    <w:p>
      <w:pPr>
        <w:snapToGrid w:val="0"/>
        <w:spacing w:line="400" w:lineRule="exact"/>
        <w:ind w:firstLine="480" w:firstLineChars="200"/>
        <w:rPr>
          <w:rFonts w:ascii="宋体" w:hAnsi="宋体" w:cs="宋体"/>
          <w:szCs w:val="21"/>
        </w:rPr>
      </w:pPr>
      <w:r>
        <w:rPr>
          <w:rFonts w:hint="eastAsia" w:ascii="宋体" w:hAnsi="宋体" w:cs="宋体"/>
          <w:szCs w:val="21"/>
        </w:rPr>
        <w:t>2.我方按照本保函向你方履行了保证责任后，自我方向你方支付款项（支付款项从我方账户划出）之日起，保证责任即终止。</w:t>
      </w:r>
    </w:p>
    <w:p>
      <w:pPr>
        <w:snapToGrid w:val="0"/>
        <w:spacing w:line="400" w:lineRule="exact"/>
        <w:ind w:firstLine="480" w:firstLineChars="200"/>
        <w:rPr>
          <w:rFonts w:ascii="宋体" w:hAnsi="宋体" w:cs="宋体"/>
          <w:szCs w:val="21"/>
        </w:rPr>
      </w:pPr>
      <w:r>
        <w:rPr>
          <w:rFonts w:hint="eastAsia" w:ascii="宋体" w:hAnsi="宋体" w:cs="宋体"/>
          <w:szCs w:val="21"/>
        </w:rPr>
        <w:t>3.按照法律法规的规定或出现应终止我方保证责任的其它情形的，我方在本保函项下的保证责任亦终止。</w:t>
      </w:r>
    </w:p>
    <w:p>
      <w:pPr>
        <w:snapToGrid w:val="0"/>
        <w:spacing w:line="400" w:lineRule="exact"/>
        <w:ind w:firstLine="480" w:firstLineChars="200"/>
        <w:rPr>
          <w:rFonts w:ascii="宋体" w:hAnsi="宋体" w:cs="宋体"/>
          <w:szCs w:val="21"/>
        </w:rPr>
      </w:pPr>
      <w:r>
        <w:rPr>
          <w:rFonts w:hint="eastAsia" w:ascii="宋体" w:hAnsi="宋体" w:cs="宋体"/>
          <w:szCs w:val="21"/>
        </w:rPr>
        <w:t>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pPr>
        <w:snapToGrid w:val="0"/>
        <w:spacing w:line="400" w:lineRule="exact"/>
        <w:ind w:firstLine="482" w:firstLineChars="200"/>
        <w:rPr>
          <w:rFonts w:ascii="宋体" w:hAnsi="宋体" w:cs="宋体"/>
          <w:b/>
          <w:szCs w:val="21"/>
        </w:rPr>
      </w:pPr>
      <w:r>
        <w:rPr>
          <w:rFonts w:hint="eastAsia" w:ascii="宋体" w:hAnsi="宋体" w:cs="宋体"/>
          <w:b/>
          <w:szCs w:val="21"/>
        </w:rPr>
        <w:t>五、免责条款</w:t>
      </w:r>
    </w:p>
    <w:p>
      <w:pPr>
        <w:snapToGrid w:val="0"/>
        <w:spacing w:line="400" w:lineRule="exact"/>
        <w:ind w:firstLine="480" w:firstLineChars="200"/>
        <w:rPr>
          <w:rFonts w:ascii="宋体" w:hAnsi="宋体" w:cs="宋体"/>
          <w:szCs w:val="21"/>
        </w:rPr>
      </w:pPr>
      <w:r>
        <w:rPr>
          <w:rFonts w:hint="eastAsia" w:ascii="宋体" w:hAnsi="宋体" w:cs="宋体"/>
          <w:szCs w:val="21"/>
        </w:rPr>
        <w:t>1.因你方违反主合同约定致使供应商不能履行义务的，我方不承担保证责任。</w:t>
      </w:r>
    </w:p>
    <w:p>
      <w:pPr>
        <w:snapToGrid w:val="0"/>
        <w:spacing w:line="400" w:lineRule="exact"/>
        <w:ind w:firstLine="480" w:firstLineChars="200"/>
        <w:rPr>
          <w:rFonts w:ascii="宋体" w:hAnsi="宋体" w:cs="宋体"/>
          <w:b/>
          <w:szCs w:val="21"/>
        </w:rPr>
      </w:pPr>
      <w:r>
        <w:rPr>
          <w:rFonts w:hint="eastAsia" w:ascii="宋体" w:hAnsi="宋体" w:cs="宋体"/>
          <w:szCs w:val="21"/>
        </w:rPr>
        <w:t>2.依照法律法规的规定或你方与供应商的另行约定，全部或者部分免除供应商应缴纳的保证金义务的，我方亦免除相应的保证责任。</w:t>
      </w:r>
    </w:p>
    <w:p>
      <w:pPr>
        <w:snapToGrid w:val="0"/>
        <w:spacing w:line="400" w:lineRule="exact"/>
        <w:ind w:firstLine="480" w:firstLineChars="200"/>
        <w:rPr>
          <w:rFonts w:ascii="宋体" w:hAnsi="宋体" w:cs="宋体"/>
          <w:szCs w:val="21"/>
        </w:rPr>
      </w:pPr>
      <w:r>
        <w:rPr>
          <w:rFonts w:hint="eastAsia" w:ascii="宋体" w:hAnsi="宋体" w:cs="宋体"/>
          <w:szCs w:val="21"/>
        </w:rPr>
        <w:t>3.因不可抗力造成供应商不能履行供货义务的，我方不承担保证责任。</w:t>
      </w:r>
    </w:p>
    <w:p>
      <w:pPr>
        <w:snapToGrid w:val="0"/>
        <w:spacing w:line="400" w:lineRule="exact"/>
        <w:ind w:firstLine="482" w:firstLineChars="200"/>
        <w:rPr>
          <w:rFonts w:ascii="宋体" w:hAnsi="宋体" w:cs="宋体"/>
          <w:b/>
          <w:szCs w:val="21"/>
        </w:rPr>
      </w:pPr>
      <w:r>
        <w:rPr>
          <w:rFonts w:hint="eastAsia" w:ascii="宋体" w:hAnsi="宋体" w:cs="宋体"/>
          <w:b/>
          <w:szCs w:val="21"/>
        </w:rPr>
        <w:t>六、争议的解决</w:t>
      </w:r>
    </w:p>
    <w:p>
      <w:pPr>
        <w:snapToGrid w:val="0"/>
        <w:spacing w:line="400" w:lineRule="exact"/>
        <w:ind w:firstLine="480" w:firstLineChars="200"/>
        <w:rPr>
          <w:rFonts w:ascii="宋体" w:hAnsi="宋体" w:cs="宋体"/>
          <w:szCs w:val="21"/>
        </w:rPr>
      </w:pPr>
      <w:r>
        <w:rPr>
          <w:rFonts w:hint="eastAsia" w:ascii="宋体" w:hAnsi="宋体" w:cs="宋体"/>
          <w:szCs w:val="21"/>
        </w:rPr>
        <w:t>因本保函发生的纠纷，由你我双方协商解决，协商不成的，通过诉讼程序解决，诉讼管辖地法院为法院。</w:t>
      </w:r>
    </w:p>
    <w:p>
      <w:pPr>
        <w:snapToGrid w:val="0"/>
        <w:spacing w:line="400" w:lineRule="exact"/>
        <w:ind w:firstLine="482" w:firstLineChars="200"/>
        <w:rPr>
          <w:rFonts w:ascii="宋体" w:hAnsi="宋体" w:cs="宋体"/>
          <w:b/>
          <w:szCs w:val="21"/>
        </w:rPr>
      </w:pPr>
      <w:r>
        <w:rPr>
          <w:rFonts w:hint="eastAsia" w:ascii="宋体" w:hAnsi="宋体" w:cs="宋体"/>
          <w:b/>
          <w:szCs w:val="21"/>
        </w:rPr>
        <w:t xml:space="preserve">七、保函的生效 </w:t>
      </w:r>
    </w:p>
    <w:p>
      <w:pPr>
        <w:snapToGrid w:val="0"/>
        <w:spacing w:line="400" w:lineRule="exact"/>
        <w:ind w:firstLine="480" w:firstLineChars="200"/>
        <w:rPr>
          <w:rFonts w:ascii="宋体" w:hAnsi="宋体" w:cs="宋体"/>
          <w:szCs w:val="21"/>
        </w:rPr>
      </w:pPr>
      <w:r>
        <w:rPr>
          <w:rFonts w:hint="eastAsia" w:ascii="宋体" w:hAnsi="宋体" w:cs="宋体"/>
          <w:szCs w:val="21"/>
        </w:rPr>
        <w:t xml:space="preserve">本保函自我方加盖公章之日起生效。 </w:t>
      </w:r>
    </w:p>
    <w:p>
      <w:pPr>
        <w:snapToGrid w:val="0"/>
        <w:spacing w:line="400" w:lineRule="exact"/>
        <w:ind w:right="960" w:firstLine="4620"/>
        <w:jc w:val="right"/>
        <w:rPr>
          <w:rFonts w:ascii="宋体" w:hAnsi="宋体" w:cs="宋体"/>
          <w:szCs w:val="21"/>
        </w:rPr>
      </w:pPr>
    </w:p>
    <w:p>
      <w:pPr>
        <w:snapToGrid w:val="0"/>
        <w:spacing w:line="400" w:lineRule="exact"/>
        <w:ind w:right="960" w:firstLine="4620"/>
        <w:jc w:val="right"/>
        <w:rPr>
          <w:rFonts w:ascii="宋体" w:hAnsi="宋体" w:cs="宋体"/>
          <w:szCs w:val="21"/>
        </w:rPr>
      </w:pPr>
    </w:p>
    <w:p>
      <w:pPr>
        <w:snapToGrid w:val="0"/>
        <w:spacing w:line="400" w:lineRule="exact"/>
        <w:ind w:right="960" w:firstLine="4620"/>
        <w:jc w:val="right"/>
        <w:rPr>
          <w:rFonts w:ascii="宋体" w:hAnsi="宋体" w:cs="宋体"/>
          <w:szCs w:val="21"/>
        </w:rPr>
      </w:pPr>
      <w:r>
        <w:rPr>
          <w:rFonts w:hint="eastAsia" w:ascii="宋体" w:hAnsi="宋体" w:cs="宋体"/>
          <w:szCs w:val="21"/>
        </w:rPr>
        <w:t xml:space="preserve">保证人：（公章） </w:t>
      </w:r>
    </w:p>
    <w:p>
      <w:pPr>
        <w:snapToGrid w:val="0"/>
        <w:spacing w:line="400" w:lineRule="exact"/>
        <w:jc w:val="right"/>
        <w:rPr>
          <w:rFonts w:ascii="宋体" w:hAnsi="宋体" w:cs="宋体"/>
          <w:szCs w:val="21"/>
        </w:rPr>
      </w:pPr>
    </w:p>
    <w:p>
      <w:pPr>
        <w:snapToGrid w:val="0"/>
        <w:spacing w:line="400" w:lineRule="exact"/>
        <w:jc w:val="center"/>
        <w:rPr>
          <w:rFonts w:ascii="宋体" w:hAnsi="宋体" w:cs="宋体"/>
          <w:caps/>
          <w:sz w:val="32"/>
          <w:szCs w:val="32"/>
        </w:rPr>
      </w:pPr>
      <w:r>
        <w:rPr>
          <w:rFonts w:hint="eastAsia" w:ascii="宋体" w:hAnsi="宋体" w:cs="宋体"/>
          <w:szCs w:val="21"/>
        </w:rPr>
        <w:t xml:space="preserve">                                    年   月   日</w:t>
      </w:r>
    </w:p>
    <w:p>
      <w:pPr>
        <w:pStyle w:val="63"/>
        <w:adjustRightInd w:val="0"/>
        <w:snapToGrid w:val="0"/>
        <w:spacing w:line="400" w:lineRule="exact"/>
        <w:jc w:val="left"/>
        <w:rPr>
          <w:rFonts w:hAnsi="宋体" w:cs="宋体"/>
        </w:rPr>
      </w:pPr>
      <w:r>
        <w:rPr>
          <w:rFonts w:hint="eastAsia" w:hAnsi="宋体" w:cs="宋体"/>
          <w:caps/>
          <w:sz w:val="32"/>
          <w:szCs w:val="32"/>
        </w:rPr>
        <w:br w:type="page"/>
      </w:r>
      <w:bookmarkStart w:id="323" w:name="_Toc27864"/>
      <w:bookmarkStart w:id="324" w:name="_Toc16441"/>
      <w:bookmarkStart w:id="325" w:name="_Toc477185316"/>
      <w:bookmarkStart w:id="326" w:name="_Toc5897"/>
      <w:bookmarkStart w:id="327" w:name="_Toc29694"/>
      <w:bookmarkStart w:id="328" w:name="_Toc86156801"/>
      <w:bookmarkStart w:id="329" w:name="_Toc18628"/>
      <w:bookmarkStart w:id="330" w:name="_Toc95326704"/>
      <w:bookmarkStart w:id="331" w:name="_Toc14626"/>
      <w:bookmarkStart w:id="332" w:name="_Toc27970"/>
      <w:bookmarkStart w:id="333" w:name="_Toc26609"/>
      <w:r>
        <w:rPr>
          <w:rFonts w:hint="eastAsia" w:hAnsi="宋体" w:cs="宋体"/>
        </w:rPr>
        <w:t>附件12：</w:t>
      </w:r>
      <w:bookmarkEnd w:id="323"/>
      <w:bookmarkEnd w:id="324"/>
      <w:bookmarkEnd w:id="325"/>
      <w:bookmarkEnd w:id="326"/>
      <w:bookmarkEnd w:id="327"/>
      <w:bookmarkEnd w:id="328"/>
      <w:bookmarkEnd w:id="329"/>
      <w:bookmarkEnd w:id="330"/>
      <w:bookmarkEnd w:id="331"/>
      <w:bookmarkEnd w:id="332"/>
      <w:bookmarkEnd w:id="333"/>
    </w:p>
    <w:p>
      <w:pPr>
        <w:snapToGrid w:val="0"/>
        <w:spacing w:line="400" w:lineRule="exact"/>
        <w:jc w:val="both"/>
        <w:rPr>
          <w:rFonts w:ascii="宋体" w:hAnsi="宋体" w:cs="宋体"/>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预付款保证金担保函</w:t>
      </w:r>
    </w:p>
    <w:p>
      <w:pPr>
        <w:pStyle w:val="25"/>
        <w:ind w:left="0" w:leftChars="0" w:firstLine="0" w:firstLineChars="0"/>
        <w:jc w:val="center"/>
        <w:rPr>
          <w:rFonts w:ascii="宋体" w:hAnsi="宋体" w:cs="宋体"/>
          <w:b/>
          <w:bCs/>
          <w:sz w:val="18"/>
          <w:szCs w:val="16"/>
        </w:rPr>
      </w:pPr>
      <w:r>
        <w:rPr>
          <w:rFonts w:hint="eastAsia" w:ascii="宋体" w:hAnsi="宋体" w:cs="宋体"/>
          <w:b/>
          <w:bCs/>
          <w:caps/>
          <w:sz w:val="28"/>
          <w:szCs w:val="28"/>
        </w:rPr>
        <w:t>（投标文件中不用放此项）</w:t>
      </w:r>
    </w:p>
    <w:p>
      <w:pPr>
        <w:snapToGrid w:val="0"/>
        <w:spacing w:line="400" w:lineRule="exact"/>
        <w:rPr>
          <w:rFonts w:ascii="宋体" w:hAnsi="宋体" w:cs="宋体"/>
          <w:b/>
          <w:szCs w:val="21"/>
        </w:rPr>
      </w:pPr>
      <w:r>
        <w:rPr>
          <w:rFonts w:hint="eastAsia" w:ascii="宋体" w:hAnsi="宋体" w:cs="宋体"/>
          <w:szCs w:val="21"/>
        </w:rPr>
        <w:t>编号：</w:t>
      </w:r>
    </w:p>
    <w:p>
      <w:pPr>
        <w:snapToGrid w:val="0"/>
        <w:spacing w:line="400" w:lineRule="exact"/>
        <w:rPr>
          <w:rFonts w:ascii="宋体" w:hAnsi="宋体" w:cs="宋体"/>
          <w:szCs w:val="21"/>
        </w:rPr>
      </w:pPr>
      <w:r>
        <w:rPr>
          <w:rFonts w:hint="eastAsia" w:ascii="宋体" w:hAnsi="宋体" w:cs="宋体"/>
          <w:szCs w:val="21"/>
          <w:u w:val="single"/>
        </w:rPr>
        <w:t>（填写买方名称）</w:t>
      </w:r>
      <w:r>
        <w:rPr>
          <w:rFonts w:hint="eastAsia" w:ascii="宋体" w:hAnsi="宋体" w:cs="宋体"/>
          <w:szCs w:val="21"/>
        </w:rPr>
        <w:t xml:space="preserve">： </w:t>
      </w:r>
    </w:p>
    <w:p>
      <w:pPr>
        <w:snapToGrid w:val="0"/>
        <w:spacing w:line="400" w:lineRule="exact"/>
        <w:ind w:firstLine="480" w:firstLineChars="200"/>
        <w:rPr>
          <w:rFonts w:ascii="宋体" w:hAnsi="宋体" w:cs="宋体"/>
          <w:szCs w:val="21"/>
        </w:rPr>
      </w:pPr>
    </w:p>
    <w:p>
      <w:pPr>
        <w:snapToGrid w:val="0"/>
        <w:spacing w:line="400" w:lineRule="exact"/>
        <w:ind w:firstLine="480" w:firstLineChars="200"/>
        <w:rPr>
          <w:rFonts w:ascii="宋体" w:hAnsi="宋体" w:cs="宋体"/>
          <w:szCs w:val="21"/>
          <w:u w:val="single"/>
        </w:rPr>
      </w:pPr>
      <w:r>
        <w:rPr>
          <w:rFonts w:hint="eastAsia" w:ascii="宋体" w:hAnsi="宋体" w:cs="宋体"/>
          <w:szCs w:val="21"/>
        </w:rPr>
        <w:t>鉴于你方与</w:t>
      </w:r>
      <w:r>
        <w:rPr>
          <w:rFonts w:hint="eastAsia" w:ascii="宋体" w:hAnsi="宋体" w:cs="宋体"/>
          <w:szCs w:val="21"/>
          <w:u w:val="single"/>
        </w:rPr>
        <w:t>（填写供应商名称）</w:t>
      </w:r>
      <w:r>
        <w:rPr>
          <w:rFonts w:hint="eastAsia" w:ascii="宋体" w:hAnsi="宋体" w:cs="宋体"/>
          <w:szCs w:val="21"/>
        </w:rPr>
        <w:t>（以下简称供应商）于</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日签定的《</w:t>
      </w:r>
      <w:r>
        <w:rPr>
          <w:rFonts w:hint="eastAsia" w:ascii="宋体" w:hAnsi="宋体" w:cs="宋体"/>
          <w:szCs w:val="21"/>
          <w:u w:val="single"/>
        </w:rPr>
        <w:t xml:space="preserve">    </w:t>
      </w:r>
      <w:r>
        <w:rPr>
          <w:rFonts w:hint="eastAsia" w:ascii="宋体" w:hAnsi="宋体" w:cs="宋体"/>
          <w:szCs w:val="21"/>
        </w:rPr>
        <w:t>政府采购合同》（以下简称主合同），且依据该合同的约定，供应商应在年月日前向你方交纳预付款保证金，且可以预付款担保函的形式交纳预付款保证金。应供应商的申请，我方以保证的方式向你方提供如下预付款保证金担保：</w:t>
      </w:r>
    </w:p>
    <w:p>
      <w:pPr>
        <w:snapToGrid w:val="0"/>
        <w:spacing w:line="400" w:lineRule="exact"/>
        <w:ind w:firstLine="482" w:firstLineChars="200"/>
        <w:rPr>
          <w:rFonts w:ascii="宋体" w:hAnsi="宋体" w:cs="宋体"/>
          <w:b/>
          <w:szCs w:val="21"/>
        </w:rPr>
      </w:pPr>
      <w:r>
        <w:rPr>
          <w:rFonts w:hint="eastAsia" w:ascii="宋体" w:hAnsi="宋体" w:cs="宋体"/>
          <w:b/>
          <w:szCs w:val="21"/>
        </w:rPr>
        <w:t>一、保证责任的情形及保证金额</w:t>
      </w:r>
    </w:p>
    <w:p>
      <w:pPr>
        <w:snapToGrid w:val="0"/>
        <w:spacing w:line="400" w:lineRule="exact"/>
        <w:ind w:firstLine="480" w:firstLineChars="200"/>
        <w:rPr>
          <w:rFonts w:ascii="宋体" w:hAnsi="宋体" w:cs="宋体"/>
          <w:szCs w:val="21"/>
        </w:rPr>
      </w:pPr>
      <w:r>
        <w:rPr>
          <w:rFonts w:hint="eastAsia" w:ascii="宋体" w:hAnsi="宋体" w:cs="宋体"/>
          <w:szCs w:val="21"/>
        </w:rPr>
        <w:t>（一）在供应商出现下列情形之一时，我方承担保证责任：</w:t>
      </w:r>
    </w:p>
    <w:p>
      <w:pPr>
        <w:snapToGrid w:val="0"/>
        <w:spacing w:line="400" w:lineRule="exact"/>
        <w:ind w:firstLine="480" w:firstLineChars="200"/>
        <w:rPr>
          <w:rFonts w:ascii="宋体" w:hAnsi="宋体" w:cs="宋体"/>
          <w:szCs w:val="21"/>
        </w:rPr>
      </w:pPr>
      <w:r>
        <w:rPr>
          <w:rFonts w:hint="eastAsia" w:ascii="宋体" w:hAnsi="宋体" w:cs="宋体"/>
          <w:szCs w:val="21"/>
        </w:rPr>
        <w:t>1.将中标项目转让给他人，或者在投标文件中未说明，且未经采购人同意，将中标项目分包给他人的；</w:t>
      </w:r>
    </w:p>
    <w:p>
      <w:pPr>
        <w:snapToGrid w:val="0"/>
        <w:spacing w:line="400" w:lineRule="exact"/>
        <w:ind w:firstLine="480" w:firstLineChars="200"/>
        <w:rPr>
          <w:rFonts w:ascii="宋体" w:hAnsi="宋体" w:cs="宋体"/>
          <w:szCs w:val="21"/>
        </w:rPr>
      </w:pPr>
      <w:r>
        <w:rPr>
          <w:rFonts w:hint="eastAsia" w:ascii="宋体" w:hAnsi="宋体" w:cs="宋体"/>
          <w:szCs w:val="21"/>
        </w:rPr>
        <w:t xml:space="preserve">2.未按主合同约定的质量、数量和期限执行的。 </w:t>
      </w:r>
    </w:p>
    <w:p>
      <w:pPr>
        <w:snapToGrid w:val="0"/>
        <w:spacing w:line="400" w:lineRule="exact"/>
        <w:ind w:firstLine="480" w:firstLineChars="200"/>
        <w:rPr>
          <w:rFonts w:ascii="宋体" w:hAnsi="宋体" w:cs="宋体"/>
          <w:szCs w:val="21"/>
        </w:rPr>
      </w:pPr>
      <w:r>
        <w:rPr>
          <w:rFonts w:hint="eastAsia" w:ascii="宋体" w:hAnsi="宋体" w:cs="宋体"/>
          <w:szCs w:val="21"/>
        </w:rPr>
        <w:t>（二）我方的保证范围是主合同约定的合同价款总额的</w:t>
      </w:r>
      <w:r>
        <w:rPr>
          <w:rFonts w:hint="eastAsia" w:ascii="宋体" w:hAnsi="宋体" w:cs="宋体"/>
          <w:szCs w:val="21"/>
          <w:u w:val="single"/>
        </w:rPr>
        <w:t xml:space="preserve">  </w:t>
      </w:r>
      <w:r>
        <w:rPr>
          <w:rFonts w:hint="eastAsia" w:ascii="宋体" w:hAnsi="宋体" w:cs="宋体"/>
          <w:szCs w:val="21"/>
        </w:rPr>
        <w:t>%数额为</w:t>
      </w:r>
      <w:r>
        <w:rPr>
          <w:rFonts w:hint="eastAsia" w:ascii="宋体" w:hAnsi="宋体" w:cs="宋体"/>
        </w:rPr>
        <w:t>人民币</w:t>
      </w:r>
      <w:r>
        <w:rPr>
          <w:rFonts w:hint="eastAsia" w:ascii="宋体" w:hAnsi="宋体" w:cs="宋体"/>
          <w:u w:val="single"/>
        </w:rPr>
        <w:t xml:space="preserve">  大写金额  </w:t>
      </w:r>
      <w:r>
        <w:rPr>
          <w:rFonts w:hint="eastAsia" w:ascii="宋体" w:hAnsi="宋体" w:cs="宋体"/>
        </w:rPr>
        <w:t>元整（</w:t>
      </w:r>
      <w:r>
        <w:rPr>
          <w:rFonts w:hint="eastAsia" w:ascii="宋体" w:hAnsi="宋体" w:cs="宋体"/>
          <w:bCs/>
        </w:rPr>
        <w:t>¥</w:t>
      </w:r>
      <w:r>
        <w:rPr>
          <w:rFonts w:hint="eastAsia" w:ascii="宋体" w:hAnsi="宋体" w:cs="宋体"/>
          <w:bCs/>
          <w:u w:val="single"/>
        </w:rPr>
        <w:t>小写</w:t>
      </w:r>
      <w:r>
        <w:rPr>
          <w:rFonts w:hint="eastAsia" w:ascii="宋体" w:hAnsi="宋体" w:cs="宋体"/>
        </w:rPr>
        <w:t>）</w:t>
      </w:r>
      <w:r>
        <w:rPr>
          <w:rFonts w:hint="eastAsia" w:ascii="宋体" w:hAnsi="宋体" w:cs="宋体"/>
          <w:szCs w:val="21"/>
        </w:rPr>
        <w:t>。（即主合同预付款保证金金额）</w:t>
      </w:r>
    </w:p>
    <w:p>
      <w:pPr>
        <w:snapToGrid w:val="0"/>
        <w:spacing w:line="400" w:lineRule="exact"/>
        <w:ind w:firstLine="482" w:firstLineChars="200"/>
        <w:rPr>
          <w:rFonts w:ascii="宋体" w:hAnsi="宋体" w:cs="宋体"/>
          <w:b/>
          <w:szCs w:val="21"/>
        </w:rPr>
      </w:pPr>
      <w:r>
        <w:rPr>
          <w:rFonts w:hint="eastAsia" w:ascii="宋体" w:hAnsi="宋体" w:cs="宋体"/>
          <w:b/>
          <w:szCs w:val="21"/>
        </w:rPr>
        <w:t xml:space="preserve">二、保证的方式及保证期间 </w:t>
      </w:r>
    </w:p>
    <w:p>
      <w:pPr>
        <w:snapToGrid w:val="0"/>
        <w:spacing w:line="400" w:lineRule="exact"/>
        <w:ind w:firstLine="480" w:firstLineChars="200"/>
        <w:rPr>
          <w:rFonts w:ascii="宋体" w:hAnsi="宋体" w:cs="宋体"/>
          <w:szCs w:val="21"/>
        </w:rPr>
      </w:pPr>
      <w:r>
        <w:rPr>
          <w:rFonts w:hint="eastAsia" w:ascii="宋体" w:hAnsi="宋体" w:cs="宋体"/>
          <w:szCs w:val="21"/>
        </w:rPr>
        <w:t xml:space="preserve">我方保证的方式为：连带责任保证。 </w:t>
      </w:r>
    </w:p>
    <w:p>
      <w:pPr>
        <w:snapToGrid w:val="0"/>
        <w:spacing w:line="400" w:lineRule="exact"/>
        <w:ind w:firstLine="480" w:firstLineChars="200"/>
        <w:rPr>
          <w:rFonts w:ascii="宋体" w:hAnsi="宋体" w:cs="宋体"/>
          <w:szCs w:val="21"/>
        </w:rPr>
      </w:pPr>
      <w:r>
        <w:rPr>
          <w:rFonts w:hint="eastAsia" w:ascii="宋体" w:hAnsi="宋体" w:cs="宋体"/>
          <w:szCs w:val="21"/>
        </w:rPr>
        <w:t>我方保证的期间为：自本合同生效之日起至供应商按照主合同约定的</w:t>
      </w:r>
      <w:r>
        <w:rPr>
          <w:rFonts w:hint="eastAsia" w:ascii="宋体" w:hAnsi="宋体" w:cs="宋体"/>
          <w:szCs w:val="21"/>
          <w:u w:val="single"/>
        </w:rPr>
        <w:t>供货/（完工）</w:t>
      </w:r>
      <w:r>
        <w:rPr>
          <w:rFonts w:hint="eastAsia" w:ascii="宋体" w:hAnsi="宋体" w:cs="宋体"/>
          <w:szCs w:val="21"/>
        </w:rPr>
        <w:t>期限届满后日内。</w:t>
      </w:r>
    </w:p>
    <w:p>
      <w:pPr>
        <w:snapToGrid w:val="0"/>
        <w:spacing w:line="400" w:lineRule="exact"/>
        <w:ind w:firstLine="480" w:firstLineChars="200"/>
        <w:rPr>
          <w:rFonts w:ascii="宋体" w:hAnsi="宋体" w:cs="宋体"/>
          <w:szCs w:val="21"/>
        </w:rPr>
      </w:pPr>
      <w:r>
        <w:rPr>
          <w:rFonts w:hint="eastAsia" w:ascii="宋体" w:hAnsi="宋体" w:cs="宋体"/>
          <w:szCs w:val="21"/>
        </w:rPr>
        <w:t xml:space="preserve">如果供应商未按主合同约定向贵方供应货物的，由我方在保证金额内向你方支付上述款项。 </w:t>
      </w:r>
    </w:p>
    <w:p>
      <w:pPr>
        <w:snapToGrid w:val="0"/>
        <w:spacing w:line="400" w:lineRule="exact"/>
        <w:ind w:firstLine="482" w:firstLineChars="200"/>
        <w:rPr>
          <w:rFonts w:ascii="宋体" w:hAnsi="宋体" w:cs="宋体"/>
          <w:b/>
          <w:szCs w:val="21"/>
        </w:rPr>
      </w:pPr>
      <w:r>
        <w:rPr>
          <w:rFonts w:hint="eastAsia" w:ascii="宋体" w:hAnsi="宋体" w:cs="宋体"/>
          <w:b/>
          <w:szCs w:val="21"/>
        </w:rPr>
        <w:t>三、承担保证责任的程序</w:t>
      </w:r>
    </w:p>
    <w:p>
      <w:pPr>
        <w:snapToGrid w:val="0"/>
        <w:spacing w:line="400" w:lineRule="exact"/>
        <w:ind w:firstLine="480" w:firstLineChars="200"/>
        <w:rPr>
          <w:rFonts w:ascii="宋体" w:hAnsi="宋体" w:cs="宋体"/>
          <w:b/>
          <w:szCs w:val="21"/>
        </w:rPr>
      </w:pPr>
      <w:r>
        <w:rPr>
          <w:rFonts w:hint="eastAsia" w:ascii="宋体" w:hAnsi="宋体" w:cs="宋体"/>
          <w:szCs w:val="21"/>
        </w:rPr>
        <w:t xml:space="preserve">1.你方要求我方承担保证责任的，应在本保函保证期间内向我方发出书面索赔通知。索赔通知应写明要求索赔的金额，支付款项应到达的帐号。并附有证明供应商违约事实的证明材料。 </w:t>
      </w:r>
    </w:p>
    <w:p>
      <w:pPr>
        <w:snapToGrid w:val="0"/>
        <w:spacing w:line="400" w:lineRule="exact"/>
        <w:ind w:firstLine="480" w:firstLineChars="200"/>
        <w:rPr>
          <w:rFonts w:ascii="宋体" w:hAnsi="宋体" w:cs="宋体"/>
          <w:szCs w:val="21"/>
        </w:rPr>
      </w:pPr>
      <w:r>
        <w:rPr>
          <w:rFonts w:hint="eastAsia" w:ascii="宋体" w:hAnsi="宋体" w:cs="宋体"/>
          <w:szCs w:val="21"/>
        </w:rPr>
        <w:t>如果你方与供应商因货物质量问题产生争议，你方还需同时提供有关部门出具的质量检测报告，或经诉讼（仲裁）程序裁决后的裁决书、调解书，本保证人即按照检测结果或裁决书、调解书决定是否承担保证责任。</w:t>
      </w:r>
    </w:p>
    <w:p>
      <w:pPr>
        <w:snapToGrid w:val="0"/>
        <w:spacing w:line="400" w:lineRule="exact"/>
        <w:ind w:firstLine="480" w:firstLineChars="200"/>
        <w:rPr>
          <w:rFonts w:ascii="宋体" w:hAnsi="宋体" w:cs="宋体"/>
          <w:szCs w:val="21"/>
        </w:rPr>
      </w:pPr>
      <w:r>
        <w:rPr>
          <w:rFonts w:hint="eastAsia" w:ascii="宋体" w:hAnsi="宋体" w:cs="宋体"/>
          <w:szCs w:val="21"/>
        </w:rPr>
        <w:t>2.我方收到你方的书面索赔通知及相应证明材料，在工作日内进行核定后按照本保函的承诺承担保证责任。</w:t>
      </w:r>
    </w:p>
    <w:p>
      <w:pPr>
        <w:snapToGrid w:val="0"/>
        <w:spacing w:line="400" w:lineRule="exact"/>
        <w:ind w:firstLine="482" w:firstLineChars="200"/>
        <w:rPr>
          <w:rFonts w:ascii="宋体" w:hAnsi="宋体" w:cs="宋体"/>
          <w:b/>
          <w:szCs w:val="21"/>
        </w:rPr>
      </w:pPr>
      <w:r>
        <w:rPr>
          <w:rFonts w:hint="eastAsia" w:ascii="宋体" w:hAnsi="宋体" w:cs="宋体"/>
          <w:b/>
          <w:szCs w:val="21"/>
        </w:rPr>
        <w:t>四、保证责任的终止</w:t>
      </w:r>
    </w:p>
    <w:p>
      <w:pPr>
        <w:snapToGrid w:val="0"/>
        <w:spacing w:line="400" w:lineRule="exact"/>
        <w:ind w:firstLine="480" w:firstLineChars="200"/>
        <w:rPr>
          <w:rFonts w:ascii="宋体" w:hAnsi="宋体" w:cs="宋体"/>
          <w:szCs w:val="21"/>
        </w:rPr>
      </w:pPr>
      <w:r>
        <w:rPr>
          <w:rFonts w:hint="eastAsia" w:ascii="宋体" w:hAnsi="宋体" w:cs="宋体"/>
          <w:szCs w:val="21"/>
        </w:rPr>
        <w:t>1.保证期间届满你方未向我方书面主张保证责任的，自保证期间届满次日起，我方保证责任自动终止。</w:t>
      </w:r>
    </w:p>
    <w:p>
      <w:pPr>
        <w:snapToGrid w:val="0"/>
        <w:spacing w:line="400" w:lineRule="exact"/>
        <w:ind w:firstLine="480" w:firstLineChars="200"/>
        <w:rPr>
          <w:rFonts w:ascii="宋体" w:hAnsi="宋体" w:cs="宋体"/>
          <w:szCs w:val="21"/>
        </w:rPr>
      </w:pPr>
      <w:r>
        <w:rPr>
          <w:rFonts w:hint="eastAsia" w:ascii="宋体" w:hAnsi="宋体" w:cs="宋体"/>
          <w:szCs w:val="21"/>
        </w:rPr>
        <w:t>2.我方按照本保函向你方履行了保证责任后，自我方向你方支付款项（支付款项从我方账户划出）之日起，保证责任即终止。</w:t>
      </w:r>
    </w:p>
    <w:p>
      <w:pPr>
        <w:snapToGrid w:val="0"/>
        <w:spacing w:line="400" w:lineRule="exact"/>
        <w:ind w:firstLine="480" w:firstLineChars="200"/>
        <w:rPr>
          <w:rFonts w:ascii="宋体" w:hAnsi="宋体" w:cs="宋体"/>
          <w:szCs w:val="21"/>
        </w:rPr>
      </w:pPr>
      <w:r>
        <w:rPr>
          <w:rFonts w:hint="eastAsia" w:ascii="宋体" w:hAnsi="宋体" w:cs="宋体"/>
          <w:szCs w:val="21"/>
        </w:rPr>
        <w:t>3.按照法律法规的规定或出现应终止我方保证责任的其它情形的，我方在本保函项下的保证责任亦终止。</w:t>
      </w:r>
    </w:p>
    <w:p>
      <w:pPr>
        <w:snapToGrid w:val="0"/>
        <w:spacing w:line="400" w:lineRule="exact"/>
        <w:ind w:firstLine="480" w:firstLineChars="200"/>
        <w:rPr>
          <w:rFonts w:ascii="宋体" w:hAnsi="宋体" w:cs="宋体"/>
          <w:szCs w:val="21"/>
        </w:rPr>
      </w:pPr>
      <w:r>
        <w:rPr>
          <w:rFonts w:hint="eastAsia" w:ascii="宋体" w:hAnsi="宋体" w:cs="宋体"/>
          <w:szCs w:val="21"/>
        </w:rPr>
        <w:t>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pPr>
        <w:snapToGrid w:val="0"/>
        <w:spacing w:line="400" w:lineRule="exact"/>
        <w:ind w:firstLine="482" w:firstLineChars="200"/>
        <w:rPr>
          <w:rFonts w:ascii="宋体" w:hAnsi="宋体" w:cs="宋体"/>
          <w:b/>
          <w:szCs w:val="21"/>
        </w:rPr>
      </w:pPr>
      <w:r>
        <w:rPr>
          <w:rFonts w:hint="eastAsia" w:ascii="宋体" w:hAnsi="宋体" w:cs="宋体"/>
          <w:b/>
          <w:szCs w:val="21"/>
        </w:rPr>
        <w:t>五、免责条款</w:t>
      </w:r>
    </w:p>
    <w:p>
      <w:pPr>
        <w:snapToGrid w:val="0"/>
        <w:spacing w:line="400" w:lineRule="exact"/>
        <w:ind w:firstLine="480" w:firstLineChars="200"/>
        <w:rPr>
          <w:rFonts w:ascii="宋体" w:hAnsi="宋体" w:cs="宋体"/>
          <w:szCs w:val="21"/>
        </w:rPr>
      </w:pPr>
      <w:r>
        <w:rPr>
          <w:rFonts w:hint="eastAsia" w:ascii="宋体" w:hAnsi="宋体" w:cs="宋体"/>
          <w:szCs w:val="21"/>
        </w:rPr>
        <w:t>1.因你方违反主合同约定致使供应商不能履行义务的，我方不承担保证责任。</w:t>
      </w:r>
    </w:p>
    <w:p>
      <w:pPr>
        <w:snapToGrid w:val="0"/>
        <w:spacing w:line="400" w:lineRule="exact"/>
        <w:ind w:firstLine="480" w:firstLineChars="200"/>
        <w:rPr>
          <w:rFonts w:ascii="宋体" w:hAnsi="宋体" w:cs="宋体"/>
          <w:b/>
          <w:szCs w:val="21"/>
        </w:rPr>
      </w:pPr>
      <w:r>
        <w:rPr>
          <w:rFonts w:hint="eastAsia" w:ascii="宋体" w:hAnsi="宋体" w:cs="宋体"/>
          <w:szCs w:val="21"/>
        </w:rPr>
        <w:t>2.依照法律法规的规定或你方与供应商的另行约定，全部或者部分免除供应商应缴纳的保证金义务的，我方亦免除相应的保证责任。</w:t>
      </w:r>
    </w:p>
    <w:p>
      <w:pPr>
        <w:snapToGrid w:val="0"/>
        <w:spacing w:line="400" w:lineRule="exact"/>
        <w:ind w:firstLine="480" w:firstLineChars="200"/>
        <w:rPr>
          <w:rFonts w:ascii="宋体" w:hAnsi="宋体" w:cs="宋体"/>
          <w:szCs w:val="21"/>
        </w:rPr>
      </w:pPr>
      <w:r>
        <w:rPr>
          <w:rFonts w:hint="eastAsia" w:ascii="宋体" w:hAnsi="宋体" w:cs="宋体"/>
          <w:szCs w:val="21"/>
        </w:rPr>
        <w:t>3.因不可抗力造成供应商不能履行供货义务的，我方不承担保证责任。</w:t>
      </w:r>
    </w:p>
    <w:p>
      <w:pPr>
        <w:snapToGrid w:val="0"/>
        <w:spacing w:line="400" w:lineRule="exact"/>
        <w:ind w:firstLine="482" w:firstLineChars="200"/>
        <w:rPr>
          <w:rFonts w:ascii="宋体" w:hAnsi="宋体" w:cs="宋体"/>
          <w:b/>
          <w:szCs w:val="21"/>
        </w:rPr>
      </w:pPr>
      <w:r>
        <w:rPr>
          <w:rFonts w:hint="eastAsia" w:ascii="宋体" w:hAnsi="宋体" w:cs="宋体"/>
          <w:b/>
          <w:szCs w:val="21"/>
        </w:rPr>
        <w:t>六、争议的解决</w:t>
      </w:r>
    </w:p>
    <w:p>
      <w:pPr>
        <w:snapToGrid w:val="0"/>
        <w:spacing w:line="400" w:lineRule="exact"/>
        <w:ind w:firstLine="480" w:firstLineChars="200"/>
        <w:rPr>
          <w:rFonts w:ascii="宋体" w:hAnsi="宋体" w:cs="宋体"/>
          <w:szCs w:val="21"/>
        </w:rPr>
      </w:pPr>
      <w:r>
        <w:rPr>
          <w:rFonts w:hint="eastAsia" w:ascii="宋体" w:hAnsi="宋体" w:cs="宋体"/>
          <w:szCs w:val="21"/>
        </w:rPr>
        <w:t>因本保函发生的纠纷，由你我双方协商解决，协商不成的，通过诉讼程序解决，诉讼管辖地法院为法院。</w:t>
      </w:r>
    </w:p>
    <w:p>
      <w:pPr>
        <w:snapToGrid w:val="0"/>
        <w:spacing w:line="400" w:lineRule="exact"/>
        <w:ind w:firstLine="482" w:firstLineChars="200"/>
        <w:rPr>
          <w:rFonts w:ascii="宋体" w:hAnsi="宋体" w:cs="宋体"/>
          <w:b/>
          <w:szCs w:val="21"/>
        </w:rPr>
      </w:pPr>
      <w:r>
        <w:rPr>
          <w:rFonts w:hint="eastAsia" w:ascii="宋体" w:hAnsi="宋体" w:cs="宋体"/>
          <w:b/>
          <w:szCs w:val="21"/>
        </w:rPr>
        <w:t xml:space="preserve">七、保函的生效 </w:t>
      </w:r>
    </w:p>
    <w:p>
      <w:pPr>
        <w:snapToGrid w:val="0"/>
        <w:spacing w:line="400" w:lineRule="exact"/>
        <w:ind w:firstLine="480" w:firstLineChars="200"/>
        <w:rPr>
          <w:rFonts w:ascii="宋体" w:hAnsi="宋体" w:cs="宋体"/>
          <w:szCs w:val="21"/>
        </w:rPr>
      </w:pPr>
      <w:r>
        <w:rPr>
          <w:rFonts w:hint="eastAsia" w:ascii="宋体" w:hAnsi="宋体" w:cs="宋体"/>
          <w:szCs w:val="21"/>
        </w:rPr>
        <w:t xml:space="preserve">本保函自我方加盖公章之日起生效。 </w:t>
      </w:r>
    </w:p>
    <w:p>
      <w:pPr>
        <w:snapToGrid w:val="0"/>
        <w:spacing w:line="400" w:lineRule="exact"/>
        <w:ind w:right="960" w:firstLine="4620"/>
        <w:jc w:val="right"/>
        <w:rPr>
          <w:rFonts w:ascii="宋体" w:hAnsi="宋体" w:cs="宋体"/>
          <w:szCs w:val="21"/>
        </w:rPr>
      </w:pPr>
    </w:p>
    <w:p>
      <w:pPr>
        <w:snapToGrid w:val="0"/>
        <w:spacing w:line="400" w:lineRule="exact"/>
        <w:ind w:right="960" w:firstLine="4620"/>
        <w:jc w:val="right"/>
        <w:rPr>
          <w:rFonts w:ascii="宋体" w:hAnsi="宋体" w:cs="宋体"/>
          <w:szCs w:val="21"/>
        </w:rPr>
      </w:pPr>
    </w:p>
    <w:p>
      <w:pPr>
        <w:snapToGrid w:val="0"/>
        <w:spacing w:line="400" w:lineRule="exact"/>
        <w:ind w:right="960" w:firstLine="4620"/>
        <w:jc w:val="right"/>
        <w:rPr>
          <w:rFonts w:ascii="宋体" w:hAnsi="宋体" w:cs="宋体"/>
          <w:szCs w:val="21"/>
        </w:rPr>
      </w:pPr>
      <w:r>
        <w:rPr>
          <w:rFonts w:hint="eastAsia" w:ascii="宋体" w:hAnsi="宋体" w:cs="宋体"/>
          <w:szCs w:val="21"/>
        </w:rPr>
        <w:t xml:space="preserve">保证人：（公章） </w:t>
      </w:r>
    </w:p>
    <w:p>
      <w:pPr>
        <w:snapToGrid w:val="0"/>
        <w:spacing w:line="400" w:lineRule="exact"/>
        <w:jc w:val="right"/>
        <w:rPr>
          <w:rFonts w:ascii="宋体" w:hAnsi="宋体" w:cs="宋体"/>
          <w:szCs w:val="21"/>
        </w:rPr>
      </w:pPr>
    </w:p>
    <w:p>
      <w:pPr>
        <w:snapToGrid w:val="0"/>
        <w:spacing w:line="400" w:lineRule="exact"/>
        <w:jc w:val="center"/>
        <w:rPr>
          <w:rFonts w:ascii="宋体" w:hAnsi="宋体" w:cs="宋体"/>
          <w:caps/>
          <w:sz w:val="32"/>
          <w:szCs w:val="32"/>
        </w:rPr>
      </w:pPr>
      <w:r>
        <w:rPr>
          <w:rFonts w:hint="eastAsia" w:ascii="宋体" w:hAnsi="宋体" w:cs="宋体"/>
          <w:szCs w:val="21"/>
        </w:rPr>
        <w:t xml:space="preserve">                                    年   月   日</w:t>
      </w:r>
    </w:p>
    <w:p>
      <w:pPr>
        <w:snapToGrid w:val="0"/>
        <w:spacing w:line="400" w:lineRule="exact"/>
        <w:jc w:val="center"/>
        <w:rPr>
          <w:rFonts w:ascii="宋体" w:hAnsi="宋体" w:cs="宋体"/>
          <w:caps/>
          <w:sz w:val="32"/>
          <w:szCs w:val="32"/>
        </w:rPr>
      </w:pPr>
    </w:p>
    <w:p>
      <w:pPr>
        <w:pStyle w:val="63"/>
        <w:adjustRightInd w:val="0"/>
        <w:snapToGrid w:val="0"/>
        <w:spacing w:line="400" w:lineRule="exact"/>
        <w:jc w:val="left"/>
        <w:rPr>
          <w:rFonts w:hAnsi="宋体" w:cs="宋体"/>
        </w:rPr>
      </w:pPr>
      <w:r>
        <w:rPr>
          <w:rFonts w:hint="eastAsia" w:hAnsi="宋体" w:cs="宋体"/>
          <w:caps/>
          <w:sz w:val="32"/>
          <w:szCs w:val="32"/>
        </w:rPr>
        <w:br w:type="page"/>
      </w:r>
      <w:bookmarkStart w:id="334" w:name="_Toc25805"/>
      <w:bookmarkStart w:id="335" w:name="_Toc27277"/>
      <w:bookmarkStart w:id="336" w:name="_Toc477185317"/>
      <w:bookmarkStart w:id="337" w:name="_Toc18793"/>
      <w:bookmarkStart w:id="338" w:name="_Toc18005"/>
      <w:bookmarkStart w:id="339" w:name="_Toc5202"/>
      <w:bookmarkStart w:id="340" w:name="_Toc5480"/>
      <w:bookmarkStart w:id="341" w:name="_Toc86156802"/>
      <w:bookmarkStart w:id="342" w:name="_Toc20770"/>
      <w:bookmarkStart w:id="343" w:name="_Toc95326705"/>
      <w:bookmarkStart w:id="344" w:name="_Toc23076"/>
      <w:r>
        <w:rPr>
          <w:rFonts w:hint="eastAsia" w:hAnsi="宋体" w:cs="宋体"/>
        </w:rPr>
        <w:t>附件13：</w:t>
      </w:r>
      <w:bookmarkEnd w:id="334"/>
      <w:bookmarkEnd w:id="335"/>
      <w:bookmarkEnd w:id="336"/>
      <w:bookmarkEnd w:id="337"/>
      <w:bookmarkEnd w:id="338"/>
      <w:bookmarkEnd w:id="339"/>
      <w:bookmarkEnd w:id="340"/>
      <w:bookmarkEnd w:id="341"/>
      <w:bookmarkEnd w:id="342"/>
      <w:bookmarkEnd w:id="343"/>
      <w:bookmarkEnd w:id="344"/>
    </w:p>
    <w:p>
      <w:pPr>
        <w:widowControl/>
        <w:snapToGrid w:val="0"/>
        <w:spacing w:line="400" w:lineRule="exact"/>
        <w:textAlignment w:val="auto"/>
        <w:rPr>
          <w:rFonts w:ascii="宋体" w:hAnsi="宋体" w:cs="宋体"/>
          <w:b/>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技术规格偏离表</w:t>
      </w:r>
    </w:p>
    <w:p>
      <w:pPr>
        <w:snapToGrid w:val="0"/>
        <w:spacing w:before="120" w:beforeLines="50" w:line="400" w:lineRule="exact"/>
        <w:rPr>
          <w:rFonts w:ascii="宋体" w:hAnsi="宋体" w:cs="宋体"/>
        </w:rPr>
      </w:pPr>
    </w:p>
    <w:p>
      <w:pPr>
        <w:snapToGrid w:val="0"/>
        <w:spacing w:before="120" w:beforeLines="50" w:line="400" w:lineRule="exact"/>
        <w:rPr>
          <w:rFonts w:ascii="宋体" w:hAnsi="宋体" w:cs="宋体"/>
        </w:rPr>
      </w:pPr>
      <w:r>
        <w:rPr>
          <w:rFonts w:hint="eastAsia" w:ascii="宋体" w:hAnsi="宋体" w:cs="宋体"/>
        </w:rPr>
        <w:t>项目编号：__________                 包    号：__________</w:t>
      </w:r>
    </w:p>
    <w:tbl>
      <w:tblPr>
        <w:tblStyle w:val="26"/>
        <w:tblW w:w="8505"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977"/>
        <w:gridCol w:w="2835"/>
        <w:gridCol w:w="1417"/>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276" w:type="dxa"/>
            <w:tcBorders>
              <w:top w:val="double" w:color="auto" w:sz="4" w:space="0"/>
            </w:tcBorders>
          </w:tcPr>
          <w:p>
            <w:pPr>
              <w:pStyle w:val="15"/>
              <w:adjustRightInd w:val="0"/>
              <w:snapToGrid w:val="0"/>
              <w:spacing w:line="400" w:lineRule="exact"/>
              <w:jc w:val="center"/>
              <w:rPr>
                <w:rFonts w:hAnsi="宋体" w:cs="宋体"/>
                <w:sz w:val="24"/>
                <w:szCs w:val="24"/>
              </w:rPr>
            </w:pPr>
            <w:r>
              <w:rPr>
                <w:rFonts w:hint="eastAsia" w:hAnsi="宋体" w:cs="宋体"/>
                <w:sz w:val="24"/>
                <w:szCs w:val="24"/>
              </w:rPr>
              <w:t>招标文件条目号</w:t>
            </w:r>
          </w:p>
        </w:tc>
        <w:tc>
          <w:tcPr>
            <w:tcW w:w="2977" w:type="dxa"/>
            <w:tcBorders>
              <w:top w:val="double" w:color="auto" w:sz="4" w:space="0"/>
            </w:tcBorders>
          </w:tcPr>
          <w:p>
            <w:pPr>
              <w:pStyle w:val="15"/>
              <w:adjustRightInd w:val="0"/>
              <w:snapToGrid w:val="0"/>
              <w:spacing w:line="400" w:lineRule="exact"/>
              <w:jc w:val="center"/>
              <w:rPr>
                <w:rFonts w:hAnsi="宋体" w:cs="宋体"/>
                <w:sz w:val="24"/>
                <w:szCs w:val="24"/>
              </w:rPr>
            </w:pPr>
            <w:r>
              <w:rPr>
                <w:rFonts w:hint="eastAsia" w:hAnsi="宋体" w:cs="宋体"/>
                <w:sz w:val="24"/>
                <w:szCs w:val="24"/>
              </w:rPr>
              <w:t>招标文件技术需求的内容与数值</w:t>
            </w:r>
          </w:p>
        </w:tc>
        <w:tc>
          <w:tcPr>
            <w:tcW w:w="2835" w:type="dxa"/>
            <w:tcBorders>
              <w:top w:val="double" w:color="auto" w:sz="4" w:space="0"/>
            </w:tcBorders>
          </w:tcPr>
          <w:p>
            <w:pPr>
              <w:pStyle w:val="15"/>
              <w:adjustRightInd w:val="0"/>
              <w:snapToGrid w:val="0"/>
              <w:spacing w:line="400" w:lineRule="exact"/>
              <w:jc w:val="center"/>
              <w:rPr>
                <w:rFonts w:hAnsi="宋体" w:cs="宋体"/>
                <w:sz w:val="24"/>
                <w:szCs w:val="24"/>
              </w:rPr>
            </w:pPr>
            <w:r>
              <w:rPr>
                <w:rFonts w:hint="eastAsia" w:hAnsi="宋体" w:cs="宋体"/>
                <w:sz w:val="24"/>
                <w:szCs w:val="24"/>
              </w:rPr>
              <w:t>投标人的技术响应内容与数值</w:t>
            </w:r>
          </w:p>
        </w:tc>
        <w:tc>
          <w:tcPr>
            <w:tcW w:w="1417" w:type="dxa"/>
            <w:tcBorders>
              <w:top w:val="double" w:color="auto" w:sz="4" w:space="0"/>
            </w:tcBorders>
          </w:tcPr>
          <w:p>
            <w:pPr>
              <w:pStyle w:val="15"/>
              <w:adjustRightInd w:val="0"/>
              <w:snapToGrid w:val="0"/>
              <w:spacing w:line="400" w:lineRule="exact"/>
              <w:jc w:val="center"/>
              <w:rPr>
                <w:rFonts w:hAnsi="宋体" w:cs="宋体"/>
                <w:b/>
                <w:bCs/>
                <w:sz w:val="24"/>
                <w:szCs w:val="24"/>
              </w:rPr>
            </w:pPr>
            <w:r>
              <w:rPr>
                <w:rFonts w:hint="eastAsia" w:hAnsi="宋体" w:cs="宋体"/>
                <w:b/>
                <w:bCs/>
                <w:sz w:val="24"/>
                <w:szCs w:val="24"/>
              </w:rPr>
              <w:t>备注</w:t>
            </w:r>
          </w:p>
          <w:p>
            <w:pPr>
              <w:pStyle w:val="15"/>
              <w:adjustRightInd w:val="0"/>
              <w:snapToGrid w:val="0"/>
              <w:spacing w:line="400" w:lineRule="exact"/>
              <w:jc w:val="center"/>
              <w:rPr>
                <w:rFonts w:hAnsi="宋体" w:cs="宋体"/>
                <w:sz w:val="24"/>
                <w:szCs w:val="24"/>
              </w:rPr>
            </w:pPr>
            <w:r>
              <w:rPr>
                <w:rFonts w:hint="eastAsia" w:hAnsi="宋体" w:cs="宋体"/>
                <w:b/>
                <w:bCs/>
                <w:sz w:val="24"/>
                <w:szCs w:val="24"/>
              </w:rPr>
              <w:t>(偏差说明)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276" w:type="dxa"/>
          </w:tcPr>
          <w:p>
            <w:pPr>
              <w:pStyle w:val="15"/>
              <w:adjustRightInd w:val="0"/>
              <w:snapToGrid w:val="0"/>
              <w:spacing w:line="400" w:lineRule="exact"/>
              <w:rPr>
                <w:rFonts w:hAnsi="宋体" w:cs="宋体"/>
                <w:sz w:val="24"/>
                <w:szCs w:val="24"/>
              </w:rPr>
            </w:pPr>
          </w:p>
        </w:tc>
        <w:tc>
          <w:tcPr>
            <w:tcW w:w="2977" w:type="dxa"/>
          </w:tcPr>
          <w:p>
            <w:pPr>
              <w:pStyle w:val="15"/>
              <w:adjustRightInd w:val="0"/>
              <w:snapToGrid w:val="0"/>
              <w:spacing w:line="400" w:lineRule="exact"/>
              <w:rPr>
                <w:rFonts w:hAnsi="宋体" w:cs="宋体"/>
                <w:sz w:val="24"/>
                <w:szCs w:val="24"/>
              </w:rPr>
            </w:pPr>
          </w:p>
        </w:tc>
        <w:tc>
          <w:tcPr>
            <w:tcW w:w="2835" w:type="dxa"/>
          </w:tcPr>
          <w:p>
            <w:pPr>
              <w:pStyle w:val="15"/>
              <w:adjustRightInd w:val="0"/>
              <w:snapToGrid w:val="0"/>
              <w:spacing w:line="400" w:lineRule="exact"/>
              <w:rPr>
                <w:rFonts w:hAnsi="宋体" w:cs="宋体"/>
                <w:sz w:val="24"/>
                <w:szCs w:val="24"/>
              </w:rPr>
            </w:pPr>
          </w:p>
        </w:tc>
        <w:tc>
          <w:tcPr>
            <w:tcW w:w="1417" w:type="dxa"/>
          </w:tcPr>
          <w:p>
            <w:pPr>
              <w:pStyle w:val="15"/>
              <w:adjustRightInd w:val="0"/>
              <w:snapToGrid w:val="0"/>
              <w:spacing w:line="400" w:lineRule="exact"/>
              <w:rPr>
                <w:rFonts w:hAnsi="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276" w:type="dxa"/>
          </w:tcPr>
          <w:p>
            <w:pPr>
              <w:pStyle w:val="15"/>
              <w:adjustRightInd w:val="0"/>
              <w:snapToGrid w:val="0"/>
              <w:spacing w:line="400" w:lineRule="exact"/>
              <w:rPr>
                <w:rFonts w:hAnsi="宋体" w:cs="宋体"/>
                <w:sz w:val="24"/>
                <w:szCs w:val="24"/>
              </w:rPr>
            </w:pPr>
          </w:p>
        </w:tc>
        <w:tc>
          <w:tcPr>
            <w:tcW w:w="2977" w:type="dxa"/>
          </w:tcPr>
          <w:p>
            <w:pPr>
              <w:pStyle w:val="15"/>
              <w:adjustRightInd w:val="0"/>
              <w:snapToGrid w:val="0"/>
              <w:spacing w:line="400" w:lineRule="exact"/>
              <w:rPr>
                <w:rFonts w:hAnsi="宋体" w:cs="宋体"/>
                <w:sz w:val="24"/>
                <w:szCs w:val="24"/>
              </w:rPr>
            </w:pPr>
          </w:p>
        </w:tc>
        <w:tc>
          <w:tcPr>
            <w:tcW w:w="2835" w:type="dxa"/>
          </w:tcPr>
          <w:p>
            <w:pPr>
              <w:pStyle w:val="15"/>
              <w:adjustRightInd w:val="0"/>
              <w:snapToGrid w:val="0"/>
              <w:spacing w:line="400" w:lineRule="exact"/>
              <w:rPr>
                <w:rFonts w:hAnsi="宋体" w:cs="宋体"/>
                <w:sz w:val="24"/>
                <w:szCs w:val="24"/>
              </w:rPr>
            </w:pPr>
          </w:p>
        </w:tc>
        <w:tc>
          <w:tcPr>
            <w:tcW w:w="1417" w:type="dxa"/>
          </w:tcPr>
          <w:p>
            <w:pPr>
              <w:pStyle w:val="15"/>
              <w:adjustRightInd w:val="0"/>
              <w:snapToGrid w:val="0"/>
              <w:spacing w:line="400" w:lineRule="exact"/>
              <w:rPr>
                <w:rFonts w:hAnsi="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276" w:type="dxa"/>
          </w:tcPr>
          <w:p>
            <w:pPr>
              <w:pStyle w:val="15"/>
              <w:adjustRightInd w:val="0"/>
              <w:snapToGrid w:val="0"/>
              <w:spacing w:line="400" w:lineRule="exact"/>
              <w:rPr>
                <w:rFonts w:hAnsi="宋体" w:cs="宋体"/>
                <w:sz w:val="24"/>
                <w:szCs w:val="24"/>
              </w:rPr>
            </w:pPr>
          </w:p>
        </w:tc>
        <w:tc>
          <w:tcPr>
            <w:tcW w:w="2977" w:type="dxa"/>
          </w:tcPr>
          <w:p>
            <w:pPr>
              <w:pStyle w:val="15"/>
              <w:adjustRightInd w:val="0"/>
              <w:snapToGrid w:val="0"/>
              <w:spacing w:line="400" w:lineRule="exact"/>
              <w:rPr>
                <w:rFonts w:hAnsi="宋体" w:cs="宋体"/>
                <w:sz w:val="24"/>
                <w:szCs w:val="24"/>
              </w:rPr>
            </w:pPr>
          </w:p>
        </w:tc>
        <w:tc>
          <w:tcPr>
            <w:tcW w:w="2835" w:type="dxa"/>
          </w:tcPr>
          <w:p>
            <w:pPr>
              <w:pStyle w:val="15"/>
              <w:adjustRightInd w:val="0"/>
              <w:snapToGrid w:val="0"/>
              <w:spacing w:line="400" w:lineRule="exact"/>
              <w:rPr>
                <w:rFonts w:hAnsi="宋体" w:cs="宋体"/>
                <w:sz w:val="24"/>
                <w:szCs w:val="24"/>
              </w:rPr>
            </w:pPr>
          </w:p>
        </w:tc>
        <w:tc>
          <w:tcPr>
            <w:tcW w:w="1417" w:type="dxa"/>
          </w:tcPr>
          <w:p>
            <w:pPr>
              <w:pStyle w:val="15"/>
              <w:adjustRightInd w:val="0"/>
              <w:snapToGrid w:val="0"/>
              <w:spacing w:line="400" w:lineRule="exact"/>
              <w:rPr>
                <w:rFonts w:hAnsi="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276" w:type="dxa"/>
          </w:tcPr>
          <w:p>
            <w:pPr>
              <w:pStyle w:val="15"/>
              <w:adjustRightInd w:val="0"/>
              <w:snapToGrid w:val="0"/>
              <w:spacing w:line="400" w:lineRule="exact"/>
              <w:rPr>
                <w:rFonts w:hAnsi="宋体" w:cs="宋体"/>
                <w:sz w:val="24"/>
                <w:szCs w:val="24"/>
              </w:rPr>
            </w:pPr>
          </w:p>
        </w:tc>
        <w:tc>
          <w:tcPr>
            <w:tcW w:w="2977" w:type="dxa"/>
          </w:tcPr>
          <w:p>
            <w:pPr>
              <w:pStyle w:val="15"/>
              <w:adjustRightInd w:val="0"/>
              <w:snapToGrid w:val="0"/>
              <w:spacing w:line="400" w:lineRule="exact"/>
              <w:rPr>
                <w:rFonts w:hAnsi="宋体" w:cs="宋体"/>
                <w:sz w:val="24"/>
                <w:szCs w:val="24"/>
              </w:rPr>
            </w:pPr>
          </w:p>
        </w:tc>
        <w:tc>
          <w:tcPr>
            <w:tcW w:w="2835" w:type="dxa"/>
          </w:tcPr>
          <w:p>
            <w:pPr>
              <w:pStyle w:val="15"/>
              <w:adjustRightInd w:val="0"/>
              <w:snapToGrid w:val="0"/>
              <w:spacing w:line="400" w:lineRule="exact"/>
              <w:rPr>
                <w:rFonts w:hAnsi="宋体" w:cs="宋体"/>
                <w:sz w:val="24"/>
                <w:szCs w:val="24"/>
              </w:rPr>
            </w:pPr>
          </w:p>
        </w:tc>
        <w:tc>
          <w:tcPr>
            <w:tcW w:w="1417" w:type="dxa"/>
          </w:tcPr>
          <w:p>
            <w:pPr>
              <w:pStyle w:val="15"/>
              <w:adjustRightInd w:val="0"/>
              <w:snapToGrid w:val="0"/>
              <w:spacing w:line="400" w:lineRule="exact"/>
              <w:rPr>
                <w:rFonts w:hAnsi="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276" w:type="dxa"/>
          </w:tcPr>
          <w:p>
            <w:pPr>
              <w:pStyle w:val="15"/>
              <w:adjustRightInd w:val="0"/>
              <w:snapToGrid w:val="0"/>
              <w:spacing w:line="400" w:lineRule="exact"/>
              <w:rPr>
                <w:rFonts w:hAnsi="宋体" w:cs="宋体"/>
                <w:sz w:val="24"/>
                <w:szCs w:val="24"/>
              </w:rPr>
            </w:pPr>
          </w:p>
        </w:tc>
        <w:tc>
          <w:tcPr>
            <w:tcW w:w="2977" w:type="dxa"/>
          </w:tcPr>
          <w:p>
            <w:pPr>
              <w:pStyle w:val="15"/>
              <w:adjustRightInd w:val="0"/>
              <w:snapToGrid w:val="0"/>
              <w:spacing w:line="400" w:lineRule="exact"/>
              <w:rPr>
                <w:rFonts w:hAnsi="宋体" w:cs="宋体"/>
                <w:sz w:val="24"/>
                <w:szCs w:val="24"/>
              </w:rPr>
            </w:pPr>
          </w:p>
        </w:tc>
        <w:tc>
          <w:tcPr>
            <w:tcW w:w="2835" w:type="dxa"/>
          </w:tcPr>
          <w:p>
            <w:pPr>
              <w:pStyle w:val="15"/>
              <w:adjustRightInd w:val="0"/>
              <w:snapToGrid w:val="0"/>
              <w:spacing w:line="400" w:lineRule="exact"/>
              <w:rPr>
                <w:rFonts w:hAnsi="宋体" w:cs="宋体"/>
                <w:sz w:val="24"/>
                <w:szCs w:val="24"/>
              </w:rPr>
            </w:pPr>
          </w:p>
        </w:tc>
        <w:tc>
          <w:tcPr>
            <w:tcW w:w="1417" w:type="dxa"/>
          </w:tcPr>
          <w:p>
            <w:pPr>
              <w:pStyle w:val="15"/>
              <w:adjustRightInd w:val="0"/>
              <w:snapToGrid w:val="0"/>
              <w:spacing w:line="400" w:lineRule="exact"/>
              <w:rPr>
                <w:rFonts w:hAnsi="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276" w:type="dxa"/>
          </w:tcPr>
          <w:p>
            <w:pPr>
              <w:pStyle w:val="15"/>
              <w:adjustRightInd w:val="0"/>
              <w:snapToGrid w:val="0"/>
              <w:spacing w:line="400" w:lineRule="exact"/>
              <w:rPr>
                <w:rFonts w:hAnsi="宋体" w:cs="宋体"/>
                <w:sz w:val="24"/>
                <w:szCs w:val="24"/>
              </w:rPr>
            </w:pPr>
          </w:p>
        </w:tc>
        <w:tc>
          <w:tcPr>
            <w:tcW w:w="2977" w:type="dxa"/>
          </w:tcPr>
          <w:p>
            <w:pPr>
              <w:pStyle w:val="15"/>
              <w:adjustRightInd w:val="0"/>
              <w:snapToGrid w:val="0"/>
              <w:spacing w:line="400" w:lineRule="exact"/>
              <w:rPr>
                <w:rFonts w:hAnsi="宋体" w:cs="宋体"/>
                <w:sz w:val="24"/>
                <w:szCs w:val="24"/>
              </w:rPr>
            </w:pPr>
          </w:p>
        </w:tc>
        <w:tc>
          <w:tcPr>
            <w:tcW w:w="2835" w:type="dxa"/>
          </w:tcPr>
          <w:p>
            <w:pPr>
              <w:pStyle w:val="15"/>
              <w:adjustRightInd w:val="0"/>
              <w:snapToGrid w:val="0"/>
              <w:spacing w:line="400" w:lineRule="exact"/>
              <w:rPr>
                <w:rFonts w:hAnsi="宋体" w:cs="宋体"/>
                <w:sz w:val="24"/>
                <w:szCs w:val="24"/>
              </w:rPr>
            </w:pPr>
          </w:p>
        </w:tc>
        <w:tc>
          <w:tcPr>
            <w:tcW w:w="1417" w:type="dxa"/>
          </w:tcPr>
          <w:p>
            <w:pPr>
              <w:pStyle w:val="15"/>
              <w:adjustRightInd w:val="0"/>
              <w:snapToGrid w:val="0"/>
              <w:spacing w:line="400" w:lineRule="exact"/>
              <w:rPr>
                <w:rFonts w:hAnsi="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276" w:type="dxa"/>
          </w:tcPr>
          <w:p>
            <w:pPr>
              <w:pStyle w:val="15"/>
              <w:adjustRightInd w:val="0"/>
              <w:snapToGrid w:val="0"/>
              <w:spacing w:line="400" w:lineRule="exact"/>
              <w:rPr>
                <w:rFonts w:hAnsi="宋体" w:cs="宋体"/>
                <w:sz w:val="24"/>
                <w:szCs w:val="24"/>
              </w:rPr>
            </w:pPr>
          </w:p>
        </w:tc>
        <w:tc>
          <w:tcPr>
            <w:tcW w:w="2977" w:type="dxa"/>
          </w:tcPr>
          <w:p>
            <w:pPr>
              <w:pStyle w:val="15"/>
              <w:adjustRightInd w:val="0"/>
              <w:snapToGrid w:val="0"/>
              <w:spacing w:line="400" w:lineRule="exact"/>
              <w:rPr>
                <w:rFonts w:hAnsi="宋体" w:cs="宋体"/>
                <w:sz w:val="24"/>
                <w:szCs w:val="24"/>
              </w:rPr>
            </w:pPr>
          </w:p>
        </w:tc>
        <w:tc>
          <w:tcPr>
            <w:tcW w:w="2835" w:type="dxa"/>
          </w:tcPr>
          <w:p>
            <w:pPr>
              <w:pStyle w:val="15"/>
              <w:adjustRightInd w:val="0"/>
              <w:snapToGrid w:val="0"/>
              <w:spacing w:line="400" w:lineRule="exact"/>
              <w:rPr>
                <w:rFonts w:hAnsi="宋体" w:cs="宋体"/>
                <w:sz w:val="24"/>
                <w:szCs w:val="24"/>
              </w:rPr>
            </w:pPr>
          </w:p>
        </w:tc>
        <w:tc>
          <w:tcPr>
            <w:tcW w:w="1417" w:type="dxa"/>
          </w:tcPr>
          <w:p>
            <w:pPr>
              <w:pStyle w:val="15"/>
              <w:adjustRightInd w:val="0"/>
              <w:snapToGrid w:val="0"/>
              <w:spacing w:line="400" w:lineRule="exact"/>
              <w:rPr>
                <w:rFonts w:hAnsi="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276" w:type="dxa"/>
          </w:tcPr>
          <w:p>
            <w:pPr>
              <w:pStyle w:val="15"/>
              <w:adjustRightInd w:val="0"/>
              <w:snapToGrid w:val="0"/>
              <w:spacing w:line="400" w:lineRule="exact"/>
              <w:rPr>
                <w:rFonts w:hAnsi="宋体" w:cs="宋体"/>
                <w:sz w:val="24"/>
                <w:szCs w:val="24"/>
              </w:rPr>
            </w:pPr>
          </w:p>
        </w:tc>
        <w:tc>
          <w:tcPr>
            <w:tcW w:w="2977" w:type="dxa"/>
          </w:tcPr>
          <w:p>
            <w:pPr>
              <w:pStyle w:val="15"/>
              <w:adjustRightInd w:val="0"/>
              <w:snapToGrid w:val="0"/>
              <w:spacing w:line="400" w:lineRule="exact"/>
              <w:outlineLvl w:val="0"/>
              <w:rPr>
                <w:rFonts w:hAnsi="宋体" w:cs="宋体"/>
                <w:sz w:val="24"/>
                <w:szCs w:val="24"/>
              </w:rPr>
            </w:pPr>
          </w:p>
        </w:tc>
        <w:tc>
          <w:tcPr>
            <w:tcW w:w="2835" w:type="dxa"/>
          </w:tcPr>
          <w:p>
            <w:pPr>
              <w:pStyle w:val="15"/>
              <w:adjustRightInd w:val="0"/>
              <w:snapToGrid w:val="0"/>
              <w:spacing w:line="400" w:lineRule="exact"/>
              <w:outlineLvl w:val="0"/>
              <w:rPr>
                <w:rFonts w:hAnsi="宋体" w:cs="宋体"/>
                <w:sz w:val="24"/>
                <w:szCs w:val="24"/>
              </w:rPr>
            </w:pPr>
          </w:p>
        </w:tc>
        <w:tc>
          <w:tcPr>
            <w:tcW w:w="1417" w:type="dxa"/>
          </w:tcPr>
          <w:p>
            <w:pPr>
              <w:pStyle w:val="15"/>
              <w:adjustRightInd w:val="0"/>
              <w:snapToGrid w:val="0"/>
              <w:spacing w:line="400" w:lineRule="exact"/>
              <w:rPr>
                <w:rFonts w:hAnsi="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276" w:type="dxa"/>
            <w:tcBorders>
              <w:bottom w:val="double" w:color="auto" w:sz="4" w:space="0"/>
            </w:tcBorders>
          </w:tcPr>
          <w:p>
            <w:pPr>
              <w:pStyle w:val="15"/>
              <w:adjustRightInd w:val="0"/>
              <w:snapToGrid w:val="0"/>
              <w:spacing w:line="400" w:lineRule="exact"/>
              <w:rPr>
                <w:rFonts w:hAnsi="宋体" w:cs="宋体"/>
                <w:sz w:val="24"/>
                <w:szCs w:val="24"/>
              </w:rPr>
            </w:pPr>
          </w:p>
        </w:tc>
        <w:tc>
          <w:tcPr>
            <w:tcW w:w="2977" w:type="dxa"/>
            <w:tcBorders>
              <w:bottom w:val="double" w:color="auto" w:sz="4" w:space="0"/>
            </w:tcBorders>
          </w:tcPr>
          <w:p>
            <w:pPr>
              <w:pStyle w:val="15"/>
              <w:adjustRightInd w:val="0"/>
              <w:snapToGrid w:val="0"/>
              <w:spacing w:line="400" w:lineRule="exact"/>
              <w:outlineLvl w:val="0"/>
              <w:rPr>
                <w:rFonts w:hAnsi="宋体" w:cs="宋体"/>
                <w:sz w:val="24"/>
                <w:szCs w:val="24"/>
              </w:rPr>
            </w:pPr>
          </w:p>
        </w:tc>
        <w:tc>
          <w:tcPr>
            <w:tcW w:w="2835" w:type="dxa"/>
            <w:tcBorders>
              <w:bottom w:val="double" w:color="auto" w:sz="4" w:space="0"/>
            </w:tcBorders>
          </w:tcPr>
          <w:p>
            <w:pPr>
              <w:pStyle w:val="15"/>
              <w:adjustRightInd w:val="0"/>
              <w:snapToGrid w:val="0"/>
              <w:spacing w:line="400" w:lineRule="exact"/>
              <w:outlineLvl w:val="0"/>
              <w:rPr>
                <w:rFonts w:hAnsi="宋体" w:cs="宋体"/>
                <w:sz w:val="24"/>
                <w:szCs w:val="24"/>
              </w:rPr>
            </w:pPr>
          </w:p>
        </w:tc>
        <w:tc>
          <w:tcPr>
            <w:tcW w:w="1417" w:type="dxa"/>
            <w:tcBorders>
              <w:bottom w:val="double" w:color="auto" w:sz="4" w:space="0"/>
            </w:tcBorders>
          </w:tcPr>
          <w:p>
            <w:pPr>
              <w:pStyle w:val="15"/>
              <w:adjustRightInd w:val="0"/>
              <w:snapToGrid w:val="0"/>
              <w:spacing w:line="400" w:lineRule="exact"/>
              <w:rPr>
                <w:rFonts w:hAnsi="宋体" w:cs="宋体"/>
                <w:sz w:val="24"/>
                <w:szCs w:val="24"/>
              </w:rPr>
            </w:pPr>
          </w:p>
        </w:tc>
      </w:tr>
    </w:tbl>
    <w:p>
      <w:pPr>
        <w:snapToGrid w:val="0"/>
        <w:spacing w:line="400" w:lineRule="exact"/>
        <w:ind w:left="540" w:hanging="540" w:hangingChars="225"/>
        <w:rPr>
          <w:rFonts w:ascii="宋体" w:hAnsi="宋体" w:cs="宋体"/>
        </w:rPr>
      </w:pPr>
    </w:p>
    <w:p>
      <w:pPr>
        <w:snapToGrid w:val="0"/>
        <w:spacing w:line="400" w:lineRule="exact"/>
        <w:ind w:firstLine="480" w:firstLineChars="200"/>
        <w:rPr>
          <w:rFonts w:ascii="宋体" w:hAnsi="宋体" w:cs="宋体"/>
        </w:rPr>
      </w:pPr>
      <w:r>
        <w:rPr>
          <w:rFonts w:hint="eastAsia" w:ascii="宋体" w:hAnsi="宋体" w:cs="宋体"/>
        </w:rPr>
        <w:t>注：1.投标人应对招标文件</w:t>
      </w:r>
      <w:r>
        <w:rPr>
          <w:rFonts w:hint="eastAsia" w:ascii="宋体" w:hAnsi="宋体" w:cs="宋体"/>
          <w:b/>
          <w:bCs/>
        </w:rPr>
        <w:t>第三章采购需求中的内容给予逐条响应，以投标产品和服务所能达到的内容予以填写</w:t>
      </w:r>
      <w:r>
        <w:rPr>
          <w:rFonts w:hint="eastAsia" w:ascii="宋体" w:hAnsi="宋体" w:cs="宋体"/>
        </w:rPr>
        <w:t>，而不应复印招标的技术要求作为响应内容，有具体参数的应填写具体参数。</w:t>
      </w:r>
    </w:p>
    <w:p>
      <w:pPr>
        <w:tabs>
          <w:tab w:val="left" w:pos="840"/>
          <w:tab w:val="left" w:pos="1080"/>
        </w:tabs>
        <w:snapToGrid w:val="0"/>
        <w:spacing w:line="400" w:lineRule="exact"/>
        <w:rPr>
          <w:rFonts w:ascii="宋体" w:hAnsi="宋体" w:cs="宋体"/>
        </w:rPr>
      </w:pPr>
      <w:r>
        <w:rPr>
          <w:rFonts w:hint="eastAsia" w:ascii="宋体" w:hAnsi="宋体" w:cs="宋体"/>
        </w:rPr>
        <w:tab/>
      </w:r>
      <w:r>
        <w:rPr>
          <w:rFonts w:hint="eastAsia" w:ascii="宋体" w:hAnsi="宋体" w:cs="宋体"/>
        </w:rPr>
        <w:t>2.除招标文件第三章 技术需求中的技术规格以外，投标人对于该章其它条款的响应，只须在本表上填写响应有偏离的条款。投标服务有超出招标要求的技术内容，也可在本表列明。</w:t>
      </w:r>
    </w:p>
    <w:p>
      <w:pPr>
        <w:tabs>
          <w:tab w:val="left" w:pos="1080"/>
        </w:tabs>
        <w:snapToGrid w:val="0"/>
        <w:spacing w:line="400" w:lineRule="exact"/>
        <w:ind w:firstLine="720" w:firstLineChars="300"/>
        <w:rPr>
          <w:rFonts w:ascii="宋体" w:hAnsi="宋体" w:cs="宋体"/>
        </w:rPr>
      </w:pPr>
      <w:r>
        <w:rPr>
          <w:rFonts w:hint="eastAsia" w:ascii="宋体" w:hAnsi="宋体" w:cs="宋体"/>
        </w:rPr>
        <w:t>3.投标人须提供详细的设备、材料清单。</w:t>
      </w:r>
    </w:p>
    <w:p>
      <w:pPr>
        <w:pStyle w:val="15"/>
        <w:adjustRightInd w:val="0"/>
        <w:snapToGrid w:val="0"/>
        <w:spacing w:line="400" w:lineRule="exact"/>
        <w:ind w:firstLine="240" w:firstLineChars="100"/>
        <w:rPr>
          <w:rFonts w:hAnsi="宋体" w:cs="宋体"/>
          <w:sz w:val="24"/>
          <w:szCs w:val="24"/>
        </w:rPr>
      </w:pPr>
      <w:r>
        <w:rPr>
          <w:rFonts w:hint="eastAsia" w:hAnsi="宋体" w:cs="宋体"/>
          <w:sz w:val="24"/>
          <w:szCs w:val="24"/>
        </w:rPr>
        <w:t>投标人名称：（单位公章）</w:t>
      </w:r>
    </w:p>
    <w:p>
      <w:pPr>
        <w:pStyle w:val="15"/>
        <w:adjustRightInd w:val="0"/>
        <w:snapToGrid w:val="0"/>
        <w:spacing w:line="400" w:lineRule="exact"/>
        <w:rPr>
          <w:rFonts w:hAnsi="宋体" w:cs="宋体"/>
          <w:sz w:val="24"/>
          <w:szCs w:val="24"/>
        </w:rPr>
      </w:pPr>
    </w:p>
    <w:p>
      <w:pPr>
        <w:pStyle w:val="15"/>
        <w:adjustRightInd w:val="0"/>
        <w:snapToGrid w:val="0"/>
        <w:spacing w:line="400" w:lineRule="exact"/>
        <w:ind w:firstLine="240" w:firstLineChars="100"/>
        <w:rPr>
          <w:rFonts w:hAnsi="宋体" w:cs="宋体"/>
          <w:sz w:val="24"/>
          <w:szCs w:val="24"/>
        </w:rPr>
      </w:pPr>
      <w:r>
        <w:rPr>
          <w:rFonts w:hint="eastAsia" w:hAnsi="宋体" w:cs="宋体"/>
          <w:sz w:val="24"/>
          <w:szCs w:val="24"/>
        </w:rPr>
        <w:t>法定代表人或授权代表：  （签字）</w:t>
      </w:r>
    </w:p>
    <w:p>
      <w:pPr>
        <w:pStyle w:val="15"/>
        <w:adjustRightInd w:val="0"/>
        <w:snapToGrid w:val="0"/>
        <w:spacing w:line="400" w:lineRule="exact"/>
        <w:rPr>
          <w:rFonts w:hAnsi="宋体" w:cs="宋体"/>
          <w:sz w:val="24"/>
          <w:szCs w:val="24"/>
        </w:rPr>
      </w:pPr>
    </w:p>
    <w:p>
      <w:pPr>
        <w:pStyle w:val="15"/>
        <w:adjustRightInd w:val="0"/>
        <w:snapToGrid w:val="0"/>
        <w:spacing w:line="400" w:lineRule="exact"/>
        <w:ind w:firstLine="240" w:firstLineChars="100"/>
        <w:rPr>
          <w:rFonts w:hAnsi="宋体" w:cs="宋体"/>
          <w:sz w:val="24"/>
          <w:szCs w:val="24"/>
        </w:rPr>
      </w:pPr>
      <w:r>
        <w:rPr>
          <w:rFonts w:hint="eastAsia" w:hAnsi="宋体" w:cs="宋体"/>
          <w:sz w:val="24"/>
          <w:szCs w:val="24"/>
        </w:rPr>
        <w:t xml:space="preserve">日期：      </w:t>
      </w:r>
    </w:p>
    <w:p>
      <w:pPr>
        <w:snapToGrid w:val="0"/>
        <w:spacing w:line="400" w:lineRule="exact"/>
        <w:ind w:firstLine="640" w:firstLineChars="200"/>
        <w:rPr>
          <w:rFonts w:ascii="宋体" w:hAnsi="宋体" w:cs="宋体"/>
        </w:rPr>
      </w:pPr>
      <w:r>
        <w:rPr>
          <w:rFonts w:hint="eastAsia" w:ascii="宋体" w:hAnsi="宋体" w:cs="宋体"/>
          <w:sz w:val="32"/>
        </w:rPr>
        <w:br w:type="page"/>
      </w:r>
    </w:p>
    <w:p>
      <w:pPr>
        <w:pStyle w:val="63"/>
        <w:adjustRightInd w:val="0"/>
        <w:snapToGrid w:val="0"/>
        <w:spacing w:line="400" w:lineRule="exact"/>
        <w:jc w:val="left"/>
        <w:rPr>
          <w:rFonts w:hAnsi="宋体" w:cs="宋体"/>
        </w:rPr>
      </w:pPr>
      <w:bookmarkStart w:id="345" w:name="_Toc18930"/>
      <w:bookmarkStart w:id="346" w:name="_Toc3196"/>
      <w:bookmarkStart w:id="347" w:name="_Toc26249"/>
      <w:bookmarkStart w:id="348" w:name="_Toc11150"/>
      <w:bookmarkStart w:id="349" w:name="_Toc86156803"/>
      <w:bookmarkStart w:id="350" w:name="_Toc477185319"/>
      <w:bookmarkStart w:id="351" w:name="_Toc11594"/>
      <w:bookmarkStart w:id="352" w:name="_Toc31832"/>
      <w:bookmarkStart w:id="353" w:name="_Toc9966"/>
      <w:bookmarkStart w:id="354" w:name="_Toc29864"/>
      <w:bookmarkStart w:id="355" w:name="_Toc95326706"/>
      <w:r>
        <w:rPr>
          <w:rFonts w:hint="eastAsia" w:hAnsi="宋体" w:cs="宋体"/>
        </w:rPr>
        <w:t>附件14：</w:t>
      </w:r>
      <w:bookmarkEnd w:id="345"/>
      <w:bookmarkEnd w:id="346"/>
      <w:bookmarkEnd w:id="347"/>
      <w:bookmarkEnd w:id="348"/>
      <w:bookmarkEnd w:id="349"/>
      <w:bookmarkEnd w:id="350"/>
      <w:bookmarkEnd w:id="351"/>
      <w:bookmarkEnd w:id="352"/>
      <w:bookmarkEnd w:id="353"/>
      <w:bookmarkEnd w:id="354"/>
      <w:bookmarkEnd w:id="355"/>
    </w:p>
    <w:p>
      <w:pPr>
        <w:snapToGrid w:val="0"/>
        <w:spacing w:line="400" w:lineRule="exact"/>
        <w:jc w:val="center"/>
        <w:rPr>
          <w:rFonts w:ascii="宋体" w:hAnsi="宋体" w:cs="宋体"/>
          <w:caps/>
          <w:sz w:val="32"/>
          <w:szCs w:val="32"/>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售后服务方案及承诺</w:t>
      </w:r>
    </w:p>
    <w:p>
      <w:pPr>
        <w:pStyle w:val="63"/>
        <w:adjustRightInd w:val="0"/>
        <w:snapToGrid w:val="0"/>
        <w:spacing w:line="400" w:lineRule="exact"/>
        <w:jc w:val="left"/>
        <w:rPr>
          <w:rFonts w:hAnsi="宋体" w:cs="宋体"/>
        </w:rPr>
      </w:pPr>
      <w:r>
        <w:rPr>
          <w:rFonts w:hint="eastAsia" w:hAnsi="宋体" w:cs="宋体"/>
          <w:sz w:val="32"/>
          <w:szCs w:val="32"/>
        </w:rPr>
        <w:br w:type="page"/>
      </w:r>
      <w:bookmarkStart w:id="356" w:name="_Toc17176"/>
      <w:bookmarkStart w:id="357" w:name="_Toc86156804"/>
      <w:bookmarkStart w:id="358" w:name="_Toc477185320"/>
      <w:bookmarkStart w:id="359" w:name="_Toc17256"/>
      <w:bookmarkStart w:id="360" w:name="_Toc5705"/>
      <w:bookmarkStart w:id="361" w:name="_Toc12607"/>
      <w:bookmarkStart w:id="362" w:name="_Toc95326707"/>
      <w:bookmarkStart w:id="363" w:name="_Toc5275"/>
      <w:bookmarkStart w:id="364" w:name="_Toc7912"/>
      <w:bookmarkStart w:id="365" w:name="_Toc32371"/>
      <w:bookmarkStart w:id="366" w:name="_Toc13236"/>
      <w:r>
        <w:rPr>
          <w:rFonts w:hint="eastAsia" w:hAnsi="宋体" w:cs="宋体"/>
        </w:rPr>
        <w:t>附件15：</w:t>
      </w:r>
      <w:bookmarkEnd w:id="356"/>
      <w:bookmarkEnd w:id="357"/>
      <w:bookmarkEnd w:id="358"/>
      <w:bookmarkEnd w:id="359"/>
      <w:bookmarkEnd w:id="360"/>
      <w:bookmarkEnd w:id="361"/>
      <w:bookmarkEnd w:id="362"/>
      <w:bookmarkEnd w:id="363"/>
      <w:bookmarkEnd w:id="364"/>
      <w:bookmarkEnd w:id="365"/>
      <w:bookmarkEnd w:id="366"/>
    </w:p>
    <w:p>
      <w:pPr>
        <w:snapToGrid w:val="0"/>
        <w:spacing w:line="400" w:lineRule="exact"/>
        <w:jc w:val="center"/>
        <w:rPr>
          <w:rFonts w:ascii="宋体" w:hAnsi="宋体" w:cs="宋体"/>
          <w:caps/>
          <w:sz w:val="32"/>
          <w:szCs w:val="32"/>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投标人自行编写的技术文件</w:t>
      </w:r>
    </w:p>
    <w:p>
      <w:pPr>
        <w:snapToGrid w:val="0"/>
        <w:spacing w:line="400" w:lineRule="exact"/>
        <w:jc w:val="center"/>
        <w:rPr>
          <w:rFonts w:ascii="宋体" w:hAnsi="宋体" w:cs="宋体"/>
          <w:sz w:val="28"/>
          <w:szCs w:val="28"/>
        </w:rPr>
      </w:pPr>
    </w:p>
    <w:p>
      <w:pPr>
        <w:snapToGrid w:val="0"/>
        <w:spacing w:line="400" w:lineRule="exact"/>
        <w:jc w:val="center"/>
        <w:rPr>
          <w:rFonts w:ascii="宋体" w:hAnsi="宋体" w:cs="宋体"/>
          <w:sz w:val="32"/>
          <w:szCs w:val="32"/>
        </w:rPr>
      </w:pPr>
    </w:p>
    <w:p>
      <w:pPr>
        <w:pStyle w:val="63"/>
        <w:adjustRightInd w:val="0"/>
        <w:snapToGrid w:val="0"/>
        <w:spacing w:line="400" w:lineRule="exact"/>
        <w:jc w:val="left"/>
        <w:rPr>
          <w:rFonts w:hAnsi="宋体" w:cs="宋体"/>
        </w:rPr>
      </w:pPr>
      <w:r>
        <w:rPr>
          <w:rFonts w:hint="eastAsia" w:hAnsi="宋体" w:cs="宋体"/>
        </w:rPr>
        <w:br w:type="page"/>
      </w:r>
      <w:bookmarkStart w:id="367" w:name="_Toc22628"/>
      <w:bookmarkStart w:id="368" w:name="_Toc86156805"/>
      <w:bookmarkStart w:id="369" w:name="_Toc17938"/>
      <w:bookmarkStart w:id="370" w:name="_Toc21715"/>
      <w:bookmarkStart w:id="371" w:name="_Toc477185321"/>
      <w:bookmarkStart w:id="372" w:name="_Toc28210"/>
      <w:bookmarkStart w:id="373" w:name="_Toc95326708"/>
      <w:bookmarkStart w:id="374" w:name="_Toc21876"/>
      <w:bookmarkStart w:id="375" w:name="_Toc12560"/>
      <w:bookmarkStart w:id="376" w:name="_Toc23538"/>
      <w:bookmarkStart w:id="377" w:name="_Toc1933"/>
      <w:r>
        <w:rPr>
          <w:rFonts w:hint="eastAsia" w:hAnsi="宋体" w:cs="宋体"/>
        </w:rPr>
        <w:t>附件16：</w:t>
      </w:r>
      <w:bookmarkEnd w:id="367"/>
      <w:bookmarkEnd w:id="368"/>
      <w:bookmarkEnd w:id="369"/>
      <w:bookmarkEnd w:id="370"/>
      <w:bookmarkEnd w:id="371"/>
      <w:bookmarkEnd w:id="372"/>
      <w:bookmarkEnd w:id="373"/>
      <w:bookmarkEnd w:id="374"/>
      <w:bookmarkEnd w:id="375"/>
      <w:bookmarkEnd w:id="376"/>
      <w:bookmarkEnd w:id="377"/>
    </w:p>
    <w:p>
      <w:pPr>
        <w:pStyle w:val="40"/>
        <w:snapToGrid w:val="0"/>
        <w:spacing w:line="400" w:lineRule="exact"/>
        <w:ind w:firstLine="0" w:firstLineChars="0"/>
        <w:jc w:val="center"/>
        <w:rPr>
          <w:rFonts w:ascii="宋体" w:hAnsi="宋体" w:cs="宋体"/>
          <w:caps/>
          <w:sz w:val="32"/>
          <w:szCs w:val="32"/>
        </w:rPr>
      </w:pPr>
    </w:p>
    <w:p>
      <w:pPr>
        <w:snapToGrid w:val="0"/>
        <w:spacing w:line="400" w:lineRule="exact"/>
        <w:jc w:val="center"/>
        <w:rPr>
          <w:rFonts w:ascii="宋体" w:hAnsi="宋体" w:cs="宋体"/>
          <w:caps/>
          <w:sz w:val="36"/>
          <w:szCs w:val="36"/>
        </w:rPr>
      </w:pPr>
      <w:r>
        <w:rPr>
          <w:rFonts w:hint="eastAsia" w:ascii="宋体" w:hAnsi="宋体" w:cs="宋体"/>
          <w:caps/>
          <w:sz w:val="36"/>
          <w:szCs w:val="36"/>
        </w:rPr>
        <w:t>招标文件中要求提供的其他文件</w:t>
      </w:r>
    </w:p>
    <w:p>
      <w:pPr>
        <w:rPr>
          <w:rFonts w:ascii="宋体" w:hAnsi="宋体" w:cs="宋体"/>
        </w:rPr>
      </w:pPr>
      <w:r>
        <w:rPr>
          <w:rFonts w:hint="eastAsia" w:ascii="宋体" w:hAnsi="宋体" w:cs="宋体"/>
        </w:rPr>
        <w:br w:type="page"/>
      </w:r>
    </w:p>
    <w:p>
      <w:pPr>
        <w:pStyle w:val="3"/>
        <w:jc w:val="left"/>
        <w:rPr>
          <w:rFonts w:ascii="宋体" w:hAnsi="宋体" w:eastAsia="宋体" w:cs="宋体"/>
          <w:b/>
          <w:kern w:val="0"/>
          <w:sz w:val="24"/>
        </w:rPr>
      </w:pPr>
      <w:bookmarkStart w:id="378" w:name="_Toc515627536"/>
      <w:bookmarkStart w:id="379" w:name="_Toc32477"/>
      <w:bookmarkStart w:id="380" w:name="_Toc25443"/>
      <w:bookmarkStart w:id="381" w:name="_Toc95326709"/>
      <w:bookmarkStart w:id="382" w:name="_Toc28205"/>
      <w:bookmarkStart w:id="383" w:name="_Toc471914770"/>
      <w:r>
        <w:rPr>
          <w:rFonts w:hint="eastAsia" w:ascii="宋体" w:hAnsi="宋体" w:eastAsia="宋体" w:cs="宋体"/>
          <w:b/>
          <w:kern w:val="0"/>
          <w:sz w:val="24"/>
        </w:rPr>
        <w:t>附件17   投标文件</w:t>
      </w:r>
      <w:bookmarkStart w:id="384" w:name="_Toc415652114"/>
      <w:r>
        <w:rPr>
          <w:rFonts w:hint="eastAsia" w:ascii="宋体" w:hAnsi="宋体" w:eastAsia="宋体" w:cs="宋体"/>
          <w:b/>
          <w:kern w:val="0"/>
          <w:sz w:val="24"/>
        </w:rPr>
        <w:t>封面和背脊的格式</w:t>
      </w:r>
      <w:bookmarkEnd w:id="378"/>
      <w:bookmarkEnd w:id="379"/>
      <w:bookmarkEnd w:id="380"/>
      <w:bookmarkEnd w:id="381"/>
      <w:bookmarkEnd w:id="382"/>
      <w:bookmarkEnd w:id="384"/>
    </w:p>
    <w:bookmarkEnd w:id="383"/>
    <w:p>
      <w:pPr>
        <w:pStyle w:val="25"/>
        <w:ind w:left="480"/>
        <w:rPr>
          <w:rFonts w:ascii="宋体" w:hAnsi="宋体" w:cs="宋体"/>
        </w:rPr>
      </w:pPr>
    </w:p>
    <w:tbl>
      <w:tblPr>
        <w:tblStyle w:val="26"/>
        <w:tblW w:w="10173" w:type="dxa"/>
        <w:tblInd w:w="0" w:type="dxa"/>
        <w:tblLayout w:type="fixed"/>
        <w:tblCellMar>
          <w:top w:w="0" w:type="dxa"/>
          <w:left w:w="108" w:type="dxa"/>
          <w:bottom w:w="0" w:type="dxa"/>
          <w:right w:w="108" w:type="dxa"/>
        </w:tblCellMar>
      </w:tblPr>
      <w:tblGrid>
        <w:gridCol w:w="10173"/>
      </w:tblGrid>
      <w:tr>
        <w:tblPrEx>
          <w:tblCellMar>
            <w:top w:w="0" w:type="dxa"/>
            <w:left w:w="108" w:type="dxa"/>
            <w:bottom w:w="0" w:type="dxa"/>
            <w:right w:w="108" w:type="dxa"/>
          </w:tblCellMar>
        </w:tblPrEx>
        <w:trPr>
          <w:trHeight w:val="459" w:hRule="atLeast"/>
        </w:trPr>
        <w:tc>
          <w:tcPr>
            <w:tcW w:w="10173" w:type="dxa"/>
            <w:vAlign w:val="center"/>
          </w:tcPr>
          <w:p>
            <w:pPr>
              <w:rPr>
                <w:rFonts w:ascii="宋体" w:hAnsi="宋体" w:cs="宋体"/>
                <w:sz w:val="28"/>
                <w:szCs w:val="28"/>
              </w:rPr>
            </w:pPr>
            <w:r>
              <w:rPr>
                <w:rFonts w:hint="eastAsia" w:ascii="宋体" w:hAnsi="宋体" w:cs="宋体"/>
              </w:rPr>
              <w:t>（</w:t>
            </w:r>
            <w:r>
              <w:rPr>
                <w:rFonts w:hint="eastAsia" w:ascii="宋体" w:hAnsi="宋体" w:cs="宋体"/>
                <w:sz w:val="28"/>
                <w:szCs w:val="28"/>
              </w:rPr>
              <w:t>投标文件封面要求：封面为A4纸，示例如下）</w:t>
            </w:r>
          </w:p>
          <w:p>
            <w:pPr>
              <w:rPr>
                <w:rFonts w:ascii="宋体" w:hAnsi="宋体" w:cs="宋体"/>
                <w:sz w:val="28"/>
                <w:szCs w:val="28"/>
                <w:lang w:val="en-GB"/>
              </w:rPr>
            </w:pPr>
            <w:r>
              <w:rPr>
                <w:rFonts w:hint="eastAsia" w:ascii="宋体" w:hAnsi="宋体" w:cs="宋体"/>
                <w:sz w:val="28"/>
                <w:szCs w:val="28"/>
                <w:lang w:val="en-GB"/>
              </w:rPr>
              <w:t>招标项目名称：</w:t>
            </w:r>
          </w:p>
          <w:p>
            <w:pPr>
              <w:rPr>
                <w:rFonts w:ascii="宋体" w:hAnsi="宋体" w:cs="宋体"/>
                <w:sz w:val="28"/>
                <w:szCs w:val="28"/>
                <w:lang w:val="en-GB"/>
              </w:rPr>
            </w:pPr>
            <w:r>
              <w:rPr>
                <w:rFonts w:hint="eastAsia" w:ascii="宋体" w:hAnsi="宋体" w:cs="宋体"/>
                <w:sz w:val="28"/>
                <w:szCs w:val="28"/>
                <w:lang w:val="en-GB"/>
              </w:rPr>
              <w:t>采购代理机构：</w:t>
            </w:r>
          </w:p>
          <w:p>
            <w:pPr>
              <w:rPr>
                <w:rFonts w:ascii="宋体" w:hAnsi="宋体" w:cs="宋体"/>
                <w:sz w:val="28"/>
                <w:szCs w:val="28"/>
                <w:lang w:val="en-GB"/>
              </w:rPr>
            </w:pPr>
            <w:r>
              <w:rPr>
                <w:rFonts w:hint="eastAsia" w:ascii="宋体" w:hAnsi="宋体" w:cs="宋体"/>
                <w:sz w:val="28"/>
                <w:szCs w:val="28"/>
                <w:lang w:val="en-GB"/>
              </w:rPr>
              <w:t>招标编号：</w:t>
            </w:r>
          </w:p>
          <w:p>
            <w:pPr>
              <w:rPr>
                <w:rFonts w:ascii="宋体" w:hAnsi="宋体" w:cs="宋体"/>
                <w:sz w:val="28"/>
                <w:szCs w:val="28"/>
                <w:lang w:val="en-GB"/>
              </w:rPr>
            </w:pPr>
            <w:r>
              <w:rPr>
                <w:rFonts w:hint="eastAsia" w:ascii="宋体" w:hAnsi="宋体" w:cs="宋体"/>
                <w:sz w:val="28"/>
                <w:szCs w:val="28"/>
                <w:lang w:val="en-GB"/>
              </w:rPr>
              <w:t>分包名称：</w:t>
            </w:r>
          </w:p>
          <w:p>
            <w:pPr>
              <w:rPr>
                <w:rFonts w:ascii="宋体" w:hAnsi="宋体" w:cs="宋体"/>
                <w:sz w:val="28"/>
                <w:szCs w:val="28"/>
                <w:lang w:val="en-GB"/>
              </w:rPr>
            </w:pPr>
            <w:r>
              <w:rPr>
                <w:rFonts w:hint="eastAsia" w:ascii="宋体" w:hAnsi="宋体" w:cs="宋体"/>
                <w:sz w:val="28"/>
                <w:szCs w:val="28"/>
                <w:lang w:val="en-GB"/>
              </w:rPr>
              <w:t>分包号：</w:t>
            </w:r>
          </w:p>
          <w:p>
            <w:pPr>
              <w:rPr>
                <w:rFonts w:ascii="宋体" w:hAnsi="宋体" w:cs="宋体"/>
                <w:lang w:val="en-GB"/>
              </w:rPr>
            </w:pPr>
          </w:p>
        </w:tc>
      </w:tr>
    </w:tbl>
    <w:p>
      <w:pPr>
        <w:jc w:val="center"/>
        <w:rPr>
          <w:rFonts w:ascii="宋体" w:hAnsi="宋体" w:cs="宋体"/>
          <w:sz w:val="112"/>
          <w:szCs w:val="112"/>
        </w:rPr>
      </w:pPr>
      <w:r>
        <w:rPr>
          <w:rFonts w:hint="eastAsia" w:ascii="宋体" w:hAnsi="宋体" w:cs="宋体"/>
          <w:sz w:val="112"/>
          <w:szCs w:val="112"/>
        </w:rPr>
        <w:t>投标文件</w:t>
      </w:r>
    </w:p>
    <w:p>
      <w:pPr>
        <w:jc w:val="center"/>
        <w:rPr>
          <w:rFonts w:ascii="宋体" w:hAnsi="宋体" w:cs="宋体"/>
          <w:b/>
        </w:rPr>
      </w:pPr>
    </w:p>
    <w:p>
      <w:pPr>
        <w:jc w:val="center"/>
        <w:rPr>
          <w:rFonts w:ascii="宋体" w:hAnsi="宋体" w:cs="宋体"/>
          <w:b/>
        </w:rPr>
      </w:pPr>
    </w:p>
    <w:p>
      <w:pPr>
        <w:jc w:val="center"/>
        <w:rPr>
          <w:rFonts w:ascii="宋体" w:hAnsi="宋体" w:cs="宋体"/>
          <w:sz w:val="72"/>
          <w:szCs w:val="72"/>
        </w:rPr>
      </w:pPr>
      <w:r>
        <w:rPr>
          <w:rFonts w:hint="eastAsia" w:ascii="宋体" w:hAnsi="宋体" w:cs="宋体"/>
          <w:sz w:val="72"/>
          <w:szCs w:val="72"/>
        </w:rPr>
        <w:t>正本（或副本）</w:t>
      </w:r>
    </w:p>
    <w:p>
      <w:pPr>
        <w:jc w:val="center"/>
        <w:rPr>
          <w:rFonts w:ascii="宋体" w:hAnsi="宋体" w:cs="宋体"/>
          <w:b/>
        </w:rPr>
      </w:pPr>
    </w:p>
    <w:p>
      <w:pPr>
        <w:jc w:val="center"/>
        <w:rPr>
          <w:rFonts w:ascii="宋体" w:hAnsi="宋体" w:cs="宋体"/>
          <w:b/>
        </w:rPr>
      </w:pPr>
    </w:p>
    <w:p>
      <w:pPr>
        <w:jc w:val="center"/>
        <w:rPr>
          <w:rFonts w:ascii="宋体" w:hAnsi="宋体" w:cs="宋体"/>
          <w:sz w:val="11"/>
          <w:szCs w:val="11"/>
        </w:rPr>
      </w:pPr>
    </w:p>
    <w:tbl>
      <w:tblPr>
        <w:tblStyle w:val="26"/>
        <w:tblW w:w="9180" w:type="dxa"/>
        <w:jc w:val="center"/>
        <w:tblLayout w:type="fixed"/>
        <w:tblCellMar>
          <w:top w:w="0" w:type="dxa"/>
          <w:left w:w="108" w:type="dxa"/>
          <w:bottom w:w="0" w:type="dxa"/>
          <w:right w:w="108" w:type="dxa"/>
        </w:tblCellMar>
      </w:tblPr>
      <w:tblGrid>
        <w:gridCol w:w="9180"/>
      </w:tblGrid>
      <w:tr>
        <w:tblPrEx>
          <w:tblCellMar>
            <w:top w:w="0" w:type="dxa"/>
            <w:left w:w="108" w:type="dxa"/>
            <w:bottom w:w="0" w:type="dxa"/>
            <w:right w:w="108" w:type="dxa"/>
          </w:tblCellMar>
        </w:tblPrEx>
        <w:trPr>
          <w:trHeight w:val="567" w:hRule="exact"/>
          <w:jc w:val="center"/>
        </w:trPr>
        <w:tc>
          <w:tcPr>
            <w:tcW w:w="9180" w:type="dxa"/>
          </w:tcPr>
          <w:p>
            <w:pPr>
              <w:ind w:hanging="2"/>
              <w:rPr>
                <w:rFonts w:ascii="宋体" w:hAnsi="宋体" w:cs="宋体"/>
                <w:sz w:val="28"/>
                <w:szCs w:val="28"/>
              </w:rPr>
            </w:pPr>
            <w:r>
              <w:rPr>
                <w:rFonts w:hint="eastAsia" w:ascii="宋体" w:hAnsi="宋体" w:cs="宋体"/>
                <w:sz w:val="28"/>
                <w:szCs w:val="28"/>
              </w:rPr>
              <w:t>投标人名称：</w:t>
            </w:r>
          </w:p>
        </w:tc>
      </w:tr>
      <w:tr>
        <w:tblPrEx>
          <w:tblCellMar>
            <w:top w:w="0" w:type="dxa"/>
            <w:left w:w="108" w:type="dxa"/>
            <w:bottom w:w="0" w:type="dxa"/>
            <w:right w:w="108" w:type="dxa"/>
          </w:tblCellMar>
        </w:tblPrEx>
        <w:trPr>
          <w:trHeight w:val="567" w:hRule="exact"/>
          <w:jc w:val="center"/>
        </w:trPr>
        <w:tc>
          <w:tcPr>
            <w:tcW w:w="9180" w:type="dxa"/>
          </w:tcPr>
          <w:p>
            <w:pPr>
              <w:ind w:hanging="2"/>
              <w:rPr>
                <w:rFonts w:ascii="宋体" w:hAnsi="宋体" w:cs="宋体"/>
                <w:sz w:val="28"/>
                <w:szCs w:val="28"/>
              </w:rPr>
            </w:pPr>
            <w:r>
              <w:rPr>
                <w:rFonts w:hint="eastAsia" w:ascii="宋体" w:hAnsi="宋体" w:cs="宋体"/>
                <w:sz w:val="28"/>
                <w:szCs w:val="28"/>
              </w:rPr>
              <w:t>投标人地址：</w:t>
            </w:r>
          </w:p>
        </w:tc>
      </w:tr>
      <w:tr>
        <w:tblPrEx>
          <w:tblCellMar>
            <w:top w:w="0" w:type="dxa"/>
            <w:left w:w="108" w:type="dxa"/>
            <w:bottom w:w="0" w:type="dxa"/>
            <w:right w:w="108" w:type="dxa"/>
          </w:tblCellMar>
        </w:tblPrEx>
        <w:trPr>
          <w:trHeight w:val="567" w:hRule="exact"/>
          <w:jc w:val="center"/>
        </w:trPr>
        <w:tc>
          <w:tcPr>
            <w:tcW w:w="9180" w:type="dxa"/>
          </w:tcPr>
          <w:p>
            <w:pPr>
              <w:ind w:hanging="2"/>
              <w:rPr>
                <w:rFonts w:ascii="宋体" w:hAnsi="宋体" w:cs="宋体"/>
                <w:sz w:val="28"/>
                <w:szCs w:val="28"/>
              </w:rPr>
            </w:pPr>
            <w:r>
              <w:rPr>
                <w:rFonts w:hint="eastAsia" w:ascii="宋体" w:hAnsi="宋体" w:cs="宋体"/>
                <w:sz w:val="28"/>
                <w:szCs w:val="28"/>
              </w:rPr>
              <w:t>投标人电话：</w:t>
            </w:r>
          </w:p>
        </w:tc>
      </w:tr>
      <w:tr>
        <w:tblPrEx>
          <w:tblCellMar>
            <w:top w:w="0" w:type="dxa"/>
            <w:left w:w="108" w:type="dxa"/>
            <w:bottom w:w="0" w:type="dxa"/>
            <w:right w:w="108" w:type="dxa"/>
          </w:tblCellMar>
        </w:tblPrEx>
        <w:trPr>
          <w:trHeight w:val="567" w:hRule="exact"/>
          <w:jc w:val="center"/>
        </w:trPr>
        <w:tc>
          <w:tcPr>
            <w:tcW w:w="9180" w:type="dxa"/>
          </w:tcPr>
          <w:p>
            <w:pPr>
              <w:ind w:hanging="2"/>
              <w:rPr>
                <w:rFonts w:ascii="宋体" w:hAnsi="宋体" w:cs="宋体"/>
                <w:sz w:val="28"/>
                <w:szCs w:val="28"/>
              </w:rPr>
            </w:pPr>
            <w:r>
              <w:rPr>
                <w:rFonts w:hint="eastAsia" w:ascii="宋体" w:hAnsi="宋体" w:cs="宋体"/>
                <w:sz w:val="28"/>
                <w:szCs w:val="28"/>
              </w:rPr>
              <w:t>投标人传真：</w:t>
            </w:r>
          </w:p>
        </w:tc>
      </w:tr>
      <w:tr>
        <w:tblPrEx>
          <w:tblCellMar>
            <w:top w:w="0" w:type="dxa"/>
            <w:left w:w="108" w:type="dxa"/>
            <w:bottom w:w="0" w:type="dxa"/>
            <w:right w:w="108" w:type="dxa"/>
          </w:tblCellMar>
        </w:tblPrEx>
        <w:trPr>
          <w:trHeight w:val="567" w:hRule="exact"/>
          <w:jc w:val="center"/>
        </w:trPr>
        <w:tc>
          <w:tcPr>
            <w:tcW w:w="9180" w:type="dxa"/>
          </w:tcPr>
          <w:p>
            <w:pPr>
              <w:ind w:hanging="2"/>
              <w:rPr>
                <w:rFonts w:ascii="宋体" w:hAnsi="宋体" w:cs="宋体"/>
                <w:sz w:val="28"/>
                <w:szCs w:val="28"/>
              </w:rPr>
            </w:pPr>
            <w:r>
              <w:rPr>
                <w:rFonts w:hint="eastAsia" w:ascii="宋体" w:hAnsi="宋体" w:cs="宋体"/>
                <w:sz w:val="28"/>
                <w:szCs w:val="28"/>
              </w:rPr>
              <w:t>投标人邮箱：</w:t>
            </w:r>
          </w:p>
        </w:tc>
      </w:tr>
      <w:tr>
        <w:tblPrEx>
          <w:tblCellMar>
            <w:top w:w="0" w:type="dxa"/>
            <w:left w:w="108" w:type="dxa"/>
            <w:bottom w:w="0" w:type="dxa"/>
            <w:right w:w="108" w:type="dxa"/>
          </w:tblCellMar>
        </w:tblPrEx>
        <w:trPr>
          <w:trHeight w:val="567" w:hRule="exact"/>
          <w:jc w:val="center"/>
        </w:trPr>
        <w:tc>
          <w:tcPr>
            <w:tcW w:w="9180" w:type="dxa"/>
          </w:tcPr>
          <w:p>
            <w:pPr>
              <w:ind w:hanging="2"/>
              <w:rPr>
                <w:rFonts w:ascii="宋体" w:hAnsi="宋体" w:cs="宋体"/>
                <w:sz w:val="28"/>
                <w:szCs w:val="28"/>
              </w:rPr>
            </w:pPr>
            <w:r>
              <w:rPr>
                <w:rFonts w:hint="eastAsia" w:ascii="宋体" w:hAnsi="宋体" w:cs="宋体"/>
                <w:spacing w:val="2"/>
                <w:sz w:val="28"/>
                <w:szCs w:val="28"/>
              </w:rPr>
              <w:t>提交投标文件日期：</w:t>
            </w:r>
          </w:p>
        </w:tc>
      </w:tr>
    </w:tbl>
    <w:p>
      <w:pPr>
        <w:ind w:left="1"/>
        <w:rPr>
          <w:rFonts w:ascii="宋体" w:hAnsi="宋体" w:cs="宋体"/>
          <w:szCs w:val="21"/>
        </w:rPr>
      </w:pPr>
    </w:p>
    <w:p>
      <w:pPr>
        <w:ind w:left="1"/>
        <w:rPr>
          <w:rFonts w:ascii="宋体" w:hAnsi="宋体" w:cs="宋体"/>
          <w:szCs w:val="21"/>
        </w:rPr>
      </w:pPr>
    </w:p>
    <w:p>
      <w:pPr>
        <w:ind w:left="1"/>
        <w:rPr>
          <w:rFonts w:ascii="宋体" w:hAnsi="宋体" w:cs="宋体"/>
          <w:szCs w:val="21"/>
        </w:rPr>
      </w:pPr>
    </w:p>
    <w:p>
      <w:pPr>
        <w:ind w:left="1"/>
        <w:rPr>
          <w:rFonts w:ascii="宋体" w:hAnsi="宋体" w:cs="宋体"/>
          <w:szCs w:val="21"/>
        </w:rPr>
      </w:pPr>
    </w:p>
    <w:p>
      <w:pPr>
        <w:ind w:left="1"/>
        <w:rPr>
          <w:rFonts w:ascii="宋体" w:hAnsi="宋体" w:cs="宋体"/>
          <w:szCs w:val="21"/>
        </w:rPr>
      </w:pPr>
    </w:p>
    <w:p>
      <w:pPr>
        <w:ind w:left="1"/>
        <w:rPr>
          <w:rFonts w:ascii="宋体" w:hAnsi="宋体" w:cs="宋体"/>
          <w:szCs w:val="21"/>
        </w:rPr>
      </w:pPr>
    </w:p>
    <w:p>
      <w:pPr>
        <w:ind w:left="1"/>
        <w:rPr>
          <w:rFonts w:ascii="宋体" w:hAnsi="宋体" w:cs="宋体"/>
          <w:szCs w:val="21"/>
        </w:rPr>
      </w:pPr>
    </w:p>
    <w:p>
      <w:pPr>
        <w:ind w:left="1"/>
        <w:rPr>
          <w:rFonts w:ascii="宋体" w:hAnsi="宋体" w:cs="宋体"/>
          <w:b/>
          <w:sz w:val="28"/>
          <w:szCs w:val="28"/>
        </w:rPr>
      </w:pPr>
      <w:r>
        <w:rPr>
          <w:rFonts w:hint="eastAsia" w:ascii="宋体" w:hAnsi="宋体" w:cs="宋体"/>
          <w:szCs w:val="21"/>
        </w:rPr>
        <w:t>（</w:t>
      </w:r>
      <w:r>
        <w:rPr>
          <w:rFonts w:hint="eastAsia" w:ascii="宋体" w:hAnsi="宋体" w:cs="宋体"/>
          <w:sz w:val="28"/>
          <w:szCs w:val="28"/>
        </w:rPr>
        <w:t>投标文件封书脊，示例如下）</w:t>
      </w:r>
    </w:p>
    <w:p>
      <w:pPr>
        <w:ind w:left="1140"/>
        <w:rPr>
          <w:rFonts w:ascii="宋体" w:hAnsi="宋体" w:cs="宋体"/>
          <w:sz w:val="28"/>
          <w:szCs w:val="28"/>
        </w:rPr>
      </w:pPr>
    </w:p>
    <w:tbl>
      <w:tblPr>
        <w:tblStyle w:val="26"/>
        <w:tblW w:w="900" w:type="dxa"/>
        <w:tblInd w:w="28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5" w:hRule="atLeast"/>
        </w:trPr>
        <w:tc>
          <w:tcPr>
            <w:tcW w:w="900" w:type="dxa"/>
          </w:tcPr>
          <w:p>
            <w:pPr>
              <w:jc w:val="center"/>
              <w:rPr>
                <w:rFonts w:ascii="宋体" w:hAnsi="宋体" w:cs="宋体"/>
                <w:sz w:val="28"/>
                <w:szCs w:val="28"/>
              </w:rPr>
            </w:pPr>
            <w:r>
              <w:rPr>
                <w:rFonts w:hint="eastAsia" w:ascii="宋体" w:hAnsi="宋体" w:cs="宋体"/>
                <w:sz w:val="28"/>
                <w:szCs w:val="28"/>
              </w:rPr>
              <w:t>投</w:t>
            </w:r>
          </w:p>
          <w:p>
            <w:pPr>
              <w:jc w:val="center"/>
              <w:rPr>
                <w:rFonts w:ascii="宋体" w:hAnsi="宋体" w:cs="宋体"/>
                <w:sz w:val="28"/>
                <w:szCs w:val="28"/>
              </w:rPr>
            </w:pPr>
            <w:r>
              <w:rPr>
                <w:rFonts w:hint="eastAsia" w:ascii="宋体" w:hAnsi="宋体" w:cs="宋体"/>
                <w:sz w:val="28"/>
                <w:szCs w:val="28"/>
              </w:rPr>
              <w:t>标</w:t>
            </w:r>
          </w:p>
          <w:p>
            <w:pPr>
              <w:jc w:val="center"/>
              <w:rPr>
                <w:rFonts w:ascii="宋体" w:hAnsi="宋体" w:cs="宋体"/>
                <w:sz w:val="28"/>
                <w:szCs w:val="28"/>
              </w:rPr>
            </w:pPr>
            <w:r>
              <w:rPr>
                <w:rFonts w:hint="eastAsia" w:ascii="宋体" w:hAnsi="宋体" w:cs="宋体"/>
                <w:sz w:val="28"/>
                <w:szCs w:val="28"/>
              </w:rPr>
              <w:t>人</w:t>
            </w:r>
          </w:p>
          <w:p>
            <w:pPr>
              <w:jc w:val="center"/>
              <w:rPr>
                <w:rFonts w:ascii="宋体" w:hAnsi="宋体" w:cs="宋体"/>
                <w:sz w:val="28"/>
                <w:szCs w:val="28"/>
              </w:rPr>
            </w:pPr>
            <w:r>
              <w:rPr>
                <w:rFonts w:hint="eastAsia" w:ascii="宋体" w:hAnsi="宋体" w:cs="宋体"/>
                <w:sz w:val="28"/>
                <w:szCs w:val="28"/>
              </w:rPr>
              <w:t>单</w:t>
            </w:r>
          </w:p>
          <w:p>
            <w:pPr>
              <w:jc w:val="center"/>
              <w:rPr>
                <w:rFonts w:ascii="宋体" w:hAnsi="宋体" w:cs="宋体"/>
                <w:sz w:val="28"/>
                <w:szCs w:val="28"/>
              </w:rPr>
            </w:pPr>
            <w:r>
              <w:rPr>
                <w:rFonts w:hint="eastAsia" w:ascii="宋体" w:hAnsi="宋体" w:cs="宋体"/>
                <w:sz w:val="28"/>
                <w:szCs w:val="28"/>
              </w:rPr>
              <w:t>位</w:t>
            </w:r>
          </w:p>
          <w:p>
            <w:pPr>
              <w:jc w:val="center"/>
              <w:rPr>
                <w:rFonts w:ascii="宋体" w:hAnsi="宋体" w:cs="宋体"/>
                <w:sz w:val="28"/>
                <w:szCs w:val="28"/>
              </w:rPr>
            </w:pPr>
            <w:r>
              <w:rPr>
                <w:rFonts w:hint="eastAsia" w:ascii="宋体" w:hAnsi="宋体" w:cs="宋体"/>
                <w:sz w:val="28"/>
                <w:szCs w:val="28"/>
              </w:rPr>
              <w:t>名</w:t>
            </w:r>
          </w:p>
          <w:p>
            <w:pPr>
              <w:jc w:val="center"/>
              <w:rPr>
                <w:rFonts w:ascii="宋体" w:hAnsi="宋体" w:cs="宋体"/>
                <w:sz w:val="28"/>
                <w:szCs w:val="28"/>
              </w:rPr>
            </w:pPr>
            <w:r>
              <w:rPr>
                <w:rFonts w:hint="eastAsia" w:ascii="宋体" w:hAnsi="宋体" w:cs="宋体"/>
                <w:sz w:val="28"/>
                <w:szCs w:val="28"/>
              </w:rPr>
              <w:t>称</w:t>
            </w:r>
          </w:p>
          <w:p>
            <w:pPr>
              <w:jc w:val="center"/>
              <w:rPr>
                <w:rFonts w:ascii="宋体" w:hAnsi="宋体" w:cs="宋体"/>
                <w:sz w:val="28"/>
                <w:szCs w:val="28"/>
              </w:rPr>
            </w:pPr>
          </w:p>
          <w:p>
            <w:pPr>
              <w:jc w:val="center"/>
              <w:rPr>
                <w:rFonts w:ascii="宋体" w:hAnsi="宋体" w:cs="宋体"/>
                <w:sz w:val="28"/>
                <w:szCs w:val="28"/>
              </w:rPr>
            </w:pPr>
          </w:p>
          <w:p>
            <w:pPr>
              <w:jc w:val="center"/>
              <w:rPr>
                <w:rFonts w:ascii="宋体" w:hAnsi="宋体" w:cs="宋体"/>
                <w:sz w:val="28"/>
                <w:szCs w:val="28"/>
              </w:rPr>
            </w:pPr>
          </w:p>
          <w:p>
            <w:pPr>
              <w:jc w:val="center"/>
              <w:rPr>
                <w:rFonts w:ascii="宋体" w:hAnsi="宋体" w:cs="宋体"/>
                <w:sz w:val="28"/>
                <w:szCs w:val="28"/>
              </w:rPr>
            </w:pPr>
          </w:p>
          <w:p>
            <w:pPr>
              <w:jc w:val="center"/>
              <w:rPr>
                <w:rFonts w:ascii="宋体" w:hAnsi="宋体" w:cs="宋体"/>
                <w:sz w:val="28"/>
                <w:szCs w:val="28"/>
              </w:rPr>
            </w:pPr>
          </w:p>
          <w:p>
            <w:pPr>
              <w:jc w:val="center"/>
              <w:rPr>
                <w:rFonts w:ascii="宋体" w:hAnsi="宋体" w:cs="宋体"/>
                <w:sz w:val="28"/>
                <w:szCs w:val="28"/>
              </w:rPr>
            </w:pPr>
            <w:r>
              <w:rPr>
                <w:rFonts w:hint="eastAsia" w:ascii="宋体" w:hAnsi="宋体" w:cs="宋体"/>
                <w:sz w:val="28"/>
                <w:szCs w:val="28"/>
              </w:rPr>
              <w:t>招</w:t>
            </w:r>
          </w:p>
          <w:p>
            <w:pPr>
              <w:jc w:val="center"/>
              <w:rPr>
                <w:rFonts w:ascii="宋体" w:hAnsi="宋体" w:cs="宋体"/>
                <w:sz w:val="28"/>
                <w:szCs w:val="28"/>
              </w:rPr>
            </w:pPr>
            <w:r>
              <w:rPr>
                <w:rFonts w:hint="eastAsia" w:ascii="宋体" w:hAnsi="宋体" w:cs="宋体"/>
                <w:sz w:val="28"/>
                <w:szCs w:val="28"/>
              </w:rPr>
              <w:t>标</w:t>
            </w:r>
          </w:p>
          <w:p>
            <w:pPr>
              <w:jc w:val="center"/>
              <w:rPr>
                <w:rFonts w:ascii="宋体" w:hAnsi="宋体" w:cs="宋体"/>
                <w:sz w:val="28"/>
                <w:szCs w:val="28"/>
              </w:rPr>
            </w:pPr>
            <w:r>
              <w:rPr>
                <w:rFonts w:hint="eastAsia" w:ascii="宋体" w:hAnsi="宋体" w:cs="宋体"/>
                <w:sz w:val="28"/>
                <w:szCs w:val="28"/>
              </w:rPr>
              <w:t>编</w:t>
            </w:r>
          </w:p>
          <w:p>
            <w:pPr>
              <w:jc w:val="center"/>
              <w:rPr>
                <w:rFonts w:ascii="宋体" w:hAnsi="宋体" w:cs="宋体"/>
                <w:sz w:val="28"/>
                <w:szCs w:val="28"/>
              </w:rPr>
            </w:pPr>
            <w:r>
              <w:rPr>
                <w:rFonts w:hint="eastAsia" w:ascii="宋体" w:hAnsi="宋体" w:cs="宋体"/>
                <w:sz w:val="28"/>
                <w:szCs w:val="28"/>
              </w:rPr>
              <w:t>号</w:t>
            </w:r>
          </w:p>
          <w:p>
            <w:pPr>
              <w:jc w:val="center"/>
              <w:rPr>
                <w:rFonts w:ascii="宋体" w:hAnsi="宋体" w:cs="宋体"/>
                <w:sz w:val="28"/>
                <w:szCs w:val="28"/>
              </w:rPr>
            </w:pPr>
          </w:p>
          <w:p>
            <w:pPr>
              <w:jc w:val="center"/>
              <w:rPr>
                <w:rFonts w:ascii="宋体" w:hAnsi="宋体" w:cs="宋体"/>
                <w:sz w:val="28"/>
                <w:szCs w:val="28"/>
              </w:rPr>
            </w:pPr>
          </w:p>
          <w:p>
            <w:pPr>
              <w:jc w:val="center"/>
              <w:rPr>
                <w:rFonts w:ascii="宋体" w:hAnsi="宋体" w:cs="宋体"/>
                <w:sz w:val="28"/>
                <w:szCs w:val="28"/>
              </w:rPr>
            </w:pPr>
          </w:p>
          <w:p>
            <w:pPr>
              <w:jc w:val="center"/>
              <w:rPr>
                <w:rFonts w:ascii="宋体" w:hAnsi="宋体" w:cs="宋体"/>
                <w:sz w:val="28"/>
                <w:szCs w:val="28"/>
              </w:rPr>
            </w:pPr>
          </w:p>
          <w:p>
            <w:pPr>
              <w:jc w:val="center"/>
              <w:rPr>
                <w:rFonts w:ascii="宋体" w:hAnsi="宋体" w:cs="宋体"/>
                <w:sz w:val="28"/>
                <w:szCs w:val="28"/>
              </w:rPr>
            </w:pPr>
          </w:p>
          <w:p>
            <w:pPr>
              <w:jc w:val="center"/>
              <w:rPr>
                <w:rFonts w:ascii="宋体" w:hAnsi="宋体" w:cs="宋体"/>
                <w:sz w:val="28"/>
                <w:szCs w:val="28"/>
              </w:rPr>
            </w:pPr>
          </w:p>
          <w:p>
            <w:pPr>
              <w:jc w:val="center"/>
              <w:rPr>
                <w:rFonts w:ascii="宋体" w:hAnsi="宋体" w:cs="宋体"/>
                <w:sz w:val="28"/>
                <w:szCs w:val="28"/>
              </w:rPr>
            </w:pPr>
          </w:p>
          <w:p>
            <w:pPr>
              <w:jc w:val="center"/>
              <w:rPr>
                <w:rFonts w:ascii="宋体" w:hAnsi="宋体" w:cs="宋体"/>
                <w:sz w:val="28"/>
                <w:szCs w:val="28"/>
              </w:rPr>
            </w:pPr>
          </w:p>
          <w:p>
            <w:pPr>
              <w:jc w:val="center"/>
              <w:rPr>
                <w:rFonts w:ascii="宋体" w:hAnsi="宋体" w:cs="宋体"/>
                <w:sz w:val="28"/>
                <w:szCs w:val="28"/>
              </w:rPr>
            </w:pPr>
          </w:p>
          <w:p>
            <w:pPr>
              <w:jc w:val="center"/>
              <w:rPr>
                <w:rFonts w:ascii="宋体" w:hAnsi="宋体" w:cs="宋体"/>
                <w:sz w:val="28"/>
                <w:szCs w:val="28"/>
              </w:rPr>
            </w:pPr>
          </w:p>
          <w:p>
            <w:pPr>
              <w:jc w:val="center"/>
              <w:rPr>
                <w:rFonts w:ascii="宋体" w:hAnsi="宋体" w:cs="宋体"/>
                <w:sz w:val="28"/>
                <w:szCs w:val="28"/>
              </w:rPr>
            </w:pPr>
            <w:r>
              <w:rPr>
                <w:rFonts w:hint="eastAsia" w:ascii="宋体" w:hAnsi="宋体" w:cs="宋体"/>
                <w:sz w:val="28"/>
                <w:szCs w:val="28"/>
              </w:rPr>
              <w:t>分</w:t>
            </w:r>
          </w:p>
          <w:p>
            <w:pPr>
              <w:jc w:val="center"/>
              <w:rPr>
                <w:rFonts w:ascii="宋体" w:hAnsi="宋体" w:cs="宋体"/>
                <w:sz w:val="28"/>
                <w:szCs w:val="28"/>
              </w:rPr>
            </w:pPr>
            <w:r>
              <w:rPr>
                <w:rFonts w:hint="eastAsia" w:ascii="宋体" w:hAnsi="宋体" w:cs="宋体"/>
                <w:sz w:val="28"/>
                <w:szCs w:val="28"/>
              </w:rPr>
              <w:t>包</w:t>
            </w:r>
          </w:p>
          <w:p>
            <w:pPr>
              <w:jc w:val="center"/>
              <w:rPr>
                <w:rFonts w:ascii="宋体" w:hAnsi="宋体" w:cs="宋体"/>
                <w:sz w:val="28"/>
                <w:szCs w:val="28"/>
              </w:rPr>
            </w:pPr>
            <w:r>
              <w:rPr>
                <w:rFonts w:hint="eastAsia" w:ascii="宋体" w:hAnsi="宋体" w:cs="宋体"/>
                <w:sz w:val="28"/>
                <w:szCs w:val="28"/>
              </w:rPr>
              <w:t>号</w:t>
            </w:r>
          </w:p>
          <w:p>
            <w:pPr>
              <w:jc w:val="center"/>
              <w:rPr>
                <w:rFonts w:ascii="宋体" w:hAnsi="宋体" w:cs="宋体"/>
                <w:sz w:val="28"/>
                <w:szCs w:val="28"/>
              </w:rPr>
            </w:pPr>
          </w:p>
        </w:tc>
      </w:tr>
    </w:tbl>
    <w:p>
      <w:pPr>
        <w:pStyle w:val="40"/>
        <w:snapToGrid w:val="0"/>
        <w:spacing w:line="400" w:lineRule="exact"/>
        <w:ind w:firstLine="643"/>
        <w:jc w:val="center"/>
        <w:rPr>
          <w:rFonts w:ascii="宋体" w:hAnsi="宋体" w:cs="宋体"/>
          <w:b/>
          <w:sz w:val="32"/>
          <w:szCs w:val="32"/>
        </w:rPr>
      </w:pPr>
    </w:p>
    <w:p>
      <w:pPr>
        <w:rPr>
          <w:rFonts w:ascii="宋体" w:hAnsi="宋体" w:cs="宋体"/>
        </w:rPr>
      </w:pPr>
    </w:p>
    <w:p>
      <w:pPr>
        <w:rPr>
          <w:rFonts w:ascii="宋体" w:hAnsi="宋体" w:cs="宋体"/>
        </w:rPr>
      </w:pPr>
    </w:p>
    <w:p>
      <w:pPr>
        <w:rPr>
          <w:rFonts w:ascii="宋体" w:hAnsi="宋体" w:cs="宋体"/>
        </w:rPr>
      </w:pPr>
    </w:p>
    <w:sectPr>
      <w:pgSz w:w="11906" w:h="16838"/>
      <w:pgMar w:top="1440" w:right="1797" w:bottom="1440" w:left="1797" w:header="851" w:footer="992" w:gutter="0"/>
      <w:cols w:space="425"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AE80550-CFAE-47D0-9A55-D61507FE664D}"/>
  </w:font>
  <w:font w:name="Arial">
    <w:panose1 w:val="020B0604020202020204"/>
    <w:charset w:val="01"/>
    <w:family w:val="swiss"/>
    <w:pitch w:val="default"/>
    <w:sig w:usb0="E0002EFF" w:usb1="C000785B" w:usb2="00000009" w:usb3="00000000" w:csb0="400001FF" w:csb1="FFFF0000"/>
    <w:embedRegular r:id="rId2" w:fontKey="{38E9FD3C-1908-4DCF-B9B0-5AC749BA89A3}"/>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849B0F72-C337-4D11-8076-B2041474B54B}"/>
  </w:font>
  <w:font w:name="方正小标宋简体">
    <w:panose1 w:val="02000000000000000000"/>
    <w:charset w:val="86"/>
    <w:family w:val="auto"/>
    <w:pitch w:val="default"/>
    <w:sig w:usb0="00000001" w:usb1="08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Akzidenz Grotesk BQ">
    <w:altName w:val="宋体"/>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embedRegular r:id="rId4" w:fontKey="{B88F687A-691B-486B-95A6-9CE2DCF98BDD}"/>
  </w:font>
  <w:font w:name="Segoe UI Symbol">
    <w:panose1 w:val="020B0502040204020203"/>
    <w:charset w:val="00"/>
    <w:family w:val="swiss"/>
    <w:pitch w:val="default"/>
    <w:sig w:usb0="800001E3" w:usb1="1200FFEF" w:usb2="00040000" w:usb3="04000000" w:csb0="00000001" w:csb1="40000000"/>
    <w:embedRegular r:id="rId5" w:fontKey="{01F1AD0D-4260-47CE-9AEE-E6147BF3C727}"/>
  </w:font>
  <w:font w:name="仿宋">
    <w:panose1 w:val="02010609060101010101"/>
    <w:charset w:val="86"/>
    <w:family w:val="modern"/>
    <w:pitch w:val="default"/>
    <w:sig w:usb0="800002BF" w:usb1="38CF7CFA" w:usb2="00000016" w:usb3="00000000" w:csb0="00040001" w:csb1="00000000"/>
    <w:embedRegular r:id="rId6" w:fontKey="{7EDE26F7-F9E4-4298-B086-37FF165489F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
                            <w:rPr>
                              <w:rFonts w:hint="eastAsia"/>
                            </w:rPr>
                            <w:fldChar w:fldCharType="begin"/>
                          </w:r>
                          <w:r>
                            <w:instrText xml:space="preserve"> PAGE  \* MERGEFORMAT </w:instrText>
                          </w:r>
                          <w:r>
                            <w:rPr>
                              <w:rFonts w:hint="eastAsia"/>
                            </w:rPr>
                            <w:fldChar w:fldCharType="separate"/>
                          </w:r>
                          <w:r>
                            <w:t>29</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r>
                      <w:rPr>
                        <w:rFonts w:hint="eastAsia"/>
                      </w:rPr>
                      <w:fldChar w:fldCharType="begin"/>
                    </w:r>
                    <w:r>
                      <w:instrText xml:space="preserve"> PAGE  \* MERGEFORMAT </w:instrText>
                    </w:r>
                    <w:r>
                      <w:rPr>
                        <w:rFonts w:hint="eastAsia"/>
                      </w:rPr>
                      <w:fldChar w:fldCharType="separate"/>
                    </w:r>
                    <w:r>
                      <w:t>29</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kinsoku w:val="0"/>
      <w:autoSpaceDE w:val="0"/>
      <w:autoSpaceDN w:val="0"/>
      <w:snapToGrid w:val="0"/>
      <w:spacing w:line="14" w:lineRule="auto"/>
      <w:rPr>
        <w:rFonts w:ascii="仿宋" w:hAnsi="Arial" w:eastAsia="Arial" w:cs="Arial"/>
        <w:snapToGrid w:val="0"/>
        <w:color w:val="000000"/>
        <w:sz w:val="2"/>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chineseCountingThousand"/>
      <w:suff w:val="nothing"/>
      <w:lvlText w:val="第%1部分"/>
      <w:lvlJc w:val="center"/>
      <w:pPr>
        <w:ind w:left="-288" w:firstLine="288"/>
      </w:pPr>
      <w:rPr>
        <w:rFonts w:hint="eastAsia" w:cs="Times New Roman"/>
        <w:sz w:val="28"/>
        <w:szCs w:val="28"/>
      </w:rPr>
    </w:lvl>
    <w:lvl w:ilvl="1" w:tentative="0">
      <w:start w:val="1"/>
      <w:numFmt w:val="chineseCountingThousand"/>
      <w:pStyle w:val="39"/>
      <w:suff w:val="nothing"/>
      <w:lvlText w:val="%2、"/>
      <w:lvlJc w:val="left"/>
      <w:pPr>
        <w:ind w:left="254"/>
      </w:pPr>
      <w:rPr>
        <w:rFonts w:hint="eastAsia" w:ascii="宋体" w:hAnsi="宋体" w:eastAsia="宋体" w:cs="Times New Roman"/>
        <w:sz w:val="24"/>
        <w:szCs w:val="24"/>
      </w:rPr>
    </w:lvl>
    <w:lvl w:ilvl="2" w:tentative="0">
      <w:start w:val="1"/>
      <w:numFmt w:val="chineseCountingThousand"/>
      <w:suff w:val="nothing"/>
      <w:lvlText w:val="(%3)"/>
      <w:lvlJc w:val="left"/>
      <w:rPr>
        <w:rFonts w:hint="default" w:ascii="Times New Roman" w:hAnsi="Times New Roman" w:eastAsia="宋体" w:cs="Times New Roman"/>
        <w:b/>
        <w:bCs/>
        <w:i w:val="0"/>
        <w:iCs w:val="0"/>
        <w:spacing w:val="0"/>
        <w:w w:val="100"/>
        <w:position w:val="0"/>
        <w:sz w:val="21"/>
        <w:szCs w:val="21"/>
      </w:rPr>
    </w:lvl>
    <w:lvl w:ilvl="3" w:tentative="0">
      <w:start w:val="1"/>
      <w:numFmt w:val="decimal"/>
      <w:suff w:val="nothing"/>
      <w:lvlText w:val="%4、"/>
      <w:lvlJc w:val="left"/>
      <w:rPr>
        <w:rFonts w:hint="eastAsia" w:cs="Times New Roman"/>
      </w:rPr>
    </w:lvl>
    <w:lvl w:ilvl="4" w:tentative="0">
      <w:start w:val="1"/>
      <w:numFmt w:val="upperLetter"/>
      <w:suff w:val="nothing"/>
      <w:lvlText w:val="%5、"/>
      <w:lvlJc w:val="left"/>
      <w:rPr>
        <w:rFonts w:hint="eastAsia" w:cs="Times New Roman"/>
      </w:rPr>
    </w:lvl>
    <w:lvl w:ilvl="5" w:tentative="0">
      <w:start w:val="1"/>
      <w:numFmt w:val="none"/>
      <w:suff w:val="nothing"/>
      <w:lvlText w:val=""/>
      <w:lvlJc w:val="left"/>
      <w:rPr>
        <w:rFonts w:hint="eastAsia" w:cs="Times New Roman"/>
      </w:rPr>
    </w:lvl>
    <w:lvl w:ilvl="6" w:tentative="0">
      <w:start w:val="1"/>
      <w:numFmt w:val="none"/>
      <w:suff w:val="nothing"/>
      <w:lvlText w:val=""/>
      <w:lvlJc w:val="left"/>
      <w:rPr>
        <w:rFonts w:hint="eastAsia" w:cs="Times New Roman"/>
      </w:rPr>
    </w:lvl>
    <w:lvl w:ilvl="7" w:tentative="0">
      <w:start w:val="1"/>
      <w:numFmt w:val="none"/>
      <w:suff w:val="nothing"/>
      <w:lvlText w:val=""/>
      <w:lvlJc w:val="left"/>
      <w:rPr>
        <w:rFonts w:hint="eastAsia" w:cs="Times New Roman"/>
      </w:rPr>
    </w:lvl>
    <w:lvl w:ilvl="8" w:tentative="0">
      <w:start w:val="1"/>
      <w:numFmt w:val="none"/>
      <w:suff w:val="nothing"/>
      <w:lvlText w:val=""/>
      <w:lvlJc w:val="left"/>
      <w:rPr>
        <w:rFonts w:hint="eastAsia" w:cs="Times New Roman"/>
      </w:rPr>
    </w:lvl>
  </w:abstractNum>
  <w:abstractNum w:abstractNumId="1">
    <w:nsid w:val="0000000C"/>
    <w:multiLevelType w:val="multilevel"/>
    <w:tmpl w:val="0000000C"/>
    <w:lvl w:ilvl="0" w:tentative="0">
      <w:start w:val="1"/>
      <w:numFmt w:val="decimal"/>
      <w:pStyle w:val="48"/>
      <w:lvlText w:val="%1、"/>
      <w:lvlJc w:val="left"/>
      <w:pPr>
        <w:tabs>
          <w:tab w:val="left" w:pos="856"/>
        </w:tabs>
        <w:ind w:left="856" w:hanging="360"/>
      </w:pPr>
      <w:rPr>
        <w:rFonts w:hint="default" w:cs="Times New Roman"/>
      </w:rPr>
    </w:lvl>
    <w:lvl w:ilvl="1" w:tentative="0">
      <w:start w:val="1"/>
      <w:numFmt w:val="decimal"/>
      <w:lvlText w:val="%2."/>
      <w:lvlJc w:val="left"/>
      <w:pPr>
        <w:tabs>
          <w:tab w:val="left" w:pos="1635"/>
        </w:tabs>
        <w:ind w:left="1635" w:hanging="735"/>
      </w:pPr>
      <w:rPr>
        <w:rFonts w:hint="default" w:cs="Times New Roman"/>
      </w:rPr>
    </w:lvl>
    <w:lvl w:ilvl="2" w:tentative="0">
      <w:start w:val="4"/>
      <w:numFmt w:val="japaneseCounting"/>
      <w:lvlText w:val="%3、"/>
      <w:lvlJc w:val="left"/>
      <w:pPr>
        <w:tabs>
          <w:tab w:val="left" w:pos="1740"/>
        </w:tabs>
        <w:ind w:left="1740" w:hanging="420"/>
      </w:pPr>
      <w:rPr>
        <w:rFonts w:hint="default" w:cs="Times New Roman"/>
      </w:rPr>
    </w:lvl>
    <w:lvl w:ilvl="3" w:tentative="0">
      <w:start w:val="1"/>
      <w:numFmt w:val="decimal"/>
      <w:lvlText w:val="（%4）"/>
      <w:lvlJc w:val="left"/>
      <w:pPr>
        <w:tabs>
          <w:tab w:val="left" w:pos="2460"/>
        </w:tabs>
        <w:ind w:left="2460" w:hanging="720"/>
      </w:pPr>
      <w:rPr>
        <w:rFonts w:hint="default" w:cs="Times New Roman"/>
      </w:rPr>
    </w:lvl>
    <w:lvl w:ilvl="4" w:tentative="0">
      <w:start w:val="1"/>
      <w:numFmt w:val="lowerLetter"/>
      <w:lvlText w:val="%5)"/>
      <w:lvlJc w:val="left"/>
      <w:pPr>
        <w:tabs>
          <w:tab w:val="left" w:pos="2580"/>
        </w:tabs>
        <w:ind w:left="2580" w:hanging="420"/>
      </w:pPr>
      <w:rPr>
        <w:rFonts w:cs="Times New Roman"/>
      </w:rPr>
    </w:lvl>
    <w:lvl w:ilvl="5" w:tentative="0">
      <w:start w:val="1"/>
      <w:numFmt w:val="lowerRoman"/>
      <w:lvlText w:val="%6."/>
      <w:lvlJc w:val="right"/>
      <w:pPr>
        <w:tabs>
          <w:tab w:val="left" w:pos="3000"/>
        </w:tabs>
        <w:ind w:left="3000" w:hanging="420"/>
      </w:pPr>
      <w:rPr>
        <w:rFonts w:cs="Times New Roman"/>
      </w:rPr>
    </w:lvl>
    <w:lvl w:ilvl="6" w:tentative="0">
      <w:start w:val="1"/>
      <w:numFmt w:val="decimal"/>
      <w:lvlText w:val="%7."/>
      <w:lvlJc w:val="left"/>
      <w:pPr>
        <w:tabs>
          <w:tab w:val="left" w:pos="3420"/>
        </w:tabs>
        <w:ind w:left="3420" w:hanging="420"/>
      </w:pPr>
      <w:rPr>
        <w:rFonts w:cs="Times New Roman"/>
      </w:rPr>
    </w:lvl>
    <w:lvl w:ilvl="7" w:tentative="0">
      <w:start w:val="1"/>
      <w:numFmt w:val="lowerLetter"/>
      <w:lvlText w:val="%8)"/>
      <w:lvlJc w:val="left"/>
      <w:pPr>
        <w:tabs>
          <w:tab w:val="left" w:pos="3840"/>
        </w:tabs>
        <w:ind w:left="3840" w:hanging="420"/>
      </w:pPr>
      <w:rPr>
        <w:rFonts w:cs="Times New Roman"/>
      </w:rPr>
    </w:lvl>
    <w:lvl w:ilvl="8" w:tentative="0">
      <w:start w:val="1"/>
      <w:numFmt w:val="lowerRoman"/>
      <w:lvlText w:val="%9."/>
      <w:lvlJc w:val="right"/>
      <w:pPr>
        <w:tabs>
          <w:tab w:val="left" w:pos="4260"/>
        </w:tabs>
        <w:ind w:left="4260" w:hanging="420"/>
      </w:pPr>
      <w:rPr>
        <w:rFonts w:cs="Times New Roman"/>
      </w:rPr>
    </w:lvl>
  </w:abstractNum>
  <w:abstractNum w:abstractNumId="2">
    <w:nsid w:val="301A1D68"/>
    <w:multiLevelType w:val="multilevel"/>
    <w:tmpl w:val="301A1D68"/>
    <w:lvl w:ilvl="0" w:tentative="0">
      <w:start w:val="1"/>
      <w:numFmt w:val="decimal"/>
      <w:lvlText w:val="%1)"/>
      <w:lvlJc w:val="left"/>
      <w:pPr>
        <w:ind w:left="987" w:hanging="420"/>
      </w:p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3">
    <w:nsid w:val="34C44861"/>
    <w:multiLevelType w:val="singleLevel"/>
    <w:tmpl w:val="34C44861"/>
    <w:lvl w:ilvl="0" w:tentative="0">
      <w:start w:val="1"/>
      <w:numFmt w:val="decimal"/>
      <w:suff w:val="nothing"/>
      <w:lvlText w:val="（%1）"/>
      <w:lvlJc w:val="left"/>
    </w:lvl>
  </w:abstractNum>
  <w:abstractNum w:abstractNumId="4">
    <w:nsid w:val="57245637"/>
    <w:multiLevelType w:val="multilevel"/>
    <w:tmpl w:val="57245637"/>
    <w:lvl w:ilvl="0" w:tentative="0">
      <w:start w:val="1"/>
      <w:numFmt w:val="decimal"/>
      <w:lvlText w:val="(%1)"/>
      <w:lvlJc w:val="left"/>
      <w:pPr>
        <w:ind w:left="848" w:hanging="420"/>
      </w:pPr>
      <w:rPr>
        <w:rFonts w:hint="default"/>
      </w:rPr>
    </w:lvl>
    <w:lvl w:ilvl="1" w:tentative="0">
      <w:start w:val="1"/>
      <w:numFmt w:val="lowerLetter"/>
      <w:lvlText w:val="%2)"/>
      <w:lvlJc w:val="left"/>
      <w:pPr>
        <w:ind w:left="1268" w:hanging="420"/>
      </w:pPr>
    </w:lvl>
    <w:lvl w:ilvl="2" w:tentative="0">
      <w:start w:val="1"/>
      <w:numFmt w:val="lowerRoman"/>
      <w:lvlText w:val="%3."/>
      <w:lvlJc w:val="right"/>
      <w:pPr>
        <w:ind w:left="1688" w:hanging="420"/>
      </w:pPr>
    </w:lvl>
    <w:lvl w:ilvl="3" w:tentative="0">
      <w:start w:val="1"/>
      <w:numFmt w:val="decimal"/>
      <w:lvlText w:val="%4."/>
      <w:lvlJc w:val="left"/>
      <w:pPr>
        <w:ind w:left="2108" w:hanging="420"/>
      </w:pPr>
    </w:lvl>
    <w:lvl w:ilvl="4" w:tentative="0">
      <w:start w:val="1"/>
      <w:numFmt w:val="lowerLetter"/>
      <w:lvlText w:val="%5)"/>
      <w:lvlJc w:val="left"/>
      <w:pPr>
        <w:ind w:left="2528" w:hanging="420"/>
      </w:pPr>
    </w:lvl>
    <w:lvl w:ilvl="5" w:tentative="0">
      <w:start w:val="1"/>
      <w:numFmt w:val="lowerRoman"/>
      <w:lvlText w:val="%6."/>
      <w:lvlJc w:val="right"/>
      <w:pPr>
        <w:ind w:left="2948" w:hanging="420"/>
      </w:pPr>
    </w:lvl>
    <w:lvl w:ilvl="6" w:tentative="0">
      <w:start w:val="1"/>
      <w:numFmt w:val="decimal"/>
      <w:lvlText w:val="%7."/>
      <w:lvlJc w:val="left"/>
      <w:pPr>
        <w:ind w:left="3368" w:hanging="420"/>
      </w:pPr>
    </w:lvl>
    <w:lvl w:ilvl="7" w:tentative="0">
      <w:start w:val="1"/>
      <w:numFmt w:val="lowerLetter"/>
      <w:lvlText w:val="%8)"/>
      <w:lvlJc w:val="left"/>
      <w:pPr>
        <w:ind w:left="3788" w:hanging="420"/>
      </w:pPr>
    </w:lvl>
    <w:lvl w:ilvl="8" w:tentative="0">
      <w:start w:val="1"/>
      <w:numFmt w:val="lowerRoman"/>
      <w:lvlText w:val="%9."/>
      <w:lvlJc w:val="right"/>
      <w:pPr>
        <w:ind w:left="4208" w:hanging="420"/>
      </w:pPr>
    </w:lvl>
  </w:abstractNum>
  <w:abstractNum w:abstractNumId="5">
    <w:nsid w:val="724F1B6F"/>
    <w:multiLevelType w:val="multilevel"/>
    <w:tmpl w:val="724F1B6F"/>
    <w:lvl w:ilvl="0" w:tentative="0">
      <w:start w:val="1"/>
      <w:numFmt w:val="decimal"/>
      <w:lvlText w:val="%1."/>
      <w:lvlJc w:val="left"/>
      <w:pPr>
        <w:ind w:left="425" w:hanging="425"/>
      </w:pPr>
      <w:rPr>
        <w:rFonts w:hint="eastAsia"/>
      </w:rPr>
    </w:lvl>
    <w:lvl w:ilvl="1" w:tentative="0">
      <w:start w:val="1"/>
      <w:numFmt w:val="decimal"/>
      <w:lvlText w:val="%1.%2."/>
      <w:lvlJc w:val="left"/>
      <w:pPr>
        <w:ind w:left="567" w:hanging="567"/>
      </w:pPr>
      <w:rPr>
        <w:rFonts w:hint="eastAsia"/>
      </w:rPr>
    </w:lvl>
    <w:lvl w:ilvl="2" w:tentative="0">
      <w:start w:val="1"/>
      <w:numFmt w:val="decimal"/>
      <w:lvlText w:val="%1.%2.%3."/>
      <w:lvlJc w:val="left"/>
      <w:pPr>
        <w:ind w:left="709" w:hanging="709"/>
      </w:pPr>
      <w:rPr>
        <w:rFonts w:hint="eastAsia"/>
      </w:rPr>
    </w:lvl>
    <w:lvl w:ilvl="3" w:tentative="0">
      <w:start w:val="1"/>
      <w:numFmt w:val="decimal"/>
      <w:pStyle w:val="7"/>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5"/>
  </w:num>
  <w:num w:numId="2">
    <w:abstractNumId w:val="0"/>
  </w:num>
  <w:num w:numId="3">
    <w:abstractNumId w:val="1"/>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hideSpellingErrors/>
  <w:hideGrammaticalErrors/>
  <w:documentProtection w:enforcement="0"/>
  <w:defaultTabStop w:val="420"/>
  <w:doNotHyphenateCaps/>
  <w:drawingGridHorizontalSpacing w:val="120"/>
  <w:drawingGridVerticalSpacing w:val="163"/>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JmMTcyY2UzYzBjZjFiZTU5YmZmMDA1NGE3YmVkZWIifQ=="/>
  </w:docVars>
  <w:rsids>
    <w:rsidRoot w:val="009912FC"/>
    <w:rsid w:val="00000797"/>
    <w:rsid w:val="000024A3"/>
    <w:rsid w:val="00004CC4"/>
    <w:rsid w:val="000064DB"/>
    <w:rsid w:val="00006922"/>
    <w:rsid w:val="00010109"/>
    <w:rsid w:val="00010BEA"/>
    <w:rsid w:val="0001118B"/>
    <w:rsid w:val="0001297A"/>
    <w:rsid w:val="00012E3E"/>
    <w:rsid w:val="00014C2B"/>
    <w:rsid w:val="00015009"/>
    <w:rsid w:val="000167A3"/>
    <w:rsid w:val="00017922"/>
    <w:rsid w:val="00022D5B"/>
    <w:rsid w:val="00022FF0"/>
    <w:rsid w:val="00023657"/>
    <w:rsid w:val="0002389A"/>
    <w:rsid w:val="000246BD"/>
    <w:rsid w:val="00026ED3"/>
    <w:rsid w:val="00027476"/>
    <w:rsid w:val="0003349D"/>
    <w:rsid w:val="00033F22"/>
    <w:rsid w:val="000346E2"/>
    <w:rsid w:val="00035C94"/>
    <w:rsid w:val="00036D4E"/>
    <w:rsid w:val="000410BF"/>
    <w:rsid w:val="0004309F"/>
    <w:rsid w:val="0004417D"/>
    <w:rsid w:val="00044FEC"/>
    <w:rsid w:val="00045F2F"/>
    <w:rsid w:val="00045FA7"/>
    <w:rsid w:val="00046AEA"/>
    <w:rsid w:val="00047970"/>
    <w:rsid w:val="00051610"/>
    <w:rsid w:val="000520D8"/>
    <w:rsid w:val="00052530"/>
    <w:rsid w:val="00052B98"/>
    <w:rsid w:val="00054FF2"/>
    <w:rsid w:val="000552F6"/>
    <w:rsid w:val="0005597B"/>
    <w:rsid w:val="00057626"/>
    <w:rsid w:val="0005768C"/>
    <w:rsid w:val="00060BCC"/>
    <w:rsid w:val="00062387"/>
    <w:rsid w:val="000625FE"/>
    <w:rsid w:val="00062799"/>
    <w:rsid w:val="00064092"/>
    <w:rsid w:val="000658D3"/>
    <w:rsid w:val="000675B1"/>
    <w:rsid w:val="00067C34"/>
    <w:rsid w:val="000704BC"/>
    <w:rsid w:val="00070E76"/>
    <w:rsid w:val="00070F4B"/>
    <w:rsid w:val="000718A2"/>
    <w:rsid w:val="00071A07"/>
    <w:rsid w:val="00072D28"/>
    <w:rsid w:val="0007447C"/>
    <w:rsid w:val="0007456B"/>
    <w:rsid w:val="00076DEA"/>
    <w:rsid w:val="00076FC6"/>
    <w:rsid w:val="000804F0"/>
    <w:rsid w:val="00080AF3"/>
    <w:rsid w:val="0008286F"/>
    <w:rsid w:val="000834B8"/>
    <w:rsid w:val="00083638"/>
    <w:rsid w:val="00084D0D"/>
    <w:rsid w:val="00086B3F"/>
    <w:rsid w:val="0009004C"/>
    <w:rsid w:val="00090E28"/>
    <w:rsid w:val="0009227D"/>
    <w:rsid w:val="00092FB3"/>
    <w:rsid w:val="000952D6"/>
    <w:rsid w:val="000953FD"/>
    <w:rsid w:val="00096422"/>
    <w:rsid w:val="00097812"/>
    <w:rsid w:val="000A050A"/>
    <w:rsid w:val="000A0609"/>
    <w:rsid w:val="000A0A0E"/>
    <w:rsid w:val="000A0C93"/>
    <w:rsid w:val="000A126E"/>
    <w:rsid w:val="000A224B"/>
    <w:rsid w:val="000A4EE3"/>
    <w:rsid w:val="000A5207"/>
    <w:rsid w:val="000A620A"/>
    <w:rsid w:val="000B0766"/>
    <w:rsid w:val="000B13C2"/>
    <w:rsid w:val="000B1B0F"/>
    <w:rsid w:val="000B1B59"/>
    <w:rsid w:val="000B2BBA"/>
    <w:rsid w:val="000B3644"/>
    <w:rsid w:val="000B3D73"/>
    <w:rsid w:val="000B4D5C"/>
    <w:rsid w:val="000B5F52"/>
    <w:rsid w:val="000B739F"/>
    <w:rsid w:val="000C3DBF"/>
    <w:rsid w:val="000C50AC"/>
    <w:rsid w:val="000C511D"/>
    <w:rsid w:val="000C5677"/>
    <w:rsid w:val="000C73E7"/>
    <w:rsid w:val="000C7E16"/>
    <w:rsid w:val="000D0A26"/>
    <w:rsid w:val="000D3B7F"/>
    <w:rsid w:val="000D3FF2"/>
    <w:rsid w:val="000D4242"/>
    <w:rsid w:val="000D6D30"/>
    <w:rsid w:val="000D71EE"/>
    <w:rsid w:val="000D778C"/>
    <w:rsid w:val="000D7862"/>
    <w:rsid w:val="000E0D0F"/>
    <w:rsid w:val="000E2BE4"/>
    <w:rsid w:val="000E372C"/>
    <w:rsid w:val="000E3B1A"/>
    <w:rsid w:val="000E40DA"/>
    <w:rsid w:val="000E46D3"/>
    <w:rsid w:val="000E5421"/>
    <w:rsid w:val="000E6266"/>
    <w:rsid w:val="000E6B37"/>
    <w:rsid w:val="000E7A9B"/>
    <w:rsid w:val="000F05EF"/>
    <w:rsid w:val="000F069E"/>
    <w:rsid w:val="000F0C41"/>
    <w:rsid w:val="000F2630"/>
    <w:rsid w:val="000F33BD"/>
    <w:rsid w:val="000F4061"/>
    <w:rsid w:val="000F5D90"/>
    <w:rsid w:val="000F6239"/>
    <w:rsid w:val="000F757E"/>
    <w:rsid w:val="000F7D56"/>
    <w:rsid w:val="000F7F22"/>
    <w:rsid w:val="0010236D"/>
    <w:rsid w:val="001025B3"/>
    <w:rsid w:val="00102C76"/>
    <w:rsid w:val="001048DE"/>
    <w:rsid w:val="00106627"/>
    <w:rsid w:val="001067FA"/>
    <w:rsid w:val="00106A0F"/>
    <w:rsid w:val="001071C8"/>
    <w:rsid w:val="00107BA0"/>
    <w:rsid w:val="0011045A"/>
    <w:rsid w:val="001104F1"/>
    <w:rsid w:val="00111884"/>
    <w:rsid w:val="00112311"/>
    <w:rsid w:val="0011323C"/>
    <w:rsid w:val="00113890"/>
    <w:rsid w:val="00114F3B"/>
    <w:rsid w:val="001169AC"/>
    <w:rsid w:val="0011727D"/>
    <w:rsid w:val="00117A1D"/>
    <w:rsid w:val="001210A4"/>
    <w:rsid w:val="0012297E"/>
    <w:rsid w:val="001247DE"/>
    <w:rsid w:val="00124862"/>
    <w:rsid w:val="00131F22"/>
    <w:rsid w:val="0013254E"/>
    <w:rsid w:val="00132E48"/>
    <w:rsid w:val="00133460"/>
    <w:rsid w:val="00133DC4"/>
    <w:rsid w:val="001344B0"/>
    <w:rsid w:val="00135BEB"/>
    <w:rsid w:val="00135E99"/>
    <w:rsid w:val="00136A4A"/>
    <w:rsid w:val="001404B7"/>
    <w:rsid w:val="0014193B"/>
    <w:rsid w:val="001438DD"/>
    <w:rsid w:val="00146EDA"/>
    <w:rsid w:val="00150720"/>
    <w:rsid w:val="001508BE"/>
    <w:rsid w:val="00150A43"/>
    <w:rsid w:val="00151FB7"/>
    <w:rsid w:val="001522F3"/>
    <w:rsid w:val="001529BC"/>
    <w:rsid w:val="00152E82"/>
    <w:rsid w:val="00153811"/>
    <w:rsid w:val="00156D7D"/>
    <w:rsid w:val="00157FE3"/>
    <w:rsid w:val="001602DC"/>
    <w:rsid w:val="00160ACA"/>
    <w:rsid w:val="00162795"/>
    <w:rsid w:val="00164D54"/>
    <w:rsid w:val="001666C5"/>
    <w:rsid w:val="0017012D"/>
    <w:rsid w:val="0017375B"/>
    <w:rsid w:val="00173BD8"/>
    <w:rsid w:val="00173E8C"/>
    <w:rsid w:val="001760A8"/>
    <w:rsid w:val="00176138"/>
    <w:rsid w:val="001764FA"/>
    <w:rsid w:val="00176805"/>
    <w:rsid w:val="00177415"/>
    <w:rsid w:val="001801E0"/>
    <w:rsid w:val="00181250"/>
    <w:rsid w:val="001819E8"/>
    <w:rsid w:val="00183796"/>
    <w:rsid w:val="001844A7"/>
    <w:rsid w:val="001876BD"/>
    <w:rsid w:val="001876F7"/>
    <w:rsid w:val="0019029A"/>
    <w:rsid w:val="00190EC0"/>
    <w:rsid w:val="0019114F"/>
    <w:rsid w:val="0019136A"/>
    <w:rsid w:val="0019165F"/>
    <w:rsid w:val="00191861"/>
    <w:rsid w:val="00193399"/>
    <w:rsid w:val="00194610"/>
    <w:rsid w:val="0019608B"/>
    <w:rsid w:val="00196856"/>
    <w:rsid w:val="00197817"/>
    <w:rsid w:val="001A2135"/>
    <w:rsid w:val="001A33CF"/>
    <w:rsid w:val="001A6018"/>
    <w:rsid w:val="001B035B"/>
    <w:rsid w:val="001B17E8"/>
    <w:rsid w:val="001B198B"/>
    <w:rsid w:val="001B4111"/>
    <w:rsid w:val="001B6AD2"/>
    <w:rsid w:val="001B7067"/>
    <w:rsid w:val="001C01A1"/>
    <w:rsid w:val="001C088E"/>
    <w:rsid w:val="001C155A"/>
    <w:rsid w:val="001C1658"/>
    <w:rsid w:val="001C1D1C"/>
    <w:rsid w:val="001C1DD1"/>
    <w:rsid w:val="001C31D4"/>
    <w:rsid w:val="001C447D"/>
    <w:rsid w:val="001C4791"/>
    <w:rsid w:val="001C4AF0"/>
    <w:rsid w:val="001C6090"/>
    <w:rsid w:val="001C609F"/>
    <w:rsid w:val="001C6700"/>
    <w:rsid w:val="001D192E"/>
    <w:rsid w:val="001D23C8"/>
    <w:rsid w:val="001D4012"/>
    <w:rsid w:val="001D4B7C"/>
    <w:rsid w:val="001D5037"/>
    <w:rsid w:val="001D6926"/>
    <w:rsid w:val="001D7515"/>
    <w:rsid w:val="001E0234"/>
    <w:rsid w:val="001E14EA"/>
    <w:rsid w:val="001E18F6"/>
    <w:rsid w:val="001E1A29"/>
    <w:rsid w:val="001E1C6F"/>
    <w:rsid w:val="001E22CA"/>
    <w:rsid w:val="001E33ED"/>
    <w:rsid w:val="001E4CC3"/>
    <w:rsid w:val="001E5407"/>
    <w:rsid w:val="001E5D88"/>
    <w:rsid w:val="001E5F39"/>
    <w:rsid w:val="001E7430"/>
    <w:rsid w:val="001F1937"/>
    <w:rsid w:val="001F36AB"/>
    <w:rsid w:val="001F4D77"/>
    <w:rsid w:val="001F5597"/>
    <w:rsid w:val="001F666B"/>
    <w:rsid w:val="00202B2D"/>
    <w:rsid w:val="00203D3D"/>
    <w:rsid w:val="002041A8"/>
    <w:rsid w:val="002052E6"/>
    <w:rsid w:val="002079A3"/>
    <w:rsid w:val="00210814"/>
    <w:rsid w:val="00212038"/>
    <w:rsid w:val="00212FCD"/>
    <w:rsid w:val="00214D1B"/>
    <w:rsid w:val="00214F4E"/>
    <w:rsid w:val="0021681F"/>
    <w:rsid w:val="00216BAC"/>
    <w:rsid w:val="002213CF"/>
    <w:rsid w:val="00221EED"/>
    <w:rsid w:val="00223975"/>
    <w:rsid w:val="0022505C"/>
    <w:rsid w:val="00225244"/>
    <w:rsid w:val="0022531C"/>
    <w:rsid w:val="00227141"/>
    <w:rsid w:val="0023097C"/>
    <w:rsid w:val="00231773"/>
    <w:rsid w:val="00231C41"/>
    <w:rsid w:val="002338F4"/>
    <w:rsid w:val="002358A4"/>
    <w:rsid w:val="00235A52"/>
    <w:rsid w:val="0023709D"/>
    <w:rsid w:val="00237492"/>
    <w:rsid w:val="00237ED4"/>
    <w:rsid w:val="002417BE"/>
    <w:rsid w:val="00243672"/>
    <w:rsid w:val="00245D8D"/>
    <w:rsid w:val="00246F8C"/>
    <w:rsid w:val="00250FC7"/>
    <w:rsid w:val="00251BF1"/>
    <w:rsid w:val="00252C96"/>
    <w:rsid w:val="0025348C"/>
    <w:rsid w:val="00256F56"/>
    <w:rsid w:val="002576CA"/>
    <w:rsid w:val="00257E18"/>
    <w:rsid w:val="00260A51"/>
    <w:rsid w:val="00260F4D"/>
    <w:rsid w:val="00261C96"/>
    <w:rsid w:val="00264C37"/>
    <w:rsid w:val="00266F86"/>
    <w:rsid w:val="00270474"/>
    <w:rsid w:val="00270DE9"/>
    <w:rsid w:val="00270EB4"/>
    <w:rsid w:val="002719E6"/>
    <w:rsid w:val="00272C8A"/>
    <w:rsid w:val="00277331"/>
    <w:rsid w:val="0027748C"/>
    <w:rsid w:val="00277953"/>
    <w:rsid w:val="00282413"/>
    <w:rsid w:val="0028244B"/>
    <w:rsid w:val="00283624"/>
    <w:rsid w:val="00283741"/>
    <w:rsid w:val="00285125"/>
    <w:rsid w:val="0028561F"/>
    <w:rsid w:val="00286B5C"/>
    <w:rsid w:val="00290385"/>
    <w:rsid w:val="00292CEE"/>
    <w:rsid w:val="00292D5F"/>
    <w:rsid w:val="00293155"/>
    <w:rsid w:val="0029324D"/>
    <w:rsid w:val="002932D9"/>
    <w:rsid w:val="002942DB"/>
    <w:rsid w:val="00294D61"/>
    <w:rsid w:val="00295673"/>
    <w:rsid w:val="002965A0"/>
    <w:rsid w:val="00296CF6"/>
    <w:rsid w:val="00297F4D"/>
    <w:rsid w:val="002A12B2"/>
    <w:rsid w:val="002A1B03"/>
    <w:rsid w:val="002A2B3A"/>
    <w:rsid w:val="002A2BBE"/>
    <w:rsid w:val="002A3262"/>
    <w:rsid w:val="002A3392"/>
    <w:rsid w:val="002A3D3E"/>
    <w:rsid w:val="002A43F1"/>
    <w:rsid w:val="002A73FA"/>
    <w:rsid w:val="002B0945"/>
    <w:rsid w:val="002B29DB"/>
    <w:rsid w:val="002B3673"/>
    <w:rsid w:val="002B5D7E"/>
    <w:rsid w:val="002C0257"/>
    <w:rsid w:val="002C12E9"/>
    <w:rsid w:val="002C29D2"/>
    <w:rsid w:val="002C336D"/>
    <w:rsid w:val="002C3396"/>
    <w:rsid w:val="002C442B"/>
    <w:rsid w:val="002C6305"/>
    <w:rsid w:val="002D009C"/>
    <w:rsid w:val="002D14AF"/>
    <w:rsid w:val="002D290B"/>
    <w:rsid w:val="002D386D"/>
    <w:rsid w:val="002D4E56"/>
    <w:rsid w:val="002D5E22"/>
    <w:rsid w:val="002E0C95"/>
    <w:rsid w:val="002E120F"/>
    <w:rsid w:val="002E20AB"/>
    <w:rsid w:val="002E2F2B"/>
    <w:rsid w:val="002E2FF2"/>
    <w:rsid w:val="002E3E7C"/>
    <w:rsid w:val="002E4984"/>
    <w:rsid w:val="002E4D4A"/>
    <w:rsid w:val="002E57CB"/>
    <w:rsid w:val="002E5ACC"/>
    <w:rsid w:val="002E5CCE"/>
    <w:rsid w:val="002E5F8B"/>
    <w:rsid w:val="002E764B"/>
    <w:rsid w:val="002E7C35"/>
    <w:rsid w:val="002E7FE6"/>
    <w:rsid w:val="002F0B64"/>
    <w:rsid w:val="002F249E"/>
    <w:rsid w:val="002F27A4"/>
    <w:rsid w:val="002F2DBE"/>
    <w:rsid w:val="002F4BA9"/>
    <w:rsid w:val="002F59ED"/>
    <w:rsid w:val="002F5D8C"/>
    <w:rsid w:val="002F6591"/>
    <w:rsid w:val="002F6A7D"/>
    <w:rsid w:val="002F6E64"/>
    <w:rsid w:val="002F7DC4"/>
    <w:rsid w:val="003003AB"/>
    <w:rsid w:val="003016D1"/>
    <w:rsid w:val="00302083"/>
    <w:rsid w:val="0030358A"/>
    <w:rsid w:val="003064DD"/>
    <w:rsid w:val="00307273"/>
    <w:rsid w:val="0030759B"/>
    <w:rsid w:val="00311B48"/>
    <w:rsid w:val="0031243B"/>
    <w:rsid w:val="00312AEB"/>
    <w:rsid w:val="00312F25"/>
    <w:rsid w:val="00313A82"/>
    <w:rsid w:val="00314429"/>
    <w:rsid w:val="0031742F"/>
    <w:rsid w:val="003204D3"/>
    <w:rsid w:val="00321D77"/>
    <w:rsid w:val="003225A9"/>
    <w:rsid w:val="00325E88"/>
    <w:rsid w:val="00327D5A"/>
    <w:rsid w:val="00330E9A"/>
    <w:rsid w:val="00330FB9"/>
    <w:rsid w:val="00332986"/>
    <w:rsid w:val="00336325"/>
    <w:rsid w:val="003366B4"/>
    <w:rsid w:val="003408E8"/>
    <w:rsid w:val="00342BCC"/>
    <w:rsid w:val="00342F7D"/>
    <w:rsid w:val="00345E4B"/>
    <w:rsid w:val="00346BB6"/>
    <w:rsid w:val="00347B7F"/>
    <w:rsid w:val="00347C71"/>
    <w:rsid w:val="00347F8E"/>
    <w:rsid w:val="003505F0"/>
    <w:rsid w:val="003516D6"/>
    <w:rsid w:val="00352F86"/>
    <w:rsid w:val="0035367A"/>
    <w:rsid w:val="0035479B"/>
    <w:rsid w:val="0035489E"/>
    <w:rsid w:val="003560F3"/>
    <w:rsid w:val="003563A4"/>
    <w:rsid w:val="003569F2"/>
    <w:rsid w:val="00357703"/>
    <w:rsid w:val="00357EDC"/>
    <w:rsid w:val="00360367"/>
    <w:rsid w:val="0036056A"/>
    <w:rsid w:val="003610DC"/>
    <w:rsid w:val="0036255B"/>
    <w:rsid w:val="003627AA"/>
    <w:rsid w:val="003652C1"/>
    <w:rsid w:val="00365FA2"/>
    <w:rsid w:val="00370290"/>
    <w:rsid w:val="0037038D"/>
    <w:rsid w:val="003744DE"/>
    <w:rsid w:val="00375B14"/>
    <w:rsid w:val="00376230"/>
    <w:rsid w:val="00377882"/>
    <w:rsid w:val="00380CEA"/>
    <w:rsid w:val="00381430"/>
    <w:rsid w:val="00382A7F"/>
    <w:rsid w:val="00384248"/>
    <w:rsid w:val="003867DF"/>
    <w:rsid w:val="00392D4C"/>
    <w:rsid w:val="00395165"/>
    <w:rsid w:val="00396C61"/>
    <w:rsid w:val="003972AA"/>
    <w:rsid w:val="00397686"/>
    <w:rsid w:val="003A055E"/>
    <w:rsid w:val="003A089C"/>
    <w:rsid w:val="003A0AE5"/>
    <w:rsid w:val="003A0B22"/>
    <w:rsid w:val="003A35EC"/>
    <w:rsid w:val="003A3882"/>
    <w:rsid w:val="003A3E64"/>
    <w:rsid w:val="003A40CB"/>
    <w:rsid w:val="003A47BA"/>
    <w:rsid w:val="003A481E"/>
    <w:rsid w:val="003A4941"/>
    <w:rsid w:val="003A52CD"/>
    <w:rsid w:val="003A53B0"/>
    <w:rsid w:val="003A7F79"/>
    <w:rsid w:val="003B0174"/>
    <w:rsid w:val="003B059C"/>
    <w:rsid w:val="003B3A2D"/>
    <w:rsid w:val="003B5197"/>
    <w:rsid w:val="003B691E"/>
    <w:rsid w:val="003B72EE"/>
    <w:rsid w:val="003B75EB"/>
    <w:rsid w:val="003C1C99"/>
    <w:rsid w:val="003C1F00"/>
    <w:rsid w:val="003C290C"/>
    <w:rsid w:val="003C3624"/>
    <w:rsid w:val="003C476D"/>
    <w:rsid w:val="003C563B"/>
    <w:rsid w:val="003D1B93"/>
    <w:rsid w:val="003D25ED"/>
    <w:rsid w:val="003D26C6"/>
    <w:rsid w:val="003D314B"/>
    <w:rsid w:val="003D3B82"/>
    <w:rsid w:val="003D5C93"/>
    <w:rsid w:val="003D6975"/>
    <w:rsid w:val="003D6FC4"/>
    <w:rsid w:val="003D74DC"/>
    <w:rsid w:val="003D7BE8"/>
    <w:rsid w:val="003E0565"/>
    <w:rsid w:val="003E0A98"/>
    <w:rsid w:val="003E1A67"/>
    <w:rsid w:val="003E276B"/>
    <w:rsid w:val="003E4A14"/>
    <w:rsid w:val="003E51FD"/>
    <w:rsid w:val="003E5FA2"/>
    <w:rsid w:val="003E694A"/>
    <w:rsid w:val="003F03AB"/>
    <w:rsid w:val="003F073D"/>
    <w:rsid w:val="003F1110"/>
    <w:rsid w:val="003F2FAF"/>
    <w:rsid w:val="003F321B"/>
    <w:rsid w:val="003F4D49"/>
    <w:rsid w:val="003F51E0"/>
    <w:rsid w:val="003F69A6"/>
    <w:rsid w:val="003F724B"/>
    <w:rsid w:val="00401F36"/>
    <w:rsid w:val="004034C1"/>
    <w:rsid w:val="00403BA5"/>
    <w:rsid w:val="00405365"/>
    <w:rsid w:val="00406004"/>
    <w:rsid w:val="00407FC7"/>
    <w:rsid w:val="0041032B"/>
    <w:rsid w:val="004126DF"/>
    <w:rsid w:val="00412C27"/>
    <w:rsid w:val="00413B7E"/>
    <w:rsid w:val="00414096"/>
    <w:rsid w:val="00414CC0"/>
    <w:rsid w:val="004157C4"/>
    <w:rsid w:val="00415D2F"/>
    <w:rsid w:val="0041693B"/>
    <w:rsid w:val="00417A37"/>
    <w:rsid w:val="00417EDD"/>
    <w:rsid w:val="00417F67"/>
    <w:rsid w:val="00421037"/>
    <w:rsid w:val="00422E43"/>
    <w:rsid w:val="00424AF8"/>
    <w:rsid w:val="00424B45"/>
    <w:rsid w:val="00430352"/>
    <w:rsid w:val="0043090D"/>
    <w:rsid w:val="004310E4"/>
    <w:rsid w:val="00432108"/>
    <w:rsid w:val="00432B63"/>
    <w:rsid w:val="0043374E"/>
    <w:rsid w:val="00436B71"/>
    <w:rsid w:val="00437F15"/>
    <w:rsid w:val="00440127"/>
    <w:rsid w:val="004405C8"/>
    <w:rsid w:val="00440607"/>
    <w:rsid w:val="00442983"/>
    <w:rsid w:val="004438C7"/>
    <w:rsid w:val="00443D08"/>
    <w:rsid w:val="00444DD6"/>
    <w:rsid w:val="00446393"/>
    <w:rsid w:val="0045037C"/>
    <w:rsid w:val="0045039C"/>
    <w:rsid w:val="00450B89"/>
    <w:rsid w:val="00454029"/>
    <w:rsid w:val="0045422B"/>
    <w:rsid w:val="00454265"/>
    <w:rsid w:val="0045515D"/>
    <w:rsid w:val="00455539"/>
    <w:rsid w:val="004569FD"/>
    <w:rsid w:val="00457ACA"/>
    <w:rsid w:val="00457CC9"/>
    <w:rsid w:val="00460BD0"/>
    <w:rsid w:val="004622F0"/>
    <w:rsid w:val="00462482"/>
    <w:rsid w:val="00463D9C"/>
    <w:rsid w:val="004658FF"/>
    <w:rsid w:val="00466732"/>
    <w:rsid w:val="00466AA1"/>
    <w:rsid w:val="004672B0"/>
    <w:rsid w:val="0047077C"/>
    <w:rsid w:val="00470A1A"/>
    <w:rsid w:val="00474387"/>
    <w:rsid w:val="0047462F"/>
    <w:rsid w:val="004761EF"/>
    <w:rsid w:val="00476D1A"/>
    <w:rsid w:val="0048007A"/>
    <w:rsid w:val="00481443"/>
    <w:rsid w:val="00483B00"/>
    <w:rsid w:val="004843E7"/>
    <w:rsid w:val="0048581F"/>
    <w:rsid w:val="00485836"/>
    <w:rsid w:val="00485FB7"/>
    <w:rsid w:val="00490CCA"/>
    <w:rsid w:val="00491135"/>
    <w:rsid w:val="004918F7"/>
    <w:rsid w:val="0049207B"/>
    <w:rsid w:val="00494290"/>
    <w:rsid w:val="00496AA5"/>
    <w:rsid w:val="004A26EC"/>
    <w:rsid w:val="004A2D48"/>
    <w:rsid w:val="004A3245"/>
    <w:rsid w:val="004A356A"/>
    <w:rsid w:val="004A49AC"/>
    <w:rsid w:val="004A7006"/>
    <w:rsid w:val="004B03D0"/>
    <w:rsid w:val="004B058F"/>
    <w:rsid w:val="004B233C"/>
    <w:rsid w:val="004B31CC"/>
    <w:rsid w:val="004B3D3F"/>
    <w:rsid w:val="004B4023"/>
    <w:rsid w:val="004B4EFC"/>
    <w:rsid w:val="004B4F41"/>
    <w:rsid w:val="004B72B8"/>
    <w:rsid w:val="004B731A"/>
    <w:rsid w:val="004C2980"/>
    <w:rsid w:val="004C5C46"/>
    <w:rsid w:val="004C6F6B"/>
    <w:rsid w:val="004D0660"/>
    <w:rsid w:val="004D0750"/>
    <w:rsid w:val="004D0EA5"/>
    <w:rsid w:val="004D122F"/>
    <w:rsid w:val="004D1560"/>
    <w:rsid w:val="004D2261"/>
    <w:rsid w:val="004D2403"/>
    <w:rsid w:val="004D356B"/>
    <w:rsid w:val="004D3D7D"/>
    <w:rsid w:val="004D54B2"/>
    <w:rsid w:val="004D5A99"/>
    <w:rsid w:val="004D5F44"/>
    <w:rsid w:val="004E0207"/>
    <w:rsid w:val="004E1116"/>
    <w:rsid w:val="004E6524"/>
    <w:rsid w:val="004E7ACF"/>
    <w:rsid w:val="004F1DF1"/>
    <w:rsid w:val="004F242A"/>
    <w:rsid w:val="004F29DD"/>
    <w:rsid w:val="004F37BF"/>
    <w:rsid w:val="004F39B8"/>
    <w:rsid w:val="004F5E33"/>
    <w:rsid w:val="004F65BC"/>
    <w:rsid w:val="004F6AF1"/>
    <w:rsid w:val="004F7369"/>
    <w:rsid w:val="004F7FD8"/>
    <w:rsid w:val="00500DB2"/>
    <w:rsid w:val="00501576"/>
    <w:rsid w:val="00501820"/>
    <w:rsid w:val="005026BE"/>
    <w:rsid w:val="00502BCE"/>
    <w:rsid w:val="00503557"/>
    <w:rsid w:val="00503B33"/>
    <w:rsid w:val="00503B8B"/>
    <w:rsid w:val="005052A3"/>
    <w:rsid w:val="0051075A"/>
    <w:rsid w:val="00511CF0"/>
    <w:rsid w:val="00511E9C"/>
    <w:rsid w:val="00513C7E"/>
    <w:rsid w:val="00514E6F"/>
    <w:rsid w:val="005154C0"/>
    <w:rsid w:val="005157CA"/>
    <w:rsid w:val="00516C35"/>
    <w:rsid w:val="00520920"/>
    <w:rsid w:val="00520E8F"/>
    <w:rsid w:val="005216A3"/>
    <w:rsid w:val="00523B4D"/>
    <w:rsid w:val="0052522B"/>
    <w:rsid w:val="00525C66"/>
    <w:rsid w:val="0052728D"/>
    <w:rsid w:val="00527AE3"/>
    <w:rsid w:val="005311A9"/>
    <w:rsid w:val="0053239B"/>
    <w:rsid w:val="00533038"/>
    <w:rsid w:val="005334B6"/>
    <w:rsid w:val="00534A3F"/>
    <w:rsid w:val="005354ED"/>
    <w:rsid w:val="0053576A"/>
    <w:rsid w:val="00536292"/>
    <w:rsid w:val="00537CA8"/>
    <w:rsid w:val="005419F1"/>
    <w:rsid w:val="0054236E"/>
    <w:rsid w:val="005453B8"/>
    <w:rsid w:val="005455C4"/>
    <w:rsid w:val="0054583A"/>
    <w:rsid w:val="00545AAF"/>
    <w:rsid w:val="00545F16"/>
    <w:rsid w:val="00547C52"/>
    <w:rsid w:val="005507B9"/>
    <w:rsid w:val="00551303"/>
    <w:rsid w:val="00551C70"/>
    <w:rsid w:val="005525ED"/>
    <w:rsid w:val="00553074"/>
    <w:rsid w:val="00555AD6"/>
    <w:rsid w:val="00560FF3"/>
    <w:rsid w:val="0056111D"/>
    <w:rsid w:val="00561574"/>
    <w:rsid w:val="00564574"/>
    <w:rsid w:val="005659C7"/>
    <w:rsid w:val="00565E8F"/>
    <w:rsid w:val="00567385"/>
    <w:rsid w:val="00567436"/>
    <w:rsid w:val="00567B86"/>
    <w:rsid w:val="00570913"/>
    <w:rsid w:val="00574A2F"/>
    <w:rsid w:val="0057541C"/>
    <w:rsid w:val="005765BA"/>
    <w:rsid w:val="00576AAD"/>
    <w:rsid w:val="00577877"/>
    <w:rsid w:val="00577C3A"/>
    <w:rsid w:val="00580062"/>
    <w:rsid w:val="00583165"/>
    <w:rsid w:val="005836C8"/>
    <w:rsid w:val="00585068"/>
    <w:rsid w:val="005857A6"/>
    <w:rsid w:val="00587A91"/>
    <w:rsid w:val="00591404"/>
    <w:rsid w:val="00592639"/>
    <w:rsid w:val="00592FFA"/>
    <w:rsid w:val="0059309D"/>
    <w:rsid w:val="00594D1B"/>
    <w:rsid w:val="00597630"/>
    <w:rsid w:val="005A1B5F"/>
    <w:rsid w:val="005A4585"/>
    <w:rsid w:val="005A4719"/>
    <w:rsid w:val="005A51D8"/>
    <w:rsid w:val="005A609C"/>
    <w:rsid w:val="005A7262"/>
    <w:rsid w:val="005A7C51"/>
    <w:rsid w:val="005B1170"/>
    <w:rsid w:val="005B12AF"/>
    <w:rsid w:val="005B1318"/>
    <w:rsid w:val="005B4035"/>
    <w:rsid w:val="005B4553"/>
    <w:rsid w:val="005B47BC"/>
    <w:rsid w:val="005B56EA"/>
    <w:rsid w:val="005B5A6E"/>
    <w:rsid w:val="005B6793"/>
    <w:rsid w:val="005C0C5D"/>
    <w:rsid w:val="005C1FD4"/>
    <w:rsid w:val="005C243F"/>
    <w:rsid w:val="005C2F7B"/>
    <w:rsid w:val="005C3D11"/>
    <w:rsid w:val="005C3FC9"/>
    <w:rsid w:val="005C6994"/>
    <w:rsid w:val="005D06D1"/>
    <w:rsid w:val="005D1360"/>
    <w:rsid w:val="005D2DEC"/>
    <w:rsid w:val="005D2F4B"/>
    <w:rsid w:val="005D41B4"/>
    <w:rsid w:val="005D4B33"/>
    <w:rsid w:val="005D5B1A"/>
    <w:rsid w:val="005D67B9"/>
    <w:rsid w:val="005D7A7B"/>
    <w:rsid w:val="005D7C8A"/>
    <w:rsid w:val="005E0866"/>
    <w:rsid w:val="005E0A30"/>
    <w:rsid w:val="005E1089"/>
    <w:rsid w:val="005E113D"/>
    <w:rsid w:val="005E143F"/>
    <w:rsid w:val="005E4FD9"/>
    <w:rsid w:val="005F3E7D"/>
    <w:rsid w:val="005F4A9C"/>
    <w:rsid w:val="005F5DF1"/>
    <w:rsid w:val="005F77ED"/>
    <w:rsid w:val="006008C1"/>
    <w:rsid w:val="00600B00"/>
    <w:rsid w:val="006019C6"/>
    <w:rsid w:val="00601FCF"/>
    <w:rsid w:val="00602A24"/>
    <w:rsid w:val="00602E38"/>
    <w:rsid w:val="00603973"/>
    <w:rsid w:val="00603C19"/>
    <w:rsid w:val="0060518A"/>
    <w:rsid w:val="00606652"/>
    <w:rsid w:val="0060740A"/>
    <w:rsid w:val="00607873"/>
    <w:rsid w:val="0061068D"/>
    <w:rsid w:val="00610790"/>
    <w:rsid w:val="006110A9"/>
    <w:rsid w:val="006110ED"/>
    <w:rsid w:val="006134A9"/>
    <w:rsid w:val="006136C0"/>
    <w:rsid w:val="00613CCE"/>
    <w:rsid w:val="00614128"/>
    <w:rsid w:val="00614891"/>
    <w:rsid w:val="00614D10"/>
    <w:rsid w:val="00614FF0"/>
    <w:rsid w:val="00615D0C"/>
    <w:rsid w:val="006172C9"/>
    <w:rsid w:val="00617AFA"/>
    <w:rsid w:val="00620088"/>
    <w:rsid w:val="006214EA"/>
    <w:rsid w:val="00621C19"/>
    <w:rsid w:val="006263F6"/>
    <w:rsid w:val="006328FB"/>
    <w:rsid w:val="006353D3"/>
    <w:rsid w:val="00637974"/>
    <w:rsid w:val="0064126E"/>
    <w:rsid w:val="0064221A"/>
    <w:rsid w:val="00645D10"/>
    <w:rsid w:val="00646A75"/>
    <w:rsid w:val="00647920"/>
    <w:rsid w:val="006502A3"/>
    <w:rsid w:val="00651761"/>
    <w:rsid w:val="00651CDD"/>
    <w:rsid w:val="0065239C"/>
    <w:rsid w:val="006525D2"/>
    <w:rsid w:val="006547EB"/>
    <w:rsid w:val="0065516F"/>
    <w:rsid w:val="00655FD0"/>
    <w:rsid w:val="00656210"/>
    <w:rsid w:val="00656D32"/>
    <w:rsid w:val="00663B23"/>
    <w:rsid w:val="006646BB"/>
    <w:rsid w:val="0066492E"/>
    <w:rsid w:val="00665A7C"/>
    <w:rsid w:val="00665BB2"/>
    <w:rsid w:val="00665FC7"/>
    <w:rsid w:val="0066670F"/>
    <w:rsid w:val="0066679B"/>
    <w:rsid w:val="006669EE"/>
    <w:rsid w:val="0066755A"/>
    <w:rsid w:val="0067159C"/>
    <w:rsid w:val="00672550"/>
    <w:rsid w:val="00672703"/>
    <w:rsid w:val="00675A55"/>
    <w:rsid w:val="00675EEC"/>
    <w:rsid w:val="0067622E"/>
    <w:rsid w:val="0068312B"/>
    <w:rsid w:val="0068683E"/>
    <w:rsid w:val="00687ADE"/>
    <w:rsid w:val="00687F21"/>
    <w:rsid w:val="00690187"/>
    <w:rsid w:val="00690E28"/>
    <w:rsid w:val="00692E17"/>
    <w:rsid w:val="006939F7"/>
    <w:rsid w:val="0069457D"/>
    <w:rsid w:val="00695CB3"/>
    <w:rsid w:val="00696608"/>
    <w:rsid w:val="00697D94"/>
    <w:rsid w:val="006A03E2"/>
    <w:rsid w:val="006A0662"/>
    <w:rsid w:val="006A0734"/>
    <w:rsid w:val="006A079C"/>
    <w:rsid w:val="006A1BA0"/>
    <w:rsid w:val="006A1E89"/>
    <w:rsid w:val="006A2C5D"/>
    <w:rsid w:val="006A341A"/>
    <w:rsid w:val="006A4EA2"/>
    <w:rsid w:val="006A575D"/>
    <w:rsid w:val="006A655F"/>
    <w:rsid w:val="006A68D9"/>
    <w:rsid w:val="006B24D1"/>
    <w:rsid w:val="006B69CD"/>
    <w:rsid w:val="006B7678"/>
    <w:rsid w:val="006B7E5B"/>
    <w:rsid w:val="006C0B51"/>
    <w:rsid w:val="006C0C20"/>
    <w:rsid w:val="006C0E81"/>
    <w:rsid w:val="006C1579"/>
    <w:rsid w:val="006C210C"/>
    <w:rsid w:val="006C2A65"/>
    <w:rsid w:val="006C388E"/>
    <w:rsid w:val="006C4073"/>
    <w:rsid w:val="006C72E0"/>
    <w:rsid w:val="006C7492"/>
    <w:rsid w:val="006C7833"/>
    <w:rsid w:val="006D246A"/>
    <w:rsid w:val="006D3705"/>
    <w:rsid w:val="006D3751"/>
    <w:rsid w:val="006D389F"/>
    <w:rsid w:val="006E1B3B"/>
    <w:rsid w:val="006E2121"/>
    <w:rsid w:val="006E387D"/>
    <w:rsid w:val="006E3D49"/>
    <w:rsid w:val="006E57E9"/>
    <w:rsid w:val="006E67DE"/>
    <w:rsid w:val="006E7111"/>
    <w:rsid w:val="006E72C3"/>
    <w:rsid w:val="006F03DF"/>
    <w:rsid w:val="006F09A8"/>
    <w:rsid w:val="006F0C9D"/>
    <w:rsid w:val="006F1FBD"/>
    <w:rsid w:val="006F43AF"/>
    <w:rsid w:val="006F614F"/>
    <w:rsid w:val="006F692C"/>
    <w:rsid w:val="007000AF"/>
    <w:rsid w:val="007007C4"/>
    <w:rsid w:val="0070281F"/>
    <w:rsid w:val="00703239"/>
    <w:rsid w:val="0070335E"/>
    <w:rsid w:val="00703735"/>
    <w:rsid w:val="0070446E"/>
    <w:rsid w:val="00704AB8"/>
    <w:rsid w:val="00704BDD"/>
    <w:rsid w:val="00704E5C"/>
    <w:rsid w:val="00705390"/>
    <w:rsid w:val="00705963"/>
    <w:rsid w:val="007065E7"/>
    <w:rsid w:val="0070692B"/>
    <w:rsid w:val="00710237"/>
    <w:rsid w:val="007151E9"/>
    <w:rsid w:val="00716072"/>
    <w:rsid w:val="00716AAB"/>
    <w:rsid w:val="0071763F"/>
    <w:rsid w:val="007200A2"/>
    <w:rsid w:val="0072039B"/>
    <w:rsid w:val="00720802"/>
    <w:rsid w:val="00720BA1"/>
    <w:rsid w:val="007210AB"/>
    <w:rsid w:val="00721249"/>
    <w:rsid w:val="0072248E"/>
    <w:rsid w:val="00723DC2"/>
    <w:rsid w:val="007240C9"/>
    <w:rsid w:val="007245D4"/>
    <w:rsid w:val="00726281"/>
    <w:rsid w:val="00726496"/>
    <w:rsid w:val="00726522"/>
    <w:rsid w:val="00727340"/>
    <w:rsid w:val="00727D83"/>
    <w:rsid w:val="0073020B"/>
    <w:rsid w:val="0073037E"/>
    <w:rsid w:val="0073082B"/>
    <w:rsid w:val="00731187"/>
    <w:rsid w:val="0073232D"/>
    <w:rsid w:val="00734158"/>
    <w:rsid w:val="007350CD"/>
    <w:rsid w:val="007352CD"/>
    <w:rsid w:val="007355F8"/>
    <w:rsid w:val="00736EFF"/>
    <w:rsid w:val="00737844"/>
    <w:rsid w:val="00737C32"/>
    <w:rsid w:val="00740535"/>
    <w:rsid w:val="00744BBD"/>
    <w:rsid w:val="00745F90"/>
    <w:rsid w:val="007473EA"/>
    <w:rsid w:val="00750067"/>
    <w:rsid w:val="007522A8"/>
    <w:rsid w:val="00753CCE"/>
    <w:rsid w:val="007542E2"/>
    <w:rsid w:val="00756EBB"/>
    <w:rsid w:val="0075780A"/>
    <w:rsid w:val="0076079D"/>
    <w:rsid w:val="00760A4D"/>
    <w:rsid w:val="00761C73"/>
    <w:rsid w:val="00766138"/>
    <w:rsid w:val="007672BD"/>
    <w:rsid w:val="00767692"/>
    <w:rsid w:val="00767E38"/>
    <w:rsid w:val="00770317"/>
    <w:rsid w:val="007714B7"/>
    <w:rsid w:val="0077153A"/>
    <w:rsid w:val="007730EE"/>
    <w:rsid w:val="00773471"/>
    <w:rsid w:val="00777208"/>
    <w:rsid w:val="00777690"/>
    <w:rsid w:val="007813C4"/>
    <w:rsid w:val="00781D20"/>
    <w:rsid w:val="0078263F"/>
    <w:rsid w:val="007828D5"/>
    <w:rsid w:val="00782BF6"/>
    <w:rsid w:val="00783B6D"/>
    <w:rsid w:val="00784648"/>
    <w:rsid w:val="00785534"/>
    <w:rsid w:val="007868EA"/>
    <w:rsid w:val="007904D0"/>
    <w:rsid w:val="007918EE"/>
    <w:rsid w:val="00791DA1"/>
    <w:rsid w:val="007920EB"/>
    <w:rsid w:val="00794263"/>
    <w:rsid w:val="00795E23"/>
    <w:rsid w:val="007964B3"/>
    <w:rsid w:val="007969A8"/>
    <w:rsid w:val="00796A29"/>
    <w:rsid w:val="007971B4"/>
    <w:rsid w:val="0079734A"/>
    <w:rsid w:val="0079740D"/>
    <w:rsid w:val="007A2614"/>
    <w:rsid w:val="007A4617"/>
    <w:rsid w:val="007A4655"/>
    <w:rsid w:val="007A5989"/>
    <w:rsid w:val="007A5B55"/>
    <w:rsid w:val="007A678D"/>
    <w:rsid w:val="007B2BE4"/>
    <w:rsid w:val="007B2D58"/>
    <w:rsid w:val="007B4420"/>
    <w:rsid w:val="007B69CE"/>
    <w:rsid w:val="007C08C1"/>
    <w:rsid w:val="007C1B0A"/>
    <w:rsid w:val="007C2CDE"/>
    <w:rsid w:val="007C2D36"/>
    <w:rsid w:val="007C318E"/>
    <w:rsid w:val="007C5127"/>
    <w:rsid w:val="007C58CE"/>
    <w:rsid w:val="007C7E78"/>
    <w:rsid w:val="007C7EC1"/>
    <w:rsid w:val="007D0810"/>
    <w:rsid w:val="007D0973"/>
    <w:rsid w:val="007D0F35"/>
    <w:rsid w:val="007D192D"/>
    <w:rsid w:val="007D225A"/>
    <w:rsid w:val="007D235C"/>
    <w:rsid w:val="007D3DD0"/>
    <w:rsid w:val="007D552E"/>
    <w:rsid w:val="007E18C6"/>
    <w:rsid w:val="007E267E"/>
    <w:rsid w:val="007E2C8C"/>
    <w:rsid w:val="007E3006"/>
    <w:rsid w:val="007E37F4"/>
    <w:rsid w:val="007E4BC9"/>
    <w:rsid w:val="007E4EC1"/>
    <w:rsid w:val="007E506E"/>
    <w:rsid w:val="007E637B"/>
    <w:rsid w:val="007E7953"/>
    <w:rsid w:val="007F071A"/>
    <w:rsid w:val="007F131D"/>
    <w:rsid w:val="007F28BC"/>
    <w:rsid w:val="007F2D79"/>
    <w:rsid w:val="007F2F71"/>
    <w:rsid w:val="007F351B"/>
    <w:rsid w:val="007F446E"/>
    <w:rsid w:val="007F4C29"/>
    <w:rsid w:val="007F6CAE"/>
    <w:rsid w:val="007F6E4C"/>
    <w:rsid w:val="007F6FDA"/>
    <w:rsid w:val="007F72BA"/>
    <w:rsid w:val="008001B5"/>
    <w:rsid w:val="008009E2"/>
    <w:rsid w:val="00800BA9"/>
    <w:rsid w:val="00802413"/>
    <w:rsid w:val="00803E07"/>
    <w:rsid w:val="008061C0"/>
    <w:rsid w:val="00810F12"/>
    <w:rsid w:val="0081327A"/>
    <w:rsid w:val="00814A83"/>
    <w:rsid w:val="00814BE9"/>
    <w:rsid w:val="008171CD"/>
    <w:rsid w:val="00817826"/>
    <w:rsid w:val="008200AE"/>
    <w:rsid w:val="0082431E"/>
    <w:rsid w:val="008262E3"/>
    <w:rsid w:val="00826EAE"/>
    <w:rsid w:val="00832471"/>
    <w:rsid w:val="00835556"/>
    <w:rsid w:val="008362FE"/>
    <w:rsid w:val="00837541"/>
    <w:rsid w:val="008416E4"/>
    <w:rsid w:val="0084340E"/>
    <w:rsid w:val="00844C70"/>
    <w:rsid w:val="00844C72"/>
    <w:rsid w:val="00845BF6"/>
    <w:rsid w:val="00846205"/>
    <w:rsid w:val="00846865"/>
    <w:rsid w:val="00846C67"/>
    <w:rsid w:val="0085178C"/>
    <w:rsid w:val="00852C0F"/>
    <w:rsid w:val="00854545"/>
    <w:rsid w:val="008548A5"/>
    <w:rsid w:val="00854EF2"/>
    <w:rsid w:val="008576D0"/>
    <w:rsid w:val="0086068C"/>
    <w:rsid w:val="0086069A"/>
    <w:rsid w:val="00861F50"/>
    <w:rsid w:val="00862544"/>
    <w:rsid w:val="0086380C"/>
    <w:rsid w:val="008640A9"/>
    <w:rsid w:val="008640FB"/>
    <w:rsid w:val="00864D6B"/>
    <w:rsid w:val="00864EAD"/>
    <w:rsid w:val="008650C4"/>
    <w:rsid w:val="00865140"/>
    <w:rsid w:val="00867E13"/>
    <w:rsid w:val="00870ED3"/>
    <w:rsid w:val="00870F7F"/>
    <w:rsid w:val="0087327E"/>
    <w:rsid w:val="00874719"/>
    <w:rsid w:val="0087484F"/>
    <w:rsid w:val="00874CAB"/>
    <w:rsid w:val="00875902"/>
    <w:rsid w:val="00875957"/>
    <w:rsid w:val="00875E04"/>
    <w:rsid w:val="00876D66"/>
    <w:rsid w:val="00876FC2"/>
    <w:rsid w:val="008771EA"/>
    <w:rsid w:val="0088013D"/>
    <w:rsid w:val="00882542"/>
    <w:rsid w:val="00883A93"/>
    <w:rsid w:val="00886DE2"/>
    <w:rsid w:val="008879CE"/>
    <w:rsid w:val="008915AF"/>
    <w:rsid w:val="008926EF"/>
    <w:rsid w:val="00893B0C"/>
    <w:rsid w:val="00894978"/>
    <w:rsid w:val="008962B1"/>
    <w:rsid w:val="00896EE1"/>
    <w:rsid w:val="008972B5"/>
    <w:rsid w:val="008A31C0"/>
    <w:rsid w:val="008A3663"/>
    <w:rsid w:val="008A3B19"/>
    <w:rsid w:val="008A404D"/>
    <w:rsid w:val="008A510B"/>
    <w:rsid w:val="008A6B18"/>
    <w:rsid w:val="008B14DF"/>
    <w:rsid w:val="008B14E9"/>
    <w:rsid w:val="008B3D17"/>
    <w:rsid w:val="008B47B1"/>
    <w:rsid w:val="008B559E"/>
    <w:rsid w:val="008B5869"/>
    <w:rsid w:val="008B5B8C"/>
    <w:rsid w:val="008B6D31"/>
    <w:rsid w:val="008B7258"/>
    <w:rsid w:val="008C3197"/>
    <w:rsid w:val="008C3B8A"/>
    <w:rsid w:val="008C643E"/>
    <w:rsid w:val="008C7156"/>
    <w:rsid w:val="008D1936"/>
    <w:rsid w:val="008D3B5B"/>
    <w:rsid w:val="008D449F"/>
    <w:rsid w:val="008D4E93"/>
    <w:rsid w:val="008D58C5"/>
    <w:rsid w:val="008D675D"/>
    <w:rsid w:val="008D768D"/>
    <w:rsid w:val="008D7839"/>
    <w:rsid w:val="008E13B0"/>
    <w:rsid w:val="008E159D"/>
    <w:rsid w:val="008E2CBF"/>
    <w:rsid w:val="008E3D45"/>
    <w:rsid w:val="008E4AD3"/>
    <w:rsid w:val="008E5FC5"/>
    <w:rsid w:val="008E6658"/>
    <w:rsid w:val="008F0A58"/>
    <w:rsid w:val="008F1E98"/>
    <w:rsid w:val="008F3B11"/>
    <w:rsid w:val="008F5805"/>
    <w:rsid w:val="008F5EC4"/>
    <w:rsid w:val="008F62A8"/>
    <w:rsid w:val="008F63BA"/>
    <w:rsid w:val="008F6E1D"/>
    <w:rsid w:val="008F7A25"/>
    <w:rsid w:val="00902E4E"/>
    <w:rsid w:val="00903D3B"/>
    <w:rsid w:val="00904348"/>
    <w:rsid w:val="009044D9"/>
    <w:rsid w:val="00904574"/>
    <w:rsid w:val="009064B2"/>
    <w:rsid w:val="00906A14"/>
    <w:rsid w:val="00906C53"/>
    <w:rsid w:val="009108A6"/>
    <w:rsid w:val="00911120"/>
    <w:rsid w:val="00912574"/>
    <w:rsid w:val="00913C28"/>
    <w:rsid w:val="00920DAE"/>
    <w:rsid w:val="00921015"/>
    <w:rsid w:val="0092245C"/>
    <w:rsid w:val="0092509E"/>
    <w:rsid w:val="0093004D"/>
    <w:rsid w:val="00931184"/>
    <w:rsid w:val="009317F2"/>
    <w:rsid w:val="00932520"/>
    <w:rsid w:val="009330B0"/>
    <w:rsid w:val="00934CFA"/>
    <w:rsid w:val="00934D23"/>
    <w:rsid w:val="00941A3E"/>
    <w:rsid w:val="00942388"/>
    <w:rsid w:val="009424E5"/>
    <w:rsid w:val="009429F4"/>
    <w:rsid w:val="00942E26"/>
    <w:rsid w:val="0094354B"/>
    <w:rsid w:val="0094591C"/>
    <w:rsid w:val="00945C40"/>
    <w:rsid w:val="00946228"/>
    <w:rsid w:val="009465F3"/>
    <w:rsid w:val="00947246"/>
    <w:rsid w:val="00950289"/>
    <w:rsid w:val="009518E4"/>
    <w:rsid w:val="00951C92"/>
    <w:rsid w:val="00952D23"/>
    <w:rsid w:val="0095451C"/>
    <w:rsid w:val="00955841"/>
    <w:rsid w:val="00955B9C"/>
    <w:rsid w:val="00956316"/>
    <w:rsid w:val="00957FEE"/>
    <w:rsid w:val="00960658"/>
    <w:rsid w:val="0096079E"/>
    <w:rsid w:val="00961F8A"/>
    <w:rsid w:val="0096403C"/>
    <w:rsid w:val="009651D9"/>
    <w:rsid w:val="00965B38"/>
    <w:rsid w:val="00966BC0"/>
    <w:rsid w:val="00967005"/>
    <w:rsid w:val="00972865"/>
    <w:rsid w:val="0097331D"/>
    <w:rsid w:val="00974211"/>
    <w:rsid w:val="00975AD6"/>
    <w:rsid w:val="00975BB2"/>
    <w:rsid w:val="00976BDD"/>
    <w:rsid w:val="00976D16"/>
    <w:rsid w:val="009775AB"/>
    <w:rsid w:val="00980E45"/>
    <w:rsid w:val="0098175F"/>
    <w:rsid w:val="0098265A"/>
    <w:rsid w:val="00983B54"/>
    <w:rsid w:val="00984CA4"/>
    <w:rsid w:val="0098532D"/>
    <w:rsid w:val="00986C6A"/>
    <w:rsid w:val="009912FC"/>
    <w:rsid w:val="009915A2"/>
    <w:rsid w:val="00992373"/>
    <w:rsid w:val="00993B12"/>
    <w:rsid w:val="00993F34"/>
    <w:rsid w:val="00995902"/>
    <w:rsid w:val="00995CC0"/>
    <w:rsid w:val="00995FD9"/>
    <w:rsid w:val="009979C2"/>
    <w:rsid w:val="00997F73"/>
    <w:rsid w:val="009A0B1D"/>
    <w:rsid w:val="009A18A2"/>
    <w:rsid w:val="009A3982"/>
    <w:rsid w:val="009A3F8C"/>
    <w:rsid w:val="009A4404"/>
    <w:rsid w:val="009A5C29"/>
    <w:rsid w:val="009A6FFC"/>
    <w:rsid w:val="009B1EA5"/>
    <w:rsid w:val="009B214B"/>
    <w:rsid w:val="009B2524"/>
    <w:rsid w:val="009B3880"/>
    <w:rsid w:val="009B3BE7"/>
    <w:rsid w:val="009B3C34"/>
    <w:rsid w:val="009B3DD8"/>
    <w:rsid w:val="009B41DB"/>
    <w:rsid w:val="009B454C"/>
    <w:rsid w:val="009B4DDD"/>
    <w:rsid w:val="009B5DB8"/>
    <w:rsid w:val="009B625E"/>
    <w:rsid w:val="009B74C7"/>
    <w:rsid w:val="009C0C05"/>
    <w:rsid w:val="009C0C57"/>
    <w:rsid w:val="009C1B1C"/>
    <w:rsid w:val="009C4857"/>
    <w:rsid w:val="009C567D"/>
    <w:rsid w:val="009D10B0"/>
    <w:rsid w:val="009D1139"/>
    <w:rsid w:val="009D29B6"/>
    <w:rsid w:val="009D5B37"/>
    <w:rsid w:val="009D6F82"/>
    <w:rsid w:val="009D71C2"/>
    <w:rsid w:val="009E191E"/>
    <w:rsid w:val="009E229A"/>
    <w:rsid w:val="009E22D6"/>
    <w:rsid w:val="009E2A24"/>
    <w:rsid w:val="009E3378"/>
    <w:rsid w:val="009E51AE"/>
    <w:rsid w:val="009E6A8D"/>
    <w:rsid w:val="009F09D3"/>
    <w:rsid w:val="009F0A7D"/>
    <w:rsid w:val="009F0F38"/>
    <w:rsid w:val="009F1257"/>
    <w:rsid w:val="009F1433"/>
    <w:rsid w:val="009F5E8B"/>
    <w:rsid w:val="009F63B0"/>
    <w:rsid w:val="009F7DEE"/>
    <w:rsid w:val="00A002DD"/>
    <w:rsid w:val="00A009DE"/>
    <w:rsid w:val="00A03B2C"/>
    <w:rsid w:val="00A04FED"/>
    <w:rsid w:val="00A05F6D"/>
    <w:rsid w:val="00A0673D"/>
    <w:rsid w:val="00A07C51"/>
    <w:rsid w:val="00A07CE8"/>
    <w:rsid w:val="00A118AF"/>
    <w:rsid w:val="00A11D24"/>
    <w:rsid w:val="00A15518"/>
    <w:rsid w:val="00A15CD8"/>
    <w:rsid w:val="00A16717"/>
    <w:rsid w:val="00A16DA5"/>
    <w:rsid w:val="00A17117"/>
    <w:rsid w:val="00A1753E"/>
    <w:rsid w:val="00A207E3"/>
    <w:rsid w:val="00A20D23"/>
    <w:rsid w:val="00A22F5C"/>
    <w:rsid w:val="00A23B3E"/>
    <w:rsid w:val="00A24942"/>
    <w:rsid w:val="00A273A0"/>
    <w:rsid w:val="00A27D9C"/>
    <w:rsid w:val="00A30061"/>
    <w:rsid w:val="00A311CB"/>
    <w:rsid w:val="00A311DF"/>
    <w:rsid w:val="00A313C4"/>
    <w:rsid w:val="00A33536"/>
    <w:rsid w:val="00A34D7F"/>
    <w:rsid w:val="00A3691F"/>
    <w:rsid w:val="00A37383"/>
    <w:rsid w:val="00A37DC0"/>
    <w:rsid w:val="00A407F2"/>
    <w:rsid w:val="00A41F7B"/>
    <w:rsid w:val="00A43E83"/>
    <w:rsid w:val="00A45A3B"/>
    <w:rsid w:val="00A463B2"/>
    <w:rsid w:val="00A46F41"/>
    <w:rsid w:val="00A47252"/>
    <w:rsid w:val="00A52C21"/>
    <w:rsid w:val="00A52F9A"/>
    <w:rsid w:val="00A54460"/>
    <w:rsid w:val="00A5558D"/>
    <w:rsid w:val="00A600D8"/>
    <w:rsid w:val="00A60372"/>
    <w:rsid w:val="00A62BF7"/>
    <w:rsid w:val="00A630CC"/>
    <w:rsid w:val="00A6568D"/>
    <w:rsid w:val="00A66DF4"/>
    <w:rsid w:val="00A67A52"/>
    <w:rsid w:val="00A67F6F"/>
    <w:rsid w:val="00A73251"/>
    <w:rsid w:val="00A7378B"/>
    <w:rsid w:val="00A755FC"/>
    <w:rsid w:val="00A7723A"/>
    <w:rsid w:val="00A8107A"/>
    <w:rsid w:val="00A81A02"/>
    <w:rsid w:val="00A84A28"/>
    <w:rsid w:val="00A84E0B"/>
    <w:rsid w:val="00A85582"/>
    <w:rsid w:val="00A868C7"/>
    <w:rsid w:val="00A92E69"/>
    <w:rsid w:val="00A940EF"/>
    <w:rsid w:val="00A94954"/>
    <w:rsid w:val="00A96143"/>
    <w:rsid w:val="00A96B26"/>
    <w:rsid w:val="00A96FDE"/>
    <w:rsid w:val="00A97CE2"/>
    <w:rsid w:val="00AA140A"/>
    <w:rsid w:val="00AA148A"/>
    <w:rsid w:val="00AA4570"/>
    <w:rsid w:val="00AA4B5D"/>
    <w:rsid w:val="00AA592A"/>
    <w:rsid w:val="00AA5BEA"/>
    <w:rsid w:val="00AA5D10"/>
    <w:rsid w:val="00AA696A"/>
    <w:rsid w:val="00AB0226"/>
    <w:rsid w:val="00AB0331"/>
    <w:rsid w:val="00AB0666"/>
    <w:rsid w:val="00AB1A49"/>
    <w:rsid w:val="00AB2481"/>
    <w:rsid w:val="00AB28C3"/>
    <w:rsid w:val="00AB2CF6"/>
    <w:rsid w:val="00AB3631"/>
    <w:rsid w:val="00AB40EC"/>
    <w:rsid w:val="00AB59CD"/>
    <w:rsid w:val="00AB779C"/>
    <w:rsid w:val="00AC0489"/>
    <w:rsid w:val="00AC0B1E"/>
    <w:rsid w:val="00AC0DEB"/>
    <w:rsid w:val="00AC1324"/>
    <w:rsid w:val="00AC13AB"/>
    <w:rsid w:val="00AC150F"/>
    <w:rsid w:val="00AC2A70"/>
    <w:rsid w:val="00AC3FCA"/>
    <w:rsid w:val="00AC4D17"/>
    <w:rsid w:val="00AC5C14"/>
    <w:rsid w:val="00AC5F15"/>
    <w:rsid w:val="00AC698D"/>
    <w:rsid w:val="00AC6B08"/>
    <w:rsid w:val="00AC745D"/>
    <w:rsid w:val="00AC7A85"/>
    <w:rsid w:val="00AD0949"/>
    <w:rsid w:val="00AD401B"/>
    <w:rsid w:val="00AD6E18"/>
    <w:rsid w:val="00AD7002"/>
    <w:rsid w:val="00AD7A54"/>
    <w:rsid w:val="00AE2DE8"/>
    <w:rsid w:val="00AE52D5"/>
    <w:rsid w:val="00AE54CC"/>
    <w:rsid w:val="00AE5E7B"/>
    <w:rsid w:val="00AE6BB6"/>
    <w:rsid w:val="00AE7C2D"/>
    <w:rsid w:val="00AE7EDD"/>
    <w:rsid w:val="00AF0F3D"/>
    <w:rsid w:val="00AF1D27"/>
    <w:rsid w:val="00AF1E26"/>
    <w:rsid w:val="00AF21BB"/>
    <w:rsid w:val="00AF4052"/>
    <w:rsid w:val="00AF4930"/>
    <w:rsid w:val="00AF6AE4"/>
    <w:rsid w:val="00B0094D"/>
    <w:rsid w:val="00B0460D"/>
    <w:rsid w:val="00B05717"/>
    <w:rsid w:val="00B11F42"/>
    <w:rsid w:val="00B1294C"/>
    <w:rsid w:val="00B12D2D"/>
    <w:rsid w:val="00B1311B"/>
    <w:rsid w:val="00B1586A"/>
    <w:rsid w:val="00B172B4"/>
    <w:rsid w:val="00B17900"/>
    <w:rsid w:val="00B17B4A"/>
    <w:rsid w:val="00B20F3A"/>
    <w:rsid w:val="00B2171C"/>
    <w:rsid w:val="00B2212B"/>
    <w:rsid w:val="00B2228F"/>
    <w:rsid w:val="00B24F3F"/>
    <w:rsid w:val="00B25136"/>
    <w:rsid w:val="00B26B27"/>
    <w:rsid w:val="00B272DA"/>
    <w:rsid w:val="00B2761E"/>
    <w:rsid w:val="00B31955"/>
    <w:rsid w:val="00B3240F"/>
    <w:rsid w:val="00B3246B"/>
    <w:rsid w:val="00B32A75"/>
    <w:rsid w:val="00B331DA"/>
    <w:rsid w:val="00B3410C"/>
    <w:rsid w:val="00B3490B"/>
    <w:rsid w:val="00B3572D"/>
    <w:rsid w:val="00B358F7"/>
    <w:rsid w:val="00B3615F"/>
    <w:rsid w:val="00B36357"/>
    <w:rsid w:val="00B371D6"/>
    <w:rsid w:val="00B41307"/>
    <w:rsid w:val="00B4133D"/>
    <w:rsid w:val="00B4326D"/>
    <w:rsid w:val="00B43A57"/>
    <w:rsid w:val="00B43F53"/>
    <w:rsid w:val="00B44C3F"/>
    <w:rsid w:val="00B4536D"/>
    <w:rsid w:val="00B4597E"/>
    <w:rsid w:val="00B45D09"/>
    <w:rsid w:val="00B470B1"/>
    <w:rsid w:val="00B4742B"/>
    <w:rsid w:val="00B47C78"/>
    <w:rsid w:val="00B51362"/>
    <w:rsid w:val="00B52BBC"/>
    <w:rsid w:val="00B54AD1"/>
    <w:rsid w:val="00B6055B"/>
    <w:rsid w:val="00B606AA"/>
    <w:rsid w:val="00B609C6"/>
    <w:rsid w:val="00B62054"/>
    <w:rsid w:val="00B65539"/>
    <w:rsid w:val="00B65B19"/>
    <w:rsid w:val="00B65D23"/>
    <w:rsid w:val="00B668C2"/>
    <w:rsid w:val="00B67E38"/>
    <w:rsid w:val="00B70EDB"/>
    <w:rsid w:val="00B71091"/>
    <w:rsid w:val="00B71FF8"/>
    <w:rsid w:val="00B72546"/>
    <w:rsid w:val="00B725CA"/>
    <w:rsid w:val="00B7327F"/>
    <w:rsid w:val="00B73547"/>
    <w:rsid w:val="00B74892"/>
    <w:rsid w:val="00B75873"/>
    <w:rsid w:val="00B76DC9"/>
    <w:rsid w:val="00B76F4C"/>
    <w:rsid w:val="00B772DC"/>
    <w:rsid w:val="00B77BDC"/>
    <w:rsid w:val="00B77C4E"/>
    <w:rsid w:val="00B80690"/>
    <w:rsid w:val="00B807B1"/>
    <w:rsid w:val="00B80CBF"/>
    <w:rsid w:val="00B80D24"/>
    <w:rsid w:val="00B8118E"/>
    <w:rsid w:val="00B812C3"/>
    <w:rsid w:val="00B8273A"/>
    <w:rsid w:val="00B83195"/>
    <w:rsid w:val="00B8562F"/>
    <w:rsid w:val="00B861B8"/>
    <w:rsid w:val="00B8681F"/>
    <w:rsid w:val="00B86C39"/>
    <w:rsid w:val="00B901AF"/>
    <w:rsid w:val="00B924BF"/>
    <w:rsid w:val="00B93534"/>
    <w:rsid w:val="00B93CF9"/>
    <w:rsid w:val="00B94AEA"/>
    <w:rsid w:val="00B95885"/>
    <w:rsid w:val="00B96144"/>
    <w:rsid w:val="00BA1FBF"/>
    <w:rsid w:val="00BA2BC7"/>
    <w:rsid w:val="00BA443F"/>
    <w:rsid w:val="00BA5A4D"/>
    <w:rsid w:val="00BA5CAD"/>
    <w:rsid w:val="00BA695E"/>
    <w:rsid w:val="00BA7781"/>
    <w:rsid w:val="00BB208D"/>
    <w:rsid w:val="00BB401F"/>
    <w:rsid w:val="00BB5532"/>
    <w:rsid w:val="00BB596A"/>
    <w:rsid w:val="00BC023C"/>
    <w:rsid w:val="00BC0A98"/>
    <w:rsid w:val="00BC20CA"/>
    <w:rsid w:val="00BC37D4"/>
    <w:rsid w:val="00BC5D03"/>
    <w:rsid w:val="00BD190F"/>
    <w:rsid w:val="00BD1E52"/>
    <w:rsid w:val="00BD2030"/>
    <w:rsid w:val="00BD2657"/>
    <w:rsid w:val="00BD301C"/>
    <w:rsid w:val="00BD31AE"/>
    <w:rsid w:val="00BD6972"/>
    <w:rsid w:val="00BD7FA4"/>
    <w:rsid w:val="00BE109A"/>
    <w:rsid w:val="00BE25F7"/>
    <w:rsid w:val="00BE387D"/>
    <w:rsid w:val="00BE39C2"/>
    <w:rsid w:val="00BE3FD4"/>
    <w:rsid w:val="00BE5363"/>
    <w:rsid w:val="00BE6D76"/>
    <w:rsid w:val="00BE7D35"/>
    <w:rsid w:val="00BF0EC9"/>
    <w:rsid w:val="00BF2657"/>
    <w:rsid w:val="00BF4FF7"/>
    <w:rsid w:val="00BF57E2"/>
    <w:rsid w:val="00BF6031"/>
    <w:rsid w:val="00BF719F"/>
    <w:rsid w:val="00BF79FA"/>
    <w:rsid w:val="00C0126B"/>
    <w:rsid w:val="00C024DE"/>
    <w:rsid w:val="00C02C0D"/>
    <w:rsid w:val="00C03ABB"/>
    <w:rsid w:val="00C05A36"/>
    <w:rsid w:val="00C073B1"/>
    <w:rsid w:val="00C1082C"/>
    <w:rsid w:val="00C116BF"/>
    <w:rsid w:val="00C12E26"/>
    <w:rsid w:val="00C13E34"/>
    <w:rsid w:val="00C151B0"/>
    <w:rsid w:val="00C15499"/>
    <w:rsid w:val="00C15BE2"/>
    <w:rsid w:val="00C169B6"/>
    <w:rsid w:val="00C17802"/>
    <w:rsid w:val="00C201B1"/>
    <w:rsid w:val="00C21250"/>
    <w:rsid w:val="00C21AC3"/>
    <w:rsid w:val="00C231A9"/>
    <w:rsid w:val="00C23441"/>
    <w:rsid w:val="00C26DBC"/>
    <w:rsid w:val="00C30597"/>
    <w:rsid w:val="00C3149F"/>
    <w:rsid w:val="00C31E60"/>
    <w:rsid w:val="00C425F8"/>
    <w:rsid w:val="00C44FAE"/>
    <w:rsid w:val="00C456DE"/>
    <w:rsid w:val="00C4583A"/>
    <w:rsid w:val="00C46AF5"/>
    <w:rsid w:val="00C470A0"/>
    <w:rsid w:val="00C479E0"/>
    <w:rsid w:val="00C5145E"/>
    <w:rsid w:val="00C51E39"/>
    <w:rsid w:val="00C53721"/>
    <w:rsid w:val="00C54302"/>
    <w:rsid w:val="00C54380"/>
    <w:rsid w:val="00C544B5"/>
    <w:rsid w:val="00C54A8D"/>
    <w:rsid w:val="00C54AB0"/>
    <w:rsid w:val="00C54B48"/>
    <w:rsid w:val="00C55D3D"/>
    <w:rsid w:val="00C574E0"/>
    <w:rsid w:val="00C5769D"/>
    <w:rsid w:val="00C57CEC"/>
    <w:rsid w:val="00C60AEF"/>
    <w:rsid w:val="00C60F53"/>
    <w:rsid w:val="00C61B10"/>
    <w:rsid w:val="00C620FC"/>
    <w:rsid w:val="00C62770"/>
    <w:rsid w:val="00C63E6B"/>
    <w:rsid w:val="00C647BA"/>
    <w:rsid w:val="00C6493E"/>
    <w:rsid w:val="00C658BA"/>
    <w:rsid w:val="00C66FD6"/>
    <w:rsid w:val="00C670A2"/>
    <w:rsid w:val="00C67810"/>
    <w:rsid w:val="00C70D0F"/>
    <w:rsid w:val="00C72F1C"/>
    <w:rsid w:val="00C75BE4"/>
    <w:rsid w:val="00C82C13"/>
    <w:rsid w:val="00C83AD6"/>
    <w:rsid w:val="00C85275"/>
    <w:rsid w:val="00C8572B"/>
    <w:rsid w:val="00C864DE"/>
    <w:rsid w:val="00C86BC6"/>
    <w:rsid w:val="00C91109"/>
    <w:rsid w:val="00C929ED"/>
    <w:rsid w:val="00C94058"/>
    <w:rsid w:val="00C9460F"/>
    <w:rsid w:val="00C95DA5"/>
    <w:rsid w:val="00C96144"/>
    <w:rsid w:val="00C96393"/>
    <w:rsid w:val="00CA121C"/>
    <w:rsid w:val="00CA19E8"/>
    <w:rsid w:val="00CB08B3"/>
    <w:rsid w:val="00CB697C"/>
    <w:rsid w:val="00CB7853"/>
    <w:rsid w:val="00CB7B99"/>
    <w:rsid w:val="00CB7F0A"/>
    <w:rsid w:val="00CC043C"/>
    <w:rsid w:val="00CC05C7"/>
    <w:rsid w:val="00CC0E59"/>
    <w:rsid w:val="00CC0F09"/>
    <w:rsid w:val="00CC2E0A"/>
    <w:rsid w:val="00CC4088"/>
    <w:rsid w:val="00CC61BE"/>
    <w:rsid w:val="00CC68DC"/>
    <w:rsid w:val="00CC6B12"/>
    <w:rsid w:val="00CC718D"/>
    <w:rsid w:val="00CC7D5D"/>
    <w:rsid w:val="00CD0E77"/>
    <w:rsid w:val="00CD1449"/>
    <w:rsid w:val="00CD2D8D"/>
    <w:rsid w:val="00CD359E"/>
    <w:rsid w:val="00CD5579"/>
    <w:rsid w:val="00CD55CA"/>
    <w:rsid w:val="00CD58BE"/>
    <w:rsid w:val="00CE1528"/>
    <w:rsid w:val="00CE3679"/>
    <w:rsid w:val="00CE4084"/>
    <w:rsid w:val="00CE5D90"/>
    <w:rsid w:val="00CE617D"/>
    <w:rsid w:val="00CF0956"/>
    <w:rsid w:val="00CF12C4"/>
    <w:rsid w:val="00CF14A5"/>
    <w:rsid w:val="00CF1B6D"/>
    <w:rsid w:val="00CF3199"/>
    <w:rsid w:val="00CF54A7"/>
    <w:rsid w:val="00CF647D"/>
    <w:rsid w:val="00D01695"/>
    <w:rsid w:val="00D02890"/>
    <w:rsid w:val="00D030C0"/>
    <w:rsid w:val="00D04B0F"/>
    <w:rsid w:val="00D04E4F"/>
    <w:rsid w:val="00D06BC1"/>
    <w:rsid w:val="00D0745E"/>
    <w:rsid w:val="00D1041C"/>
    <w:rsid w:val="00D10B1F"/>
    <w:rsid w:val="00D12C96"/>
    <w:rsid w:val="00D12FC6"/>
    <w:rsid w:val="00D13378"/>
    <w:rsid w:val="00D139DC"/>
    <w:rsid w:val="00D13AAF"/>
    <w:rsid w:val="00D13F51"/>
    <w:rsid w:val="00D145F5"/>
    <w:rsid w:val="00D14DF3"/>
    <w:rsid w:val="00D14F8F"/>
    <w:rsid w:val="00D15804"/>
    <w:rsid w:val="00D17822"/>
    <w:rsid w:val="00D22D5F"/>
    <w:rsid w:val="00D237A2"/>
    <w:rsid w:val="00D2458D"/>
    <w:rsid w:val="00D24A8F"/>
    <w:rsid w:val="00D24F3C"/>
    <w:rsid w:val="00D2700E"/>
    <w:rsid w:val="00D2753B"/>
    <w:rsid w:val="00D30DA0"/>
    <w:rsid w:val="00D330A2"/>
    <w:rsid w:val="00D34DAA"/>
    <w:rsid w:val="00D36772"/>
    <w:rsid w:val="00D43C71"/>
    <w:rsid w:val="00D441B1"/>
    <w:rsid w:val="00D45363"/>
    <w:rsid w:val="00D46104"/>
    <w:rsid w:val="00D46110"/>
    <w:rsid w:val="00D472F4"/>
    <w:rsid w:val="00D47FC5"/>
    <w:rsid w:val="00D50BAD"/>
    <w:rsid w:val="00D53378"/>
    <w:rsid w:val="00D53508"/>
    <w:rsid w:val="00D56921"/>
    <w:rsid w:val="00D575EB"/>
    <w:rsid w:val="00D61585"/>
    <w:rsid w:val="00D61DA9"/>
    <w:rsid w:val="00D62259"/>
    <w:rsid w:val="00D62AFA"/>
    <w:rsid w:val="00D62F1A"/>
    <w:rsid w:val="00D6368A"/>
    <w:rsid w:val="00D6459B"/>
    <w:rsid w:val="00D658B4"/>
    <w:rsid w:val="00D6709F"/>
    <w:rsid w:val="00D71102"/>
    <w:rsid w:val="00D724BD"/>
    <w:rsid w:val="00D73846"/>
    <w:rsid w:val="00D74DB7"/>
    <w:rsid w:val="00D776D0"/>
    <w:rsid w:val="00D80175"/>
    <w:rsid w:val="00D8068E"/>
    <w:rsid w:val="00D8114A"/>
    <w:rsid w:val="00D81FCE"/>
    <w:rsid w:val="00D82467"/>
    <w:rsid w:val="00D825C9"/>
    <w:rsid w:val="00D8347A"/>
    <w:rsid w:val="00D83F43"/>
    <w:rsid w:val="00D84644"/>
    <w:rsid w:val="00D8481E"/>
    <w:rsid w:val="00D8766D"/>
    <w:rsid w:val="00DA2BA4"/>
    <w:rsid w:val="00DA2CF4"/>
    <w:rsid w:val="00DA4C85"/>
    <w:rsid w:val="00DA63DB"/>
    <w:rsid w:val="00DB0DF9"/>
    <w:rsid w:val="00DB11D3"/>
    <w:rsid w:val="00DB448C"/>
    <w:rsid w:val="00DB4644"/>
    <w:rsid w:val="00DB4767"/>
    <w:rsid w:val="00DB527F"/>
    <w:rsid w:val="00DB70D5"/>
    <w:rsid w:val="00DB79DC"/>
    <w:rsid w:val="00DC0867"/>
    <w:rsid w:val="00DC09AE"/>
    <w:rsid w:val="00DC09CC"/>
    <w:rsid w:val="00DC0FD8"/>
    <w:rsid w:val="00DC10FA"/>
    <w:rsid w:val="00DC32C0"/>
    <w:rsid w:val="00DC3586"/>
    <w:rsid w:val="00DC3BED"/>
    <w:rsid w:val="00DC3EBC"/>
    <w:rsid w:val="00DC4FCF"/>
    <w:rsid w:val="00DC6C44"/>
    <w:rsid w:val="00DD11D6"/>
    <w:rsid w:val="00DD17FB"/>
    <w:rsid w:val="00DD3860"/>
    <w:rsid w:val="00DD5151"/>
    <w:rsid w:val="00DD5245"/>
    <w:rsid w:val="00DD5A15"/>
    <w:rsid w:val="00DD76F8"/>
    <w:rsid w:val="00DD7CFE"/>
    <w:rsid w:val="00DD7E8C"/>
    <w:rsid w:val="00DE1AB5"/>
    <w:rsid w:val="00DE1B75"/>
    <w:rsid w:val="00DE2BCC"/>
    <w:rsid w:val="00DE3741"/>
    <w:rsid w:val="00DE41A3"/>
    <w:rsid w:val="00DE4353"/>
    <w:rsid w:val="00DE5504"/>
    <w:rsid w:val="00DE566C"/>
    <w:rsid w:val="00DE6F0D"/>
    <w:rsid w:val="00DE7128"/>
    <w:rsid w:val="00DE745F"/>
    <w:rsid w:val="00DF01E7"/>
    <w:rsid w:val="00DF38FF"/>
    <w:rsid w:val="00DF488B"/>
    <w:rsid w:val="00DF4FA1"/>
    <w:rsid w:val="00DF594C"/>
    <w:rsid w:val="00DF787D"/>
    <w:rsid w:val="00E003F2"/>
    <w:rsid w:val="00E04E38"/>
    <w:rsid w:val="00E10073"/>
    <w:rsid w:val="00E10E95"/>
    <w:rsid w:val="00E1248A"/>
    <w:rsid w:val="00E12A75"/>
    <w:rsid w:val="00E13D67"/>
    <w:rsid w:val="00E1558C"/>
    <w:rsid w:val="00E15CDD"/>
    <w:rsid w:val="00E16E7E"/>
    <w:rsid w:val="00E17051"/>
    <w:rsid w:val="00E213D8"/>
    <w:rsid w:val="00E221E4"/>
    <w:rsid w:val="00E2224D"/>
    <w:rsid w:val="00E227CA"/>
    <w:rsid w:val="00E23F16"/>
    <w:rsid w:val="00E24078"/>
    <w:rsid w:val="00E240D2"/>
    <w:rsid w:val="00E25C03"/>
    <w:rsid w:val="00E30495"/>
    <w:rsid w:val="00E31999"/>
    <w:rsid w:val="00E31C9C"/>
    <w:rsid w:val="00E3319F"/>
    <w:rsid w:val="00E3332A"/>
    <w:rsid w:val="00E4021D"/>
    <w:rsid w:val="00E40744"/>
    <w:rsid w:val="00E42065"/>
    <w:rsid w:val="00E426FF"/>
    <w:rsid w:val="00E42F79"/>
    <w:rsid w:val="00E47F0C"/>
    <w:rsid w:val="00E50E68"/>
    <w:rsid w:val="00E5113F"/>
    <w:rsid w:val="00E52B5B"/>
    <w:rsid w:val="00E543EC"/>
    <w:rsid w:val="00E545D9"/>
    <w:rsid w:val="00E5591F"/>
    <w:rsid w:val="00E560E4"/>
    <w:rsid w:val="00E56737"/>
    <w:rsid w:val="00E5750F"/>
    <w:rsid w:val="00E60A74"/>
    <w:rsid w:val="00E60E09"/>
    <w:rsid w:val="00E62D7E"/>
    <w:rsid w:val="00E633C6"/>
    <w:rsid w:val="00E63ED0"/>
    <w:rsid w:val="00E64634"/>
    <w:rsid w:val="00E64EB1"/>
    <w:rsid w:val="00E66776"/>
    <w:rsid w:val="00E72661"/>
    <w:rsid w:val="00E72F15"/>
    <w:rsid w:val="00E74FD5"/>
    <w:rsid w:val="00E7543E"/>
    <w:rsid w:val="00E76070"/>
    <w:rsid w:val="00E76CCA"/>
    <w:rsid w:val="00E778B7"/>
    <w:rsid w:val="00E77C7C"/>
    <w:rsid w:val="00E8227B"/>
    <w:rsid w:val="00E82DAB"/>
    <w:rsid w:val="00E84029"/>
    <w:rsid w:val="00E8442A"/>
    <w:rsid w:val="00E846AC"/>
    <w:rsid w:val="00E859CB"/>
    <w:rsid w:val="00E87DF3"/>
    <w:rsid w:val="00E906BB"/>
    <w:rsid w:val="00E9107E"/>
    <w:rsid w:val="00E919BC"/>
    <w:rsid w:val="00E91D77"/>
    <w:rsid w:val="00E93BE8"/>
    <w:rsid w:val="00E94481"/>
    <w:rsid w:val="00E970E3"/>
    <w:rsid w:val="00EA01A1"/>
    <w:rsid w:val="00EA1C36"/>
    <w:rsid w:val="00EA1EA8"/>
    <w:rsid w:val="00EA25C5"/>
    <w:rsid w:val="00EA4184"/>
    <w:rsid w:val="00EA44BB"/>
    <w:rsid w:val="00EA5242"/>
    <w:rsid w:val="00EA578A"/>
    <w:rsid w:val="00EA5F05"/>
    <w:rsid w:val="00EA605F"/>
    <w:rsid w:val="00EB1A3E"/>
    <w:rsid w:val="00EB2153"/>
    <w:rsid w:val="00EB2BCD"/>
    <w:rsid w:val="00EB4867"/>
    <w:rsid w:val="00EB4F57"/>
    <w:rsid w:val="00EB657B"/>
    <w:rsid w:val="00EB784B"/>
    <w:rsid w:val="00EB78A9"/>
    <w:rsid w:val="00EB7D92"/>
    <w:rsid w:val="00EC14FB"/>
    <w:rsid w:val="00EC167E"/>
    <w:rsid w:val="00EC2529"/>
    <w:rsid w:val="00EC2ACB"/>
    <w:rsid w:val="00EC3591"/>
    <w:rsid w:val="00EC576D"/>
    <w:rsid w:val="00EC6E23"/>
    <w:rsid w:val="00EC6FBB"/>
    <w:rsid w:val="00ED0302"/>
    <w:rsid w:val="00ED102E"/>
    <w:rsid w:val="00ED1E8A"/>
    <w:rsid w:val="00ED2738"/>
    <w:rsid w:val="00ED416C"/>
    <w:rsid w:val="00ED5202"/>
    <w:rsid w:val="00ED6864"/>
    <w:rsid w:val="00ED6C3B"/>
    <w:rsid w:val="00EE1127"/>
    <w:rsid w:val="00EE2B0C"/>
    <w:rsid w:val="00EE2F12"/>
    <w:rsid w:val="00EE339D"/>
    <w:rsid w:val="00EE36E0"/>
    <w:rsid w:val="00EE37A6"/>
    <w:rsid w:val="00EE4CFC"/>
    <w:rsid w:val="00EE7015"/>
    <w:rsid w:val="00EE760E"/>
    <w:rsid w:val="00EF004A"/>
    <w:rsid w:val="00EF1A21"/>
    <w:rsid w:val="00EF1E24"/>
    <w:rsid w:val="00EF3484"/>
    <w:rsid w:val="00EF36C5"/>
    <w:rsid w:val="00EF51CA"/>
    <w:rsid w:val="00EF73B1"/>
    <w:rsid w:val="00EF7C81"/>
    <w:rsid w:val="00F00376"/>
    <w:rsid w:val="00F00F3E"/>
    <w:rsid w:val="00F0145B"/>
    <w:rsid w:val="00F0188B"/>
    <w:rsid w:val="00F02395"/>
    <w:rsid w:val="00F02553"/>
    <w:rsid w:val="00F03B10"/>
    <w:rsid w:val="00F04A98"/>
    <w:rsid w:val="00F05DF3"/>
    <w:rsid w:val="00F0720D"/>
    <w:rsid w:val="00F074DA"/>
    <w:rsid w:val="00F07DBC"/>
    <w:rsid w:val="00F112C3"/>
    <w:rsid w:val="00F1209E"/>
    <w:rsid w:val="00F12121"/>
    <w:rsid w:val="00F132A9"/>
    <w:rsid w:val="00F1414E"/>
    <w:rsid w:val="00F14663"/>
    <w:rsid w:val="00F16739"/>
    <w:rsid w:val="00F16A22"/>
    <w:rsid w:val="00F17D68"/>
    <w:rsid w:val="00F20705"/>
    <w:rsid w:val="00F20E09"/>
    <w:rsid w:val="00F20F21"/>
    <w:rsid w:val="00F21AE1"/>
    <w:rsid w:val="00F22364"/>
    <w:rsid w:val="00F224AF"/>
    <w:rsid w:val="00F24FBE"/>
    <w:rsid w:val="00F24FC1"/>
    <w:rsid w:val="00F26BC8"/>
    <w:rsid w:val="00F31569"/>
    <w:rsid w:val="00F32558"/>
    <w:rsid w:val="00F32AAE"/>
    <w:rsid w:val="00F32B13"/>
    <w:rsid w:val="00F32F03"/>
    <w:rsid w:val="00F34BF4"/>
    <w:rsid w:val="00F35B9D"/>
    <w:rsid w:val="00F37B95"/>
    <w:rsid w:val="00F37E7C"/>
    <w:rsid w:val="00F422D8"/>
    <w:rsid w:val="00F44AE7"/>
    <w:rsid w:val="00F44DA9"/>
    <w:rsid w:val="00F45DCF"/>
    <w:rsid w:val="00F46EE5"/>
    <w:rsid w:val="00F47526"/>
    <w:rsid w:val="00F475EA"/>
    <w:rsid w:val="00F4798A"/>
    <w:rsid w:val="00F47D8B"/>
    <w:rsid w:val="00F51133"/>
    <w:rsid w:val="00F51358"/>
    <w:rsid w:val="00F547E7"/>
    <w:rsid w:val="00F57B6B"/>
    <w:rsid w:val="00F608CE"/>
    <w:rsid w:val="00F612A7"/>
    <w:rsid w:val="00F612DC"/>
    <w:rsid w:val="00F621E7"/>
    <w:rsid w:val="00F625FC"/>
    <w:rsid w:val="00F629DB"/>
    <w:rsid w:val="00F62BD1"/>
    <w:rsid w:val="00F62DC2"/>
    <w:rsid w:val="00F62F45"/>
    <w:rsid w:val="00F635AD"/>
    <w:rsid w:val="00F65665"/>
    <w:rsid w:val="00F66A59"/>
    <w:rsid w:val="00F7082A"/>
    <w:rsid w:val="00F7101C"/>
    <w:rsid w:val="00F71AC2"/>
    <w:rsid w:val="00F76A42"/>
    <w:rsid w:val="00F800EE"/>
    <w:rsid w:val="00F82C9F"/>
    <w:rsid w:val="00F84801"/>
    <w:rsid w:val="00F8572F"/>
    <w:rsid w:val="00F859EE"/>
    <w:rsid w:val="00F86228"/>
    <w:rsid w:val="00F923B4"/>
    <w:rsid w:val="00F926D5"/>
    <w:rsid w:val="00F9301C"/>
    <w:rsid w:val="00F937E9"/>
    <w:rsid w:val="00F93855"/>
    <w:rsid w:val="00F94F84"/>
    <w:rsid w:val="00F952EC"/>
    <w:rsid w:val="00F969B5"/>
    <w:rsid w:val="00F970DB"/>
    <w:rsid w:val="00FA15B0"/>
    <w:rsid w:val="00FA3247"/>
    <w:rsid w:val="00FA4B52"/>
    <w:rsid w:val="00FA52F1"/>
    <w:rsid w:val="00FA5EFA"/>
    <w:rsid w:val="00FA66F7"/>
    <w:rsid w:val="00FA71C1"/>
    <w:rsid w:val="00FA73A3"/>
    <w:rsid w:val="00FB058D"/>
    <w:rsid w:val="00FB08EE"/>
    <w:rsid w:val="00FB1237"/>
    <w:rsid w:val="00FB2766"/>
    <w:rsid w:val="00FB37C4"/>
    <w:rsid w:val="00FB3877"/>
    <w:rsid w:val="00FB3D8F"/>
    <w:rsid w:val="00FB415D"/>
    <w:rsid w:val="00FB5148"/>
    <w:rsid w:val="00FB553A"/>
    <w:rsid w:val="00FB5D6A"/>
    <w:rsid w:val="00FB6C9A"/>
    <w:rsid w:val="00FB7238"/>
    <w:rsid w:val="00FB79CD"/>
    <w:rsid w:val="00FB7BA9"/>
    <w:rsid w:val="00FC0577"/>
    <w:rsid w:val="00FC0C34"/>
    <w:rsid w:val="00FC2934"/>
    <w:rsid w:val="00FC2C0F"/>
    <w:rsid w:val="00FC31F6"/>
    <w:rsid w:val="00FC385B"/>
    <w:rsid w:val="00FC61BC"/>
    <w:rsid w:val="00FC6A20"/>
    <w:rsid w:val="00FD1A46"/>
    <w:rsid w:val="00FD389F"/>
    <w:rsid w:val="00FD4738"/>
    <w:rsid w:val="00FD4E14"/>
    <w:rsid w:val="00FE0486"/>
    <w:rsid w:val="00FE0AFF"/>
    <w:rsid w:val="00FE5505"/>
    <w:rsid w:val="00FE698E"/>
    <w:rsid w:val="00FE754F"/>
    <w:rsid w:val="00FE7976"/>
    <w:rsid w:val="00FE7CD0"/>
    <w:rsid w:val="00FF062A"/>
    <w:rsid w:val="00FF0C9B"/>
    <w:rsid w:val="00FF25AE"/>
    <w:rsid w:val="00FF28FF"/>
    <w:rsid w:val="00FF2A0D"/>
    <w:rsid w:val="010C0822"/>
    <w:rsid w:val="01203FAE"/>
    <w:rsid w:val="012515C4"/>
    <w:rsid w:val="015A609C"/>
    <w:rsid w:val="016C1D29"/>
    <w:rsid w:val="01712206"/>
    <w:rsid w:val="01764003"/>
    <w:rsid w:val="01796061"/>
    <w:rsid w:val="01C93961"/>
    <w:rsid w:val="024B4A63"/>
    <w:rsid w:val="024D0E6D"/>
    <w:rsid w:val="02B065B2"/>
    <w:rsid w:val="02EA7C6D"/>
    <w:rsid w:val="02F03647"/>
    <w:rsid w:val="033835B9"/>
    <w:rsid w:val="033C2BF5"/>
    <w:rsid w:val="038D51FF"/>
    <w:rsid w:val="038E7E2C"/>
    <w:rsid w:val="03D02BD1"/>
    <w:rsid w:val="03EE2141"/>
    <w:rsid w:val="03EF52D1"/>
    <w:rsid w:val="045226B8"/>
    <w:rsid w:val="045261A1"/>
    <w:rsid w:val="04526B85"/>
    <w:rsid w:val="045C3552"/>
    <w:rsid w:val="04787C5D"/>
    <w:rsid w:val="047C2BB1"/>
    <w:rsid w:val="047D7AA8"/>
    <w:rsid w:val="04A0338D"/>
    <w:rsid w:val="04A47A5C"/>
    <w:rsid w:val="04EE41AB"/>
    <w:rsid w:val="04F234E6"/>
    <w:rsid w:val="052B4CCF"/>
    <w:rsid w:val="05393890"/>
    <w:rsid w:val="054160C5"/>
    <w:rsid w:val="0544195F"/>
    <w:rsid w:val="0561453D"/>
    <w:rsid w:val="057968D7"/>
    <w:rsid w:val="05A61ED0"/>
    <w:rsid w:val="05B50A72"/>
    <w:rsid w:val="05D23F2C"/>
    <w:rsid w:val="05D867F9"/>
    <w:rsid w:val="05F35699"/>
    <w:rsid w:val="05F72C40"/>
    <w:rsid w:val="06E05EC9"/>
    <w:rsid w:val="071731AC"/>
    <w:rsid w:val="07271FB5"/>
    <w:rsid w:val="074D1048"/>
    <w:rsid w:val="07643E38"/>
    <w:rsid w:val="07BB2186"/>
    <w:rsid w:val="07BD3377"/>
    <w:rsid w:val="07DB29D8"/>
    <w:rsid w:val="07DD1E62"/>
    <w:rsid w:val="08182A71"/>
    <w:rsid w:val="083562BA"/>
    <w:rsid w:val="0855662B"/>
    <w:rsid w:val="086E241B"/>
    <w:rsid w:val="08AE719F"/>
    <w:rsid w:val="08DB33CA"/>
    <w:rsid w:val="08E17E13"/>
    <w:rsid w:val="092943B9"/>
    <w:rsid w:val="09364839"/>
    <w:rsid w:val="095F26E5"/>
    <w:rsid w:val="09D41526"/>
    <w:rsid w:val="09E4439F"/>
    <w:rsid w:val="09FA3048"/>
    <w:rsid w:val="0A8E01DA"/>
    <w:rsid w:val="0AAB0B54"/>
    <w:rsid w:val="0AD6377E"/>
    <w:rsid w:val="0B0220F1"/>
    <w:rsid w:val="0B071B1F"/>
    <w:rsid w:val="0B2B2C89"/>
    <w:rsid w:val="0B3214EF"/>
    <w:rsid w:val="0B3A43AE"/>
    <w:rsid w:val="0B660A23"/>
    <w:rsid w:val="0B8F3193"/>
    <w:rsid w:val="0B9D51EE"/>
    <w:rsid w:val="0BE8391A"/>
    <w:rsid w:val="0BFB4C22"/>
    <w:rsid w:val="0C0F3598"/>
    <w:rsid w:val="0C6B5273"/>
    <w:rsid w:val="0CB0060E"/>
    <w:rsid w:val="0CD619C5"/>
    <w:rsid w:val="0E040D65"/>
    <w:rsid w:val="0E23259B"/>
    <w:rsid w:val="0E285FB3"/>
    <w:rsid w:val="0EA00CC2"/>
    <w:rsid w:val="0ED52630"/>
    <w:rsid w:val="0EF63BFA"/>
    <w:rsid w:val="0F187C96"/>
    <w:rsid w:val="0F522A60"/>
    <w:rsid w:val="0F747093"/>
    <w:rsid w:val="101B183B"/>
    <w:rsid w:val="1057479B"/>
    <w:rsid w:val="10C52C4B"/>
    <w:rsid w:val="10D8217E"/>
    <w:rsid w:val="10F43515"/>
    <w:rsid w:val="1152517B"/>
    <w:rsid w:val="118D5740"/>
    <w:rsid w:val="11912321"/>
    <w:rsid w:val="11A77DD3"/>
    <w:rsid w:val="11C40D56"/>
    <w:rsid w:val="11CD18D9"/>
    <w:rsid w:val="12000E08"/>
    <w:rsid w:val="12182DA9"/>
    <w:rsid w:val="12405E96"/>
    <w:rsid w:val="125746A8"/>
    <w:rsid w:val="128F5000"/>
    <w:rsid w:val="12A47723"/>
    <w:rsid w:val="12A62656"/>
    <w:rsid w:val="135977FB"/>
    <w:rsid w:val="13796ECD"/>
    <w:rsid w:val="13B769B7"/>
    <w:rsid w:val="13C24E4E"/>
    <w:rsid w:val="13C83DB9"/>
    <w:rsid w:val="13DC33D0"/>
    <w:rsid w:val="13E54CF7"/>
    <w:rsid w:val="13F10D33"/>
    <w:rsid w:val="144056F6"/>
    <w:rsid w:val="145853B5"/>
    <w:rsid w:val="14B23DE8"/>
    <w:rsid w:val="14B358DD"/>
    <w:rsid w:val="14C4276B"/>
    <w:rsid w:val="14CC69BE"/>
    <w:rsid w:val="150712B5"/>
    <w:rsid w:val="1573515B"/>
    <w:rsid w:val="15861753"/>
    <w:rsid w:val="159556BC"/>
    <w:rsid w:val="15A97A44"/>
    <w:rsid w:val="15AF4F21"/>
    <w:rsid w:val="15C47445"/>
    <w:rsid w:val="15F230E6"/>
    <w:rsid w:val="1631748D"/>
    <w:rsid w:val="16771146"/>
    <w:rsid w:val="167D4DC3"/>
    <w:rsid w:val="16803A41"/>
    <w:rsid w:val="16844BB6"/>
    <w:rsid w:val="16974240"/>
    <w:rsid w:val="171A7D70"/>
    <w:rsid w:val="174E6334"/>
    <w:rsid w:val="1756574D"/>
    <w:rsid w:val="178B7B51"/>
    <w:rsid w:val="17991D58"/>
    <w:rsid w:val="179939C2"/>
    <w:rsid w:val="17D05897"/>
    <w:rsid w:val="185349B8"/>
    <w:rsid w:val="188250D0"/>
    <w:rsid w:val="18940568"/>
    <w:rsid w:val="189466C1"/>
    <w:rsid w:val="19145BA1"/>
    <w:rsid w:val="194A5C14"/>
    <w:rsid w:val="199D1B11"/>
    <w:rsid w:val="19E724AD"/>
    <w:rsid w:val="1A0850F1"/>
    <w:rsid w:val="1A2420A6"/>
    <w:rsid w:val="1A4315E4"/>
    <w:rsid w:val="1A4C2C14"/>
    <w:rsid w:val="1A506222"/>
    <w:rsid w:val="1A5C7ABC"/>
    <w:rsid w:val="1A787E5B"/>
    <w:rsid w:val="1A7F69E3"/>
    <w:rsid w:val="1A82041C"/>
    <w:rsid w:val="1A8769F4"/>
    <w:rsid w:val="1AB26003"/>
    <w:rsid w:val="1AD208C5"/>
    <w:rsid w:val="1B0742F7"/>
    <w:rsid w:val="1B0953AA"/>
    <w:rsid w:val="1B0B7F57"/>
    <w:rsid w:val="1B4E4CDE"/>
    <w:rsid w:val="1B7879F2"/>
    <w:rsid w:val="1B8D1CB7"/>
    <w:rsid w:val="1BD63228"/>
    <w:rsid w:val="1BDD52E4"/>
    <w:rsid w:val="1C6D0ABD"/>
    <w:rsid w:val="1CC60B4C"/>
    <w:rsid w:val="1D1679A4"/>
    <w:rsid w:val="1E0F306D"/>
    <w:rsid w:val="1E130193"/>
    <w:rsid w:val="1E13619C"/>
    <w:rsid w:val="1E32077E"/>
    <w:rsid w:val="1EA95D1B"/>
    <w:rsid w:val="1EDA529F"/>
    <w:rsid w:val="1F234A8D"/>
    <w:rsid w:val="1F296336"/>
    <w:rsid w:val="1F78690B"/>
    <w:rsid w:val="1FB5190D"/>
    <w:rsid w:val="1FE04BDC"/>
    <w:rsid w:val="1FE67878"/>
    <w:rsid w:val="201E799F"/>
    <w:rsid w:val="202514F5"/>
    <w:rsid w:val="206372A6"/>
    <w:rsid w:val="20725B60"/>
    <w:rsid w:val="20C871ED"/>
    <w:rsid w:val="20EA14F6"/>
    <w:rsid w:val="2130508B"/>
    <w:rsid w:val="214C0DBE"/>
    <w:rsid w:val="215C4AA5"/>
    <w:rsid w:val="216F73AE"/>
    <w:rsid w:val="2178764F"/>
    <w:rsid w:val="21A31059"/>
    <w:rsid w:val="21AF5D06"/>
    <w:rsid w:val="21C547B2"/>
    <w:rsid w:val="21E93AF0"/>
    <w:rsid w:val="220552BE"/>
    <w:rsid w:val="221462E6"/>
    <w:rsid w:val="2217705A"/>
    <w:rsid w:val="221D1036"/>
    <w:rsid w:val="221F08A8"/>
    <w:rsid w:val="226F2A2F"/>
    <w:rsid w:val="227123D7"/>
    <w:rsid w:val="228F4E76"/>
    <w:rsid w:val="22C23E6F"/>
    <w:rsid w:val="23263963"/>
    <w:rsid w:val="23377B2A"/>
    <w:rsid w:val="23482E7E"/>
    <w:rsid w:val="23643343"/>
    <w:rsid w:val="23832CB0"/>
    <w:rsid w:val="23A961B2"/>
    <w:rsid w:val="23B51322"/>
    <w:rsid w:val="2406098A"/>
    <w:rsid w:val="240C4861"/>
    <w:rsid w:val="24266F55"/>
    <w:rsid w:val="2437585B"/>
    <w:rsid w:val="245839A3"/>
    <w:rsid w:val="24B7492D"/>
    <w:rsid w:val="24FC210B"/>
    <w:rsid w:val="255C180D"/>
    <w:rsid w:val="25961652"/>
    <w:rsid w:val="25A263FF"/>
    <w:rsid w:val="25D65BCA"/>
    <w:rsid w:val="263A6020"/>
    <w:rsid w:val="26A96B01"/>
    <w:rsid w:val="26B7595A"/>
    <w:rsid w:val="26C568DA"/>
    <w:rsid w:val="26FE742F"/>
    <w:rsid w:val="270B1E4C"/>
    <w:rsid w:val="271E159B"/>
    <w:rsid w:val="2727042C"/>
    <w:rsid w:val="276A7848"/>
    <w:rsid w:val="2785078D"/>
    <w:rsid w:val="280460E8"/>
    <w:rsid w:val="28104B9D"/>
    <w:rsid w:val="282B3119"/>
    <w:rsid w:val="28373E2B"/>
    <w:rsid w:val="28481571"/>
    <w:rsid w:val="287C35BB"/>
    <w:rsid w:val="28E44D83"/>
    <w:rsid w:val="29053906"/>
    <w:rsid w:val="298F443E"/>
    <w:rsid w:val="29A75DE9"/>
    <w:rsid w:val="2A7328AD"/>
    <w:rsid w:val="2A906B94"/>
    <w:rsid w:val="2AB752C1"/>
    <w:rsid w:val="2AC91A31"/>
    <w:rsid w:val="2AD90E6D"/>
    <w:rsid w:val="2ADA6620"/>
    <w:rsid w:val="2AFE060C"/>
    <w:rsid w:val="2B0828EB"/>
    <w:rsid w:val="2B0B0DD5"/>
    <w:rsid w:val="2B201958"/>
    <w:rsid w:val="2B61581B"/>
    <w:rsid w:val="2B71033D"/>
    <w:rsid w:val="2B7663F5"/>
    <w:rsid w:val="2B8F1FE8"/>
    <w:rsid w:val="2BC46BB5"/>
    <w:rsid w:val="2C1E7506"/>
    <w:rsid w:val="2C320963"/>
    <w:rsid w:val="2C693B02"/>
    <w:rsid w:val="2C9F7013"/>
    <w:rsid w:val="2CC969F8"/>
    <w:rsid w:val="2CC97CD7"/>
    <w:rsid w:val="2CE83A48"/>
    <w:rsid w:val="2D257479"/>
    <w:rsid w:val="2D511D7C"/>
    <w:rsid w:val="2D7220E9"/>
    <w:rsid w:val="2D757C01"/>
    <w:rsid w:val="2D7A203C"/>
    <w:rsid w:val="2D7A3844"/>
    <w:rsid w:val="2DAE18D4"/>
    <w:rsid w:val="2DE07A76"/>
    <w:rsid w:val="2DE43DE0"/>
    <w:rsid w:val="2E110657"/>
    <w:rsid w:val="2E4404F2"/>
    <w:rsid w:val="2E462790"/>
    <w:rsid w:val="2E467E6B"/>
    <w:rsid w:val="2E4C78E1"/>
    <w:rsid w:val="2E637194"/>
    <w:rsid w:val="2E7F345F"/>
    <w:rsid w:val="2EB83212"/>
    <w:rsid w:val="2EBC587D"/>
    <w:rsid w:val="2F2A4BD8"/>
    <w:rsid w:val="2F522D60"/>
    <w:rsid w:val="2F776504"/>
    <w:rsid w:val="2F836050"/>
    <w:rsid w:val="2FD20604"/>
    <w:rsid w:val="30280199"/>
    <w:rsid w:val="302B69D3"/>
    <w:rsid w:val="30334215"/>
    <w:rsid w:val="30842532"/>
    <w:rsid w:val="309C67D1"/>
    <w:rsid w:val="309E65A8"/>
    <w:rsid w:val="30D015A9"/>
    <w:rsid w:val="30DC061C"/>
    <w:rsid w:val="30E6459F"/>
    <w:rsid w:val="31440ED2"/>
    <w:rsid w:val="314E2A11"/>
    <w:rsid w:val="314E67B1"/>
    <w:rsid w:val="3152028B"/>
    <w:rsid w:val="315B314D"/>
    <w:rsid w:val="31823976"/>
    <w:rsid w:val="31E340B8"/>
    <w:rsid w:val="31FA17DB"/>
    <w:rsid w:val="32022CFB"/>
    <w:rsid w:val="32A06AD2"/>
    <w:rsid w:val="32E81F34"/>
    <w:rsid w:val="33270FD5"/>
    <w:rsid w:val="33356E71"/>
    <w:rsid w:val="33A03D27"/>
    <w:rsid w:val="33C23C5B"/>
    <w:rsid w:val="3467105D"/>
    <w:rsid w:val="34A55F9D"/>
    <w:rsid w:val="34BC286D"/>
    <w:rsid w:val="34D270E8"/>
    <w:rsid w:val="358552C7"/>
    <w:rsid w:val="359B5D73"/>
    <w:rsid w:val="359E4254"/>
    <w:rsid w:val="35AC6D9E"/>
    <w:rsid w:val="35C94662"/>
    <w:rsid w:val="35CF74DA"/>
    <w:rsid w:val="35D92E6B"/>
    <w:rsid w:val="36146351"/>
    <w:rsid w:val="361B5405"/>
    <w:rsid w:val="362E47E0"/>
    <w:rsid w:val="36637EBD"/>
    <w:rsid w:val="36EE7787"/>
    <w:rsid w:val="37377380"/>
    <w:rsid w:val="37540BCC"/>
    <w:rsid w:val="37564919"/>
    <w:rsid w:val="375C401B"/>
    <w:rsid w:val="379E169D"/>
    <w:rsid w:val="37C46C83"/>
    <w:rsid w:val="37DB0980"/>
    <w:rsid w:val="38272798"/>
    <w:rsid w:val="38417F6D"/>
    <w:rsid w:val="38B22254"/>
    <w:rsid w:val="38DA2B44"/>
    <w:rsid w:val="38DE5760"/>
    <w:rsid w:val="39223E77"/>
    <w:rsid w:val="39410D3D"/>
    <w:rsid w:val="39BF6117"/>
    <w:rsid w:val="39C77773"/>
    <w:rsid w:val="3A2F14CF"/>
    <w:rsid w:val="3A6164C2"/>
    <w:rsid w:val="3AAF7738"/>
    <w:rsid w:val="3AB27D6F"/>
    <w:rsid w:val="3AD5369F"/>
    <w:rsid w:val="3B044038"/>
    <w:rsid w:val="3B3A47A7"/>
    <w:rsid w:val="3B521AA4"/>
    <w:rsid w:val="3B6F65CF"/>
    <w:rsid w:val="3B977678"/>
    <w:rsid w:val="3BA7620C"/>
    <w:rsid w:val="3BB043EB"/>
    <w:rsid w:val="3BD05266"/>
    <w:rsid w:val="3BEB2BCA"/>
    <w:rsid w:val="3C151465"/>
    <w:rsid w:val="3C54640F"/>
    <w:rsid w:val="3CA449B5"/>
    <w:rsid w:val="3CC15A23"/>
    <w:rsid w:val="3D003E3B"/>
    <w:rsid w:val="3D043B80"/>
    <w:rsid w:val="3DA52A14"/>
    <w:rsid w:val="3DDF6122"/>
    <w:rsid w:val="3DF05AD7"/>
    <w:rsid w:val="3E385773"/>
    <w:rsid w:val="3E4E15DF"/>
    <w:rsid w:val="3E7A2677"/>
    <w:rsid w:val="3E9F72CE"/>
    <w:rsid w:val="3F671B0C"/>
    <w:rsid w:val="3F8A3D88"/>
    <w:rsid w:val="3FD11C44"/>
    <w:rsid w:val="3FE3631E"/>
    <w:rsid w:val="3FEF78F1"/>
    <w:rsid w:val="404146A8"/>
    <w:rsid w:val="40727605"/>
    <w:rsid w:val="40BB6930"/>
    <w:rsid w:val="40E267F1"/>
    <w:rsid w:val="40E97FA3"/>
    <w:rsid w:val="40EB573E"/>
    <w:rsid w:val="414F48CF"/>
    <w:rsid w:val="415369F6"/>
    <w:rsid w:val="41660D77"/>
    <w:rsid w:val="416F1E1B"/>
    <w:rsid w:val="418A4907"/>
    <w:rsid w:val="419158DF"/>
    <w:rsid w:val="41C63689"/>
    <w:rsid w:val="41E30427"/>
    <w:rsid w:val="428C42F8"/>
    <w:rsid w:val="42984561"/>
    <w:rsid w:val="42BD333E"/>
    <w:rsid w:val="42BE5F8A"/>
    <w:rsid w:val="42C65541"/>
    <w:rsid w:val="43736BD8"/>
    <w:rsid w:val="441D10C8"/>
    <w:rsid w:val="44242BCD"/>
    <w:rsid w:val="445F024F"/>
    <w:rsid w:val="44D74953"/>
    <w:rsid w:val="45077BBE"/>
    <w:rsid w:val="45190650"/>
    <w:rsid w:val="452A69BB"/>
    <w:rsid w:val="458A036E"/>
    <w:rsid w:val="458F7ACA"/>
    <w:rsid w:val="459E5B5A"/>
    <w:rsid w:val="459F48B9"/>
    <w:rsid w:val="45A7295F"/>
    <w:rsid w:val="45D420E1"/>
    <w:rsid w:val="46004CDE"/>
    <w:rsid w:val="461921A0"/>
    <w:rsid w:val="46261F13"/>
    <w:rsid w:val="462B71EC"/>
    <w:rsid w:val="463F1884"/>
    <w:rsid w:val="464A3A0C"/>
    <w:rsid w:val="46775B51"/>
    <w:rsid w:val="46880FD9"/>
    <w:rsid w:val="46997197"/>
    <w:rsid w:val="46D34A89"/>
    <w:rsid w:val="47043DBC"/>
    <w:rsid w:val="472B0583"/>
    <w:rsid w:val="473311E6"/>
    <w:rsid w:val="474B4ACD"/>
    <w:rsid w:val="47625805"/>
    <w:rsid w:val="483F2782"/>
    <w:rsid w:val="484A2DFF"/>
    <w:rsid w:val="487D1EE7"/>
    <w:rsid w:val="48846D6F"/>
    <w:rsid w:val="48C91E02"/>
    <w:rsid w:val="492C0FAE"/>
    <w:rsid w:val="492E5CFD"/>
    <w:rsid w:val="49461E0D"/>
    <w:rsid w:val="49675177"/>
    <w:rsid w:val="496D4D42"/>
    <w:rsid w:val="499906FC"/>
    <w:rsid w:val="499F53AC"/>
    <w:rsid w:val="49DD75BE"/>
    <w:rsid w:val="49EA2030"/>
    <w:rsid w:val="49F178C7"/>
    <w:rsid w:val="49F243C5"/>
    <w:rsid w:val="4A054D4F"/>
    <w:rsid w:val="4A233EA7"/>
    <w:rsid w:val="4A4D1AE4"/>
    <w:rsid w:val="4A5679D9"/>
    <w:rsid w:val="4A572BE3"/>
    <w:rsid w:val="4A6174A9"/>
    <w:rsid w:val="4A8126D4"/>
    <w:rsid w:val="4A873D23"/>
    <w:rsid w:val="4AB20E9F"/>
    <w:rsid w:val="4AE40F71"/>
    <w:rsid w:val="4B15783A"/>
    <w:rsid w:val="4B3D1DA3"/>
    <w:rsid w:val="4B731AA5"/>
    <w:rsid w:val="4B8769F6"/>
    <w:rsid w:val="4BB12ABC"/>
    <w:rsid w:val="4BB93C5A"/>
    <w:rsid w:val="4BBE07A6"/>
    <w:rsid w:val="4BC01821"/>
    <w:rsid w:val="4BFC3C23"/>
    <w:rsid w:val="4C2E7DBB"/>
    <w:rsid w:val="4C3015FF"/>
    <w:rsid w:val="4C422E07"/>
    <w:rsid w:val="4C5A5663"/>
    <w:rsid w:val="4C7255E8"/>
    <w:rsid w:val="4C900ADE"/>
    <w:rsid w:val="4CBB6A55"/>
    <w:rsid w:val="4CEB56CE"/>
    <w:rsid w:val="4D40447B"/>
    <w:rsid w:val="4D6B41C5"/>
    <w:rsid w:val="4DD454D1"/>
    <w:rsid w:val="4DE90B6A"/>
    <w:rsid w:val="4E017A62"/>
    <w:rsid w:val="4E1D254D"/>
    <w:rsid w:val="4E2427C8"/>
    <w:rsid w:val="4E2604EF"/>
    <w:rsid w:val="4E2F49DB"/>
    <w:rsid w:val="4E945991"/>
    <w:rsid w:val="4EC265FB"/>
    <w:rsid w:val="4EC37FBF"/>
    <w:rsid w:val="4ED9155C"/>
    <w:rsid w:val="4EF621E1"/>
    <w:rsid w:val="4F4B56BB"/>
    <w:rsid w:val="4F65059F"/>
    <w:rsid w:val="4F683299"/>
    <w:rsid w:val="4F707599"/>
    <w:rsid w:val="4FD93459"/>
    <w:rsid w:val="50203E3B"/>
    <w:rsid w:val="5039645E"/>
    <w:rsid w:val="50686DA1"/>
    <w:rsid w:val="5099686F"/>
    <w:rsid w:val="509F4698"/>
    <w:rsid w:val="50B55F63"/>
    <w:rsid w:val="50BD7BBC"/>
    <w:rsid w:val="50E71C1A"/>
    <w:rsid w:val="50F0522B"/>
    <w:rsid w:val="51290E64"/>
    <w:rsid w:val="513A693A"/>
    <w:rsid w:val="517A7EEE"/>
    <w:rsid w:val="51911F10"/>
    <w:rsid w:val="51BF2F85"/>
    <w:rsid w:val="51C77C1B"/>
    <w:rsid w:val="51F91B95"/>
    <w:rsid w:val="52112C47"/>
    <w:rsid w:val="524365AD"/>
    <w:rsid w:val="525265DA"/>
    <w:rsid w:val="52885768"/>
    <w:rsid w:val="52AD62F0"/>
    <w:rsid w:val="52F7255E"/>
    <w:rsid w:val="5312351E"/>
    <w:rsid w:val="531A42B8"/>
    <w:rsid w:val="532473C3"/>
    <w:rsid w:val="53462E30"/>
    <w:rsid w:val="534A1D91"/>
    <w:rsid w:val="53570910"/>
    <w:rsid w:val="53833C4E"/>
    <w:rsid w:val="538452A3"/>
    <w:rsid w:val="539416EC"/>
    <w:rsid w:val="53B417E5"/>
    <w:rsid w:val="53BF452D"/>
    <w:rsid w:val="53C068C6"/>
    <w:rsid w:val="53C2222F"/>
    <w:rsid w:val="53EF5388"/>
    <w:rsid w:val="53EF6295"/>
    <w:rsid w:val="540A3BC8"/>
    <w:rsid w:val="541414D1"/>
    <w:rsid w:val="546162BB"/>
    <w:rsid w:val="5477258C"/>
    <w:rsid w:val="54BE2821"/>
    <w:rsid w:val="54CD1BDA"/>
    <w:rsid w:val="54DF019C"/>
    <w:rsid w:val="55236D3E"/>
    <w:rsid w:val="55C5183A"/>
    <w:rsid w:val="561C6A7F"/>
    <w:rsid w:val="562226D4"/>
    <w:rsid w:val="56692640"/>
    <w:rsid w:val="56807574"/>
    <w:rsid w:val="56DD720F"/>
    <w:rsid w:val="56F9368D"/>
    <w:rsid w:val="56FE12E2"/>
    <w:rsid w:val="5731536A"/>
    <w:rsid w:val="57663504"/>
    <w:rsid w:val="57807EEA"/>
    <w:rsid w:val="57B62775"/>
    <w:rsid w:val="582D0133"/>
    <w:rsid w:val="58354B56"/>
    <w:rsid w:val="583D4CCD"/>
    <w:rsid w:val="584B6609"/>
    <w:rsid w:val="58561D40"/>
    <w:rsid w:val="585D4B67"/>
    <w:rsid w:val="58AD66A5"/>
    <w:rsid w:val="58AD6D50"/>
    <w:rsid w:val="590617C1"/>
    <w:rsid w:val="597559C4"/>
    <w:rsid w:val="598931D7"/>
    <w:rsid w:val="59A02588"/>
    <w:rsid w:val="5A104207"/>
    <w:rsid w:val="5A3A2D79"/>
    <w:rsid w:val="5A484C3C"/>
    <w:rsid w:val="5AA1052D"/>
    <w:rsid w:val="5AC82C84"/>
    <w:rsid w:val="5ACC1A22"/>
    <w:rsid w:val="5B0A5F22"/>
    <w:rsid w:val="5B1C04B7"/>
    <w:rsid w:val="5B1F10D6"/>
    <w:rsid w:val="5B3F5B70"/>
    <w:rsid w:val="5B8D6CBF"/>
    <w:rsid w:val="5BB34251"/>
    <w:rsid w:val="5BDC0DE0"/>
    <w:rsid w:val="5BE70AC5"/>
    <w:rsid w:val="5BEF64F8"/>
    <w:rsid w:val="5C5962C0"/>
    <w:rsid w:val="5C5B7526"/>
    <w:rsid w:val="5C700413"/>
    <w:rsid w:val="5CAC1442"/>
    <w:rsid w:val="5D092521"/>
    <w:rsid w:val="5D102E8E"/>
    <w:rsid w:val="5D7E2D63"/>
    <w:rsid w:val="5D7F1174"/>
    <w:rsid w:val="5DB00CD3"/>
    <w:rsid w:val="5DE8513E"/>
    <w:rsid w:val="5E011535"/>
    <w:rsid w:val="5E591418"/>
    <w:rsid w:val="5E8256DC"/>
    <w:rsid w:val="5E8D2E8A"/>
    <w:rsid w:val="5EBC0692"/>
    <w:rsid w:val="5EC84B36"/>
    <w:rsid w:val="5ED27BC7"/>
    <w:rsid w:val="5EDF3BDF"/>
    <w:rsid w:val="5F01289F"/>
    <w:rsid w:val="5F285B0F"/>
    <w:rsid w:val="5FF26AB3"/>
    <w:rsid w:val="601B6DD9"/>
    <w:rsid w:val="60395CC2"/>
    <w:rsid w:val="607D07E1"/>
    <w:rsid w:val="60953CD1"/>
    <w:rsid w:val="60DB671F"/>
    <w:rsid w:val="619721C5"/>
    <w:rsid w:val="61CB6B45"/>
    <w:rsid w:val="61E220D1"/>
    <w:rsid w:val="620D3E17"/>
    <w:rsid w:val="62134D72"/>
    <w:rsid w:val="622C09D6"/>
    <w:rsid w:val="62332EE2"/>
    <w:rsid w:val="624A1487"/>
    <w:rsid w:val="62626A1F"/>
    <w:rsid w:val="627E1731"/>
    <w:rsid w:val="628C2E3C"/>
    <w:rsid w:val="632472C6"/>
    <w:rsid w:val="632968B5"/>
    <w:rsid w:val="633C1FD9"/>
    <w:rsid w:val="63517912"/>
    <w:rsid w:val="6363660C"/>
    <w:rsid w:val="637D6036"/>
    <w:rsid w:val="63872678"/>
    <w:rsid w:val="63931A3C"/>
    <w:rsid w:val="63953AAD"/>
    <w:rsid w:val="639E713F"/>
    <w:rsid w:val="641917BA"/>
    <w:rsid w:val="646C24B2"/>
    <w:rsid w:val="647675B6"/>
    <w:rsid w:val="64B204D8"/>
    <w:rsid w:val="64BC76FF"/>
    <w:rsid w:val="64F34037"/>
    <w:rsid w:val="64F8769D"/>
    <w:rsid w:val="651220C7"/>
    <w:rsid w:val="65203E0E"/>
    <w:rsid w:val="65641BAF"/>
    <w:rsid w:val="65722462"/>
    <w:rsid w:val="65765589"/>
    <w:rsid w:val="65E70C92"/>
    <w:rsid w:val="65FB0C9A"/>
    <w:rsid w:val="662F2070"/>
    <w:rsid w:val="669168C7"/>
    <w:rsid w:val="66924ECA"/>
    <w:rsid w:val="669645C2"/>
    <w:rsid w:val="66AE5A38"/>
    <w:rsid w:val="66CC3551"/>
    <w:rsid w:val="675659CA"/>
    <w:rsid w:val="678274BE"/>
    <w:rsid w:val="67A75469"/>
    <w:rsid w:val="67B01151"/>
    <w:rsid w:val="67E5002E"/>
    <w:rsid w:val="67E556C5"/>
    <w:rsid w:val="68167A12"/>
    <w:rsid w:val="68184DFB"/>
    <w:rsid w:val="681E6F5B"/>
    <w:rsid w:val="682D5DDB"/>
    <w:rsid w:val="6863780D"/>
    <w:rsid w:val="68D24871"/>
    <w:rsid w:val="692229F3"/>
    <w:rsid w:val="6962178B"/>
    <w:rsid w:val="696504BC"/>
    <w:rsid w:val="6A0F2270"/>
    <w:rsid w:val="6A414A27"/>
    <w:rsid w:val="6A724886"/>
    <w:rsid w:val="6A9040FE"/>
    <w:rsid w:val="6AC160F9"/>
    <w:rsid w:val="6AED78A4"/>
    <w:rsid w:val="6B21187B"/>
    <w:rsid w:val="6B306F2E"/>
    <w:rsid w:val="6B583CC8"/>
    <w:rsid w:val="6BE7309B"/>
    <w:rsid w:val="6C645C08"/>
    <w:rsid w:val="6C6F7468"/>
    <w:rsid w:val="6C8C6E13"/>
    <w:rsid w:val="6C9A25E3"/>
    <w:rsid w:val="6CD1373A"/>
    <w:rsid w:val="6CDF44A9"/>
    <w:rsid w:val="6D073208"/>
    <w:rsid w:val="6D3D2C77"/>
    <w:rsid w:val="6D550896"/>
    <w:rsid w:val="6D9B527E"/>
    <w:rsid w:val="6D9F2352"/>
    <w:rsid w:val="6DB667F3"/>
    <w:rsid w:val="6E12347C"/>
    <w:rsid w:val="6E31797E"/>
    <w:rsid w:val="6E4A0498"/>
    <w:rsid w:val="6E9617C2"/>
    <w:rsid w:val="6EAF4D39"/>
    <w:rsid w:val="6EC240AA"/>
    <w:rsid w:val="6EEA09F7"/>
    <w:rsid w:val="6F4F72C3"/>
    <w:rsid w:val="6FCA5A2C"/>
    <w:rsid w:val="6FE74D1D"/>
    <w:rsid w:val="701E1704"/>
    <w:rsid w:val="70543284"/>
    <w:rsid w:val="70580A45"/>
    <w:rsid w:val="706E1ABC"/>
    <w:rsid w:val="70AE5F6F"/>
    <w:rsid w:val="70BA7251"/>
    <w:rsid w:val="70F02B89"/>
    <w:rsid w:val="70F4204E"/>
    <w:rsid w:val="710475CC"/>
    <w:rsid w:val="714F4CF1"/>
    <w:rsid w:val="71521442"/>
    <w:rsid w:val="716A7534"/>
    <w:rsid w:val="718703D7"/>
    <w:rsid w:val="71AF4F19"/>
    <w:rsid w:val="71C574BC"/>
    <w:rsid w:val="71C600C4"/>
    <w:rsid w:val="721305D3"/>
    <w:rsid w:val="72176565"/>
    <w:rsid w:val="725066A8"/>
    <w:rsid w:val="72641A80"/>
    <w:rsid w:val="72B3649E"/>
    <w:rsid w:val="72E373B2"/>
    <w:rsid w:val="72F44319"/>
    <w:rsid w:val="73D60D21"/>
    <w:rsid w:val="73DC1B32"/>
    <w:rsid w:val="74040E70"/>
    <w:rsid w:val="743B5E95"/>
    <w:rsid w:val="743C6C88"/>
    <w:rsid w:val="7469229B"/>
    <w:rsid w:val="749B3DA3"/>
    <w:rsid w:val="74B74215"/>
    <w:rsid w:val="75387D32"/>
    <w:rsid w:val="756E3266"/>
    <w:rsid w:val="757B1423"/>
    <w:rsid w:val="757F36C5"/>
    <w:rsid w:val="75A16907"/>
    <w:rsid w:val="75CC357C"/>
    <w:rsid w:val="760772B7"/>
    <w:rsid w:val="763D508C"/>
    <w:rsid w:val="76683FE7"/>
    <w:rsid w:val="76845FCC"/>
    <w:rsid w:val="7686438B"/>
    <w:rsid w:val="76910700"/>
    <w:rsid w:val="76A208E7"/>
    <w:rsid w:val="76DE238E"/>
    <w:rsid w:val="770D472F"/>
    <w:rsid w:val="771D4F43"/>
    <w:rsid w:val="773817E6"/>
    <w:rsid w:val="774C1EC5"/>
    <w:rsid w:val="77535CAA"/>
    <w:rsid w:val="77762CE7"/>
    <w:rsid w:val="77B81CE4"/>
    <w:rsid w:val="77E05892"/>
    <w:rsid w:val="78070C75"/>
    <w:rsid w:val="78083180"/>
    <w:rsid w:val="7832535C"/>
    <w:rsid w:val="787E0163"/>
    <w:rsid w:val="78950E18"/>
    <w:rsid w:val="78A65A66"/>
    <w:rsid w:val="78B638A1"/>
    <w:rsid w:val="78CF72AA"/>
    <w:rsid w:val="78D41F79"/>
    <w:rsid w:val="78E31894"/>
    <w:rsid w:val="78E42956"/>
    <w:rsid w:val="79185331"/>
    <w:rsid w:val="795B4D15"/>
    <w:rsid w:val="79A656C4"/>
    <w:rsid w:val="7A0752A3"/>
    <w:rsid w:val="7A0B7D7A"/>
    <w:rsid w:val="7A1F656A"/>
    <w:rsid w:val="7A2D5E57"/>
    <w:rsid w:val="7A8F7088"/>
    <w:rsid w:val="7A994980"/>
    <w:rsid w:val="7A9D0F07"/>
    <w:rsid w:val="7ABB2198"/>
    <w:rsid w:val="7AEA41D1"/>
    <w:rsid w:val="7AEF37B7"/>
    <w:rsid w:val="7B426B4F"/>
    <w:rsid w:val="7B596C57"/>
    <w:rsid w:val="7B5C0AD2"/>
    <w:rsid w:val="7B635FF9"/>
    <w:rsid w:val="7BAF1958"/>
    <w:rsid w:val="7BB44982"/>
    <w:rsid w:val="7C055B5F"/>
    <w:rsid w:val="7C1A2C82"/>
    <w:rsid w:val="7C1B42F3"/>
    <w:rsid w:val="7C4F5E85"/>
    <w:rsid w:val="7C5815BF"/>
    <w:rsid w:val="7C6E0E6D"/>
    <w:rsid w:val="7C7E21C7"/>
    <w:rsid w:val="7C904316"/>
    <w:rsid w:val="7CC83CF2"/>
    <w:rsid w:val="7CD34F75"/>
    <w:rsid w:val="7CE201FC"/>
    <w:rsid w:val="7D263127"/>
    <w:rsid w:val="7D653CEB"/>
    <w:rsid w:val="7D7B7024"/>
    <w:rsid w:val="7D8961FF"/>
    <w:rsid w:val="7D9A413F"/>
    <w:rsid w:val="7DA21472"/>
    <w:rsid w:val="7E1E17F2"/>
    <w:rsid w:val="7E260B81"/>
    <w:rsid w:val="7E5538BB"/>
    <w:rsid w:val="7E5C1B21"/>
    <w:rsid w:val="7E674991"/>
    <w:rsid w:val="7E78088B"/>
    <w:rsid w:val="7EC366F7"/>
    <w:rsid w:val="7ECA3492"/>
    <w:rsid w:val="7EF54492"/>
    <w:rsid w:val="7F181939"/>
    <w:rsid w:val="7F806A76"/>
    <w:rsid w:val="7FB536EA"/>
    <w:rsid w:val="7FE432A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uiPriority="0" w:name="toc 2"/>
    <w:lsdException w:uiPriority="0" w:name="toc 3"/>
    <w:lsdException w:uiPriority="0" w:name="toc 4"/>
    <w:lsdException w:uiPriority="0" w:name="toc 5"/>
    <w:lsdException w:uiPriority="0" w:name="toc 6"/>
    <w:lsdException w:qFormat="1" w:unhideWhenUsed="0" w:uiPriority="99" w:name="toc 7"/>
    <w:lsdException w:uiPriority="0" w:name="toc 8"/>
    <w:lsdException w:uiPriority="0" w:name="toc 9"/>
    <w:lsdException w:qFormat="1" w:unhideWhenUsed="0" w:uiPriority="0"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iPriority="0"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uiPriority="99" w:name="Body Text First Indent" w:locked="1"/>
    <w:lsdException w:qFormat="1" w:unhideWhenUsed="0" w:uiPriority="0" w:semiHidden="0" w:name="Body Text First Indent 2" w:locked="1"/>
    <w:lsdException w:uiPriority="99" w:name="Note Heading" w:locked="1"/>
    <w:lsdException w:uiPriority="99" w:name="Body Text 2" w:locked="1"/>
    <w:lsdException w:qFormat="1" w:uiPriority="0" w:semiHidden="0" w:name="Body Text 3" w:locked="1"/>
    <w:lsdException w:qFormat="1" w:unhideWhenUsed="0" w:uiPriority="99" w:name="Body Text Indent 2"/>
    <w:lsdException w:uiPriority="99" w:name="Body Text Indent 3" w:locked="1"/>
    <w:lsdException w:uiPriority="99" w:name="Block Text" w:locked="1"/>
    <w:lsdException w:qFormat="1" w:unhideWhenUsed="0" w:uiPriority="99" w:semiHidden="0" w:name="Hyperlink"/>
    <w:lsdException w:qFormat="1" w:uiPriority="99" w:name="FollowedHyperlink" w:locked="1"/>
    <w:lsdException w:qFormat="1" w:unhideWhenUsed="0" w:uiPriority="0" w:semiHidden="0" w:name="Strong"/>
    <w:lsdException w:qFormat="1" w:unhideWhenUsed="0" w:uiPriority="0" w:semiHidden="0" w:name="Emphasis"/>
    <w:lsdException w:qFormat="1" w:unhideWhenUsed="0" w:uiPriority="99" w:name="Document Map"/>
    <w:lsdException w:qFormat="1" w:unhideWhenUsed="0" w:uiPriority="99" w:semiHidden="0" w:name="Plain Text"/>
    <w:lsdException w:qFormat="1" w:unhideWhenUsed="0" w:uiPriority="99" w:semiHidden="0" w:name="E-mail Signature"/>
    <w:lsdException w:qFormat="1" w:uiPriority="99" w:semiHidden="0"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Calibri"/>
      <w:sz w:val="24"/>
      <w:szCs w:val="24"/>
      <w:lang w:val="en-US" w:eastAsia="zh-CN" w:bidi="ar-SA"/>
    </w:rPr>
  </w:style>
  <w:style w:type="paragraph" w:styleId="3">
    <w:name w:val="heading 1"/>
    <w:basedOn w:val="1"/>
    <w:next w:val="1"/>
    <w:link w:val="35"/>
    <w:qFormat/>
    <w:uiPriority w:val="99"/>
    <w:pPr>
      <w:keepNext/>
      <w:keepLines/>
      <w:spacing w:before="340" w:after="330" w:line="578" w:lineRule="atLeast"/>
      <w:jc w:val="center"/>
      <w:outlineLvl w:val="0"/>
    </w:pPr>
    <w:rPr>
      <w:rFonts w:eastAsia="方正小标宋简体" w:cs="Times New Roman"/>
      <w:kern w:val="44"/>
      <w:sz w:val="44"/>
      <w:szCs w:val="20"/>
    </w:rPr>
  </w:style>
  <w:style w:type="paragraph" w:styleId="4">
    <w:name w:val="heading 2"/>
    <w:basedOn w:val="1"/>
    <w:next w:val="5"/>
    <w:link w:val="36"/>
    <w:qFormat/>
    <w:uiPriority w:val="99"/>
    <w:pPr>
      <w:keepNext/>
      <w:keepLines/>
      <w:widowControl/>
      <w:adjustRightInd/>
      <w:spacing w:line="240" w:lineRule="auto"/>
      <w:jc w:val="center"/>
      <w:textAlignment w:val="auto"/>
      <w:outlineLvl w:val="1"/>
    </w:pPr>
    <w:rPr>
      <w:rFonts w:eastAsia="黑体" w:cs="Times New Roman"/>
      <w:caps/>
      <w:color w:val="000000"/>
      <w:kern w:val="20"/>
      <w:sz w:val="32"/>
      <w:szCs w:val="20"/>
      <w:lang w:val="zh-CN"/>
    </w:rPr>
  </w:style>
  <w:style w:type="paragraph" w:styleId="6">
    <w:name w:val="heading 3"/>
    <w:basedOn w:val="1"/>
    <w:next w:val="5"/>
    <w:link w:val="37"/>
    <w:qFormat/>
    <w:uiPriority w:val="99"/>
    <w:pPr>
      <w:keepNext/>
      <w:keepLines/>
      <w:spacing w:before="260" w:after="260" w:line="416" w:lineRule="atLeast"/>
      <w:outlineLvl w:val="2"/>
    </w:pPr>
    <w:rPr>
      <w:rFonts w:cs="Times New Roman"/>
      <w:b/>
      <w:sz w:val="32"/>
      <w:szCs w:val="20"/>
    </w:rPr>
  </w:style>
  <w:style w:type="paragraph" w:styleId="7">
    <w:name w:val="heading 4"/>
    <w:basedOn w:val="1"/>
    <w:next w:val="1"/>
    <w:link w:val="80"/>
    <w:unhideWhenUsed/>
    <w:qFormat/>
    <w:uiPriority w:val="0"/>
    <w:pPr>
      <w:keepNext/>
      <w:keepLines/>
      <w:numPr>
        <w:ilvl w:val="3"/>
        <w:numId w:val="1"/>
      </w:numPr>
      <w:spacing w:before="280" w:after="290" w:line="376" w:lineRule="auto"/>
      <w:outlineLvl w:val="3"/>
    </w:pPr>
    <w:rPr>
      <w:rFonts w:asciiTheme="majorHAnsi" w:hAnsiTheme="majorHAnsi" w:eastAsiaTheme="majorEastAsia" w:cstheme="majorBidi"/>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47"/>
    <w:qFormat/>
    <w:uiPriority w:val="99"/>
    <w:pPr>
      <w:tabs>
        <w:tab w:val="left" w:pos="567"/>
      </w:tabs>
      <w:adjustRightInd/>
      <w:spacing w:before="120" w:line="22" w:lineRule="atLeast"/>
      <w:jc w:val="both"/>
      <w:textAlignment w:val="auto"/>
    </w:pPr>
    <w:rPr>
      <w:rFonts w:ascii="宋体" w:hAnsi="宋体" w:cs="Times New Roman"/>
      <w:szCs w:val="20"/>
    </w:rPr>
  </w:style>
  <w:style w:type="paragraph" w:styleId="5">
    <w:name w:val="Normal Indent"/>
    <w:basedOn w:val="1"/>
    <w:link w:val="62"/>
    <w:qFormat/>
    <w:uiPriority w:val="0"/>
    <w:pPr>
      <w:autoSpaceDE w:val="0"/>
      <w:autoSpaceDN w:val="0"/>
      <w:spacing w:line="240" w:lineRule="auto"/>
      <w:ind w:firstLine="420"/>
      <w:textAlignment w:val="auto"/>
    </w:pPr>
    <w:rPr>
      <w:rFonts w:ascii="宋体" w:cs="Times New Roman"/>
      <w:szCs w:val="20"/>
    </w:rPr>
  </w:style>
  <w:style w:type="paragraph" w:styleId="8">
    <w:name w:val="toc 7"/>
    <w:basedOn w:val="1"/>
    <w:next w:val="1"/>
    <w:semiHidden/>
    <w:qFormat/>
    <w:uiPriority w:val="99"/>
    <w:pPr>
      <w:ind w:left="2520" w:leftChars="1200"/>
    </w:pPr>
  </w:style>
  <w:style w:type="paragraph" w:styleId="9">
    <w:name w:val="E-mail Signature"/>
    <w:basedOn w:val="1"/>
    <w:link w:val="65"/>
    <w:qFormat/>
    <w:uiPriority w:val="99"/>
    <w:pPr>
      <w:widowControl/>
      <w:adjustRightInd/>
      <w:spacing w:line="240" w:lineRule="auto"/>
      <w:textAlignment w:val="auto"/>
    </w:pPr>
    <w:rPr>
      <w:rFonts w:ascii="Cambria" w:hAnsi="Cambria" w:eastAsia="微软雅黑" w:cs="Times New Roman"/>
      <w:color w:val="595959"/>
      <w:kern w:val="20"/>
      <w:sz w:val="21"/>
      <w:szCs w:val="20"/>
      <w:lang w:val="zh-CN"/>
    </w:rPr>
  </w:style>
  <w:style w:type="paragraph" w:styleId="10">
    <w:name w:val="caption"/>
    <w:basedOn w:val="1"/>
    <w:next w:val="1"/>
    <w:unhideWhenUsed/>
    <w:qFormat/>
    <w:uiPriority w:val="0"/>
    <w:pPr>
      <w:spacing w:before="152" w:after="160"/>
    </w:pPr>
    <w:rPr>
      <w:rFonts w:ascii="Arial" w:hAnsi="Arial" w:eastAsia="黑体" w:cs="Arial"/>
      <w:sz w:val="20"/>
      <w:szCs w:val="20"/>
    </w:rPr>
  </w:style>
  <w:style w:type="paragraph" w:styleId="11">
    <w:name w:val="Document Map"/>
    <w:basedOn w:val="1"/>
    <w:link w:val="45"/>
    <w:semiHidden/>
    <w:qFormat/>
    <w:uiPriority w:val="99"/>
    <w:pPr>
      <w:adjustRightInd/>
      <w:spacing w:line="240" w:lineRule="auto"/>
      <w:jc w:val="both"/>
      <w:textAlignment w:val="auto"/>
    </w:pPr>
    <w:rPr>
      <w:rFonts w:ascii="宋体" w:cs="Times New Roman"/>
      <w:sz w:val="18"/>
      <w:szCs w:val="20"/>
    </w:rPr>
  </w:style>
  <w:style w:type="paragraph" w:styleId="12">
    <w:name w:val="annotation text"/>
    <w:basedOn w:val="1"/>
    <w:link w:val="51"/>
    <w:qFormat/>
    <w:uiPriority w:val="99"/>
    <w:pPr>
      <w:adjustRightInd/>
      <w:spacing w:line="240" w:lineRule="auto"/>
      <w:textAlignment w:val="auto"/>
    </w:pPr>
    <w:rPr>
      <w:rFonts w:cs="Times New Roman"/>
      <w:szCs w:val="20"/>
    </w:rPr>
  </w:style>
  <w:style w:type="paragraph" w:styleId="13">
    <w:name w:val="Body Text 3"/>
    <w:basedOn w:val="1"/>
    <w:unhideWhenUsed/>
    <w:qFormat/>
    <w:locked/>
    <w:uiPriority w:val="0"/>
    <w:pPr>
      <w:spacing w:after="120"/>
    </w:pPr>
    <w:rPr>
      <w:sz w:val="16"/>
      <w:szCs w:val="16"/>
    </w:rPr>
  </w:style>
  <w:style w:type="paragraph" w:styleId="14">
    <w:name w:val="Body Text Indent"/>
    <w:basedOn w:val="1"/>
    <w:qFormat/>
    <w:locked/>
    <w:uiPriority w:val="99"/>
    <w:pPr>
      <w:spacing w:line="360" w:lineRule="auto"/>
      <w:ind w:firstLine="570"/>
    </w:pPr>
  </w:style>
  <w:style w:type="paragraph" w:styleId="15">
    <w:name w:val="Plain Text"/>
    <w:basedOn w:val="1"/>
    <w:link w:val="55"/>
    <w:qFormat/>
    <w:uiPriority w:val="99"/>
    <w:pPr>
      <w:adjustRightInd/>
      <w:spacing w:line="240" w:lineRule="auto"/>
      <w:jc w:val="both"/>
      <w:textAlignment w:val="auto"/>
    </w:pPr>
    <w:rPr>
      <w:rFonts w:ascii="宋体" w:hAnsi="Courier New" w:cs="Times New Roman"/>
      <w:sz w:val="21"/>
      <w:szCs w:val="20"/>
    </w:rPr>
  </w:style>
  <w:style w:type="paragraph" w:styleId="16">
    <w:name w:val="Body Text Indent 2"/>
    <w:basedOn w:val="1"/>
    <w:link w:val="53"/>
    <w:semiHidden/>
    <w:qFormat/>
    <w:uiPriority w:val="99"/>
    <w:pPr>
      <w:spacing w:after="120" w:line="480" w:lineRule="auto"/>
      <w:ind w:left="420" w:leftChars="200"/>
    </w:pPr>
    <w:rPr>
      <w:rFonts w:cs="Times New Roman"/>
      <w:szCs w:val="20"/>
    </w:rPr>
  </w:style>
  <w:style w:type="paragraph" w:styleId="17">
    <w:name w:val="Balloon Text"/>
    <w:basedOn w:val="1"/>
    <w:link w:val="60"/>
    <w:semiHidden/>
    <w:qFormat/>
    <w:uiPriority w:val="99"/>
    <w:pPr>
      <w:spacing w:line="240" w:lineRule="auto"/>
    </w:pPr>
    <w:rPr>
      <w:rFonts w:cs="Times New Roman"/>
      <w:sz w:val="18"/>
      <w:szCs w:val="20"/>
    </w:rPr>
  </w:style>
  <w:style w:type="paragraph" w:styleId="18">
    <w:name w:val="footer"/>
    <w:basedOn w:val="1"/>
    <w:link w:val="38"/>
    <w:qFormat/>
    <w:uiPriority w:val="99"/>
    <w:pPr>
      <w:tabs>
        <w:tab w:val="center" w:pos="4153"/>
        <w:tab w:val="right" w:pos="8306"/>
      </w:tabs>
      <w:spacing w:line="240" w:lineRule="atLeast"/>
    </w:pPr>
    <w:rPr>
      <w:rFonts w:cs="Times New Roman"/>
      <w:sz w:val="18"/>
      <w:szCs w:val="20"/>
    </w:rPr>
  </w:style>
  <w:style w:type="paragraph" w:styleId="19">
    <w:name w:val="header"/>
    <w:basedOn w:val="1"/>
    <w:link w:val="46"/>
    <w:qFormat/>
    <w:uiPriority w:val="99"/>
    <w:pPr>
      <w:pBdr>
        <w:bottom w:val="single" w:color="auto" w:sz="6" w:space="1"/>
      </w:pBdr>
      <w:tabs>
        <w:tab w:val="center" w:pos="4153"/>
        <w:tab w:val="right" w:pos="8306"/>
      </w:tabs>
      <w:snapToGrid w:val="0"/>
      <w:spacing w:line="240" w:lineRule="atLeast"/>
      <w:jc w:val="center"/>
    </w:pPr>
    <w:rPr>
      <w:rFonts w:cs="Times New Roman"/>
      <w:sz w:val="18"/>
      <w:szCs w:val="20"/>
    </w:rPr>
  </w:style>
  <w:style w:type="paragraph" w:styleId="20">
    <w:name w:val="toc 1"/>
    <w:basedOn w:val="1"/>
    <w:next w:val="1"/>
    <w:qFormat/>
    <w:uiPriority w:val="39"/>
  </w:style>
  <w:style w:type="paragraph" w:styleId="21">
    <w:name w:val="HTML Preformatted"/>
    <w:basedOn w:val="1"/>
    <w:link w:val="86"/>
    <w:semiHidden/>
    <w:unhideWhenUsed/>
    <w:qFormat/>
    <w:locked/>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宋体" w:hAnsi="宋体" w:cs="宋体"/>
    </w:rPr>
  </w:style>
  <w:style w:type="paragraph" w:styleId="22">
    <w:name w:val="Normal (Web)"/>
    <w:basedOn w:val="1"/>
    <w:unhideWhenUsed/>
    <w:qFormat/>
    <w:locked/>
    <w:uiPriority w:val="99"/>
    <w:pPr>
      <w:widowControl/>
      <w:spacing w:before="100" w:beforeAutospacing="1" w:after="100" w:afterAutospacing="1"/>
    </w:pPr>
    <w:rPr>
      <w:rFonts w:ascii="宋体" w:hAnsi="宋体" w:cs="宋体"/>
    </w:rPr>
  </w:style>
  <w:style w:type="paragraph" w:styleId="23">
    <w:name w:val="Title"/>
    <w:basedOn w:val="1"/>
    <w:next w:val="1"/>
    <w:link w:val="81"/>
    <w:qFormat/>
    <w:uiPriority w:val="0"/>
    <w:pPr>
      <w:spacing w:before="240" w:after="60"/>
      <w:jc w:val="center"/>
      <w:outlineLvl w:val="0"/>
    </w:pPr>
    <w:rPr>
      <w:rFonts w:ascii="Arial" w:hAnsi="Arial"/>
      <w:b/>
      <w:bCs/>
      <w:sz w:val="32"/>
      <w:szCs w:val="32"/>
    </w:rPr>
  </w:style>
  <w:style w:type="paragraph" w:styleId="24">
    <w:name w:val="annotation subject"/>
    <w:basedOn w:val="12"/>
    <w:next w:val="12"/>
    <w:link w:val="67"/>
    <w:qFormat/>
    <w:uiPriority w:val="99"/>
    <w:pPr>
      <w:adjustRightInd w:val="0"/>
      <w:spacing w:line="360" w:lineRule="atLeast"/>
      <w:textAlignment w:val="baseline"/>
    </w:pPr>
    <w:rPr>
      <w:b/>
    </w:rPr>
  </w:style>
  <w:style w:type="paragraph" w:styleId="25">
    <w:name w:val="Body Text First Indent 2"/>
    <w:basedOn w:val="14"/>
    <w:qFormat/>
    <w:locked/>
    <w:uiPriority w:val="0"/>
    <w:pPr>
      <w:spacing w:after="120" w:line="240" w:lineRule="auto"/>
      <w:ind w:left="420" w:leftChars="200" w:firstLine="420" w:firstLineChars="200"/>
      <w:textAlignment w:val="auto"/>
    </w:pPr>
    <w:rPr>
      <w:kern w:val="2"/>
      <w:sz w:val="21"/>
      <w:szCs w:val="20"/>
    </w:rPr>
  </w:style>
  <w:style w:type="table" w:styleId="27">
    <w:name w:val="Table Grid"/>
    <w:basedOn w:val="26"/>
    <w:qFormat/>
    <w:locked/>
    <w:uiPriority w:val="99"/>
    <w:pPr>
      <w:widowControl w:val="0"/>
      <w:adjustRightInd w:val="0"/>
      <w:spacing w:line="360" w:lineRule="atLeast"/>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rPr>
  </w:style>
  <w:style w:type="character" w:styleId="30">
    <w:name w:val="page number"/>
    <w:basedOn w:val="28"/>
    <w:qFormat/>
    <w:uiPriority w:val="99"/>
    <w:rPr>
      <w:rFonts w:cs="Times New Roman"/>
    </w:rPr>
  </w:style>
  <w:style w:type="character" w:styleId="31">
    <w:name w:val="FollowedHyperlink"/>
    <w:basedOn w:val="28"/>
    <w:semiHidden/>
    <w:unhideWhenUsed/>
    <w:qFormat/>
    <w:locked/>
    <w:uiPriority w:val="99"/>
    <w:rPr>
      <w:color w:val="333333"/>
      <w:u w:val="none"/>
    </w:rPr>
  </w:style>
  <w:style w:type="character" w:styleId="32">
    <w:name w:val="Hyperlink"/>
    <w:basedOn w:val="28"/>
    <w:qFormat/>
    <w:uiPriority w:val="99"/>
    <w:rPr>
      <w:rFonts w:cs="Times New Roman"/>
      <w:color w:val="0563C1"/>
      <w:u w:val="single"/>
    </w:rPr>
  </w:style>
  <w:style w:type="character" w:styleId="33">
    <w:name w:val="annotation reference"/>
    <w:basedOn w:val="28"/>
    <w:qFormat/>
    <w:uiPriority w:val="99"/>
    <w:rPr>
      <w:rFonts w:cs="Times New Roman"/>
      <w:sz w:val="21"/>
    </w:rPr>
  </w:style>
  <w:style w:type="paragraph" w:customStyle="1" w:styleId="34">
    <w:name w:val="Default"/>
    <w:qFormat/>
    <w:uiPriority w:val="0"/>
    <w:pPr>
      <w:widowControl w:val="0"/>
      <w:autoSpaceDE w:val="0"/>
      <w:autoSpaceDN w:val="0"/>
      <w:adjustRightInd w:val="0"/>
    </w:pPr>
    <w:rPr>
      <w:rFonts w:ascii="Akzidenz Grotesk BQ" w:hAnsi="Akzidenz Grotesk BQ" w:eastAsia="宋体" w:cs="Akzidenz Grotesk BQ"/>
      <w:color w:val="000000"/>
      <w:sz w:val="24"/>
      <w:szCs w:val="24"/>
      <w:lang w:val="en-US" w:eastAsia="zh-CN" w:bidi="ar-SA"/>
    </w:rPr>
  </w:style>
  <w:style w:type="character" w:customStyle="1" w:styleId="35">
    <w:name w:val="标题 1 字符"/>
    <w:link w:val="3"/>
    <w:qFormat/>
    <w:locked/>
    <w:uiPriority w:val="99"/>
    <w:rPr>
      <w:rFonts w:eastAsia="方正小标宋简体"/>
      <w:kern w:val="44"/>
      <w:sz w:val="44"/>
    </w:rPr>
  </w:style>
  <w:style w:type="character" w:customStyle="1" w:styleId="36">
    <w:name w:val="标题 2 字符"/>
    <w:link w:val="4"/>
    <w:qFormat/>
    <w:locked/>
    <w:uiPriority w:val="99"/>
    <w:rPr>
      <w:rFonts w:eastAsia="黑体"/>
      <w:caps/>
      <w:color w:val="000000"/>
      <w:kern w:val="20"/>
      <w:sz w:val="32"/>
      <w:lang w:val="zh-CN"/>
    </w:rPr>
  </w:style>
  <w:style w:type="character" w:customStyle="1" w:styleId="37">
    <w:name w:val="标题 3 字符"/>
    <w:link w:val="6"/>
    <w:qFormat/>
    <w:locked/>
    <w:uiPriority w:val="99"/>
    <w:rPr>
      <w:rFonts w:ascii="Calibri" w:hAnsi="Calibri" w:eastAsia="宋体"/>
      <w:b/>
      <w:kern w:val="0"/>
      <w:sz w:val="32"/>
    </w:rPr>
  </w:style>
  <w:style w:type="character" w:customStyle="1" w:styleId="38">
    <w:name w:val="页脚 字符"/>
    <w:link w:val="18"/>
    <w:qFormat/>
    <w:locked/>
    <w:uiPriority w:val="99"/>
    <w:rPr>
      <w:rFonts w:ascii="Calibri" w:hAnsi="Calibri" w:eastAsia="宋体"/>
      <w:kern w:val="0"/>
      <w:sz w:val="18"/>
    </w:rPr>
  </w:style>
  <w:style w:type="paragraph" w:customStyle="1" w:styleId="39">
    <w:name w:val="样式 样式 样式 标题 2 + 宋体 五号 非加粗 黑色 + 段前: 6 磅 段后: 0 磅 行距: 单倍行距 + 段前: 12..."/>
    <w:basedOn w:val="1"/>
    <w:qFormat/>
    <w:uiPriority w:val="99"/>
    <w:pPr>
      <w:keepNext/>
      <w:keepLines/>
      <w:numPr>
        <w:ilvl w:val="1"/>
        <w:numId w:val="2"/>
      </w:numPr>
      <w:spacing w:before="240" w:line="240" w:lineRule="auto"/>
      <w:outlineLvl w:val="1"/>
    </w:pPr>
    <w:rPr>
      <w:rFonts w:ascii="宋体" w:hAnsi="宋体" w:cs="宋体"/>
      <w:color w:val="000000"/>
      <w:sz w:val="21"/>
      <w:szCs w:val="21"/>
    </w:rPr>
  </w:style>
  <w:style w:type="paragraph" w:customStyle="1" w:styleId="40">
    <w:name w:val="列出段落1"/>
    <w:basedOn w:val="1"/>
    <w:qFormat/>
    <w:uiPriority w:val="99"/>
    <w:pPr>
      <w:ind w:firstLine="420" w:firstLineChars="200"/>
    </w:pPr>
  </w:style>
  <w:style w:type="paragraph" w:customStyle="1" w:styleId="41">
    <w:name w:val="列出段落11"/>
    <w:basedOn w:val="1"/>
    <w:semiHidden/>
    <w:qFormat/>
    <w:uiPriority w:val="99"/>
    <w:pPr>
      <w:widowControl/>
      <w:adjustRightInd/>
      <w:spacing w:before="40" w:after="160" w:line="240" w:lineRule="auto"/>
      <w:ind w:firstLine="420" w:firstLineChars="200"/>
      <w:textAlignment w:val="auto"/>
    </w:pPr>
    <w:rPr>
      <w:rFonts w:ascii="Cambria" w:hAnsi="Cambria" w:eastAsia="微软雅黑" w:cs="Cambria"/>
      <w:color w:val="565656"/>
      <w:kern w:val="20"/>
      <w:sz w:val="21"/>
      <w:szCs w:val="21"/>
      <w:lang w:val="zh-CN"/>
    </w:rPr>
  </w:style>
  <w:style w:type="paragraph" w:customStyle="1" w:styleId="42">
    <w:name w:val="p0"/>
    <w:basedOn w:val="1"/>
    <w:qFormat/>
    <w:uiPriority w:val="99"/>
    <w:pPr>
      <w:widowControl/>
      <w:adjustRightInd/>
      <w:spacing w:line="240" w:lineRule="auto"/>
      <w:jc w:val="both"/>
      <w:textAlignment w:val="auto"/>
    </w:pPr>
    <w:rPr>
      <w:rFonts w:ascii="Times New Roman" w:hAnsi="Times New Roman" w:cs="Times New Roman"/>
      <w:color w:val="000000"/>
      <w:sz w:val="21"/>
      <w:szCs w:val="21"/>
    </w:rPr>
  </w:style>
  <w:style w:type="paragraph" w:customStyle="1" w:styleId="43">
    <w:name w:val="列出段落2"/>
    <w:basedOn w:val="1"/>
    <w:qFormat/>
    <w:uiPriority w:val="99"/>
    <w:pPr>
      <w:widowControl/>
      <w:adjustRightInd/>
      <w:spacing w:before="40" w:after="160" w:line="240" w:lineRule="auto"/>
      <w:ind w:firstLine="420" w:firstLineChars="200"/>
      <w:textAlignment w:val="auto"/>
    </w:pPr>
    <w:rPr>
      <w:rFonts w:ascii="Cambria" w:hAnsi="Cambria" w:eastAsia="微软雅黑" w:cs="Cambria"/>
      <w:color w:val="565656"/>
      <w:kern w:val="20"/>
      <w:sz w:val="21"/>
      <w:szCs w:val="21"/>
      <w:lang w:val="zh-CN"/>
    </w:rPr>
  </w:style>
  <w:style w:type="table" w:customStyle="1" w:styleId="44">
    <w:name w:val="财务表格"/>
    <w:qFormat/>
    <w:uiPriority w:val="99"/>
    <w:pPr>
      <w:ind w:left="144" w:right="144"/>
      <w:jc w:val="right"/>
    </w:pPr>
    <w:tblPr>
      <w:tblBorders>
        <w:insideH w:val="single" w:color="D8D8D8" w:sz="4" w:space="0"/>
      </w:tblBorders>
      <w:tblCellMar>
        <w:top w:w="0" w:type="dxa"/>
        <w:left w:w="0" w:type="dxa"/>
        <w:bottom w:w="0" w:type="dxa"/>
        <w:right w:w="0" w:type="dxa"/>
      </w:tblCellMar>
    </w:tblPr>
  </w:style>
  <w:style w:type="character" w:customStyle="1" w:styleId="45">
    <w:name w:val="文档结构图 字符"/>
    <w:link w:val="11"/>
    <w:semiHidden/>
    <w:qFormat/>
    <w:locked/>
    <w:uiPriority w:val="99"/>
    <w:rPr>
      <w:rFonts w:ascii="宋体" w:hAnsi="Calibri" w:eastAsia="宋体"/>
      <w:sz w:val="18"/>
    </w:rPr>
  </w:style>
  <w:style w:type="character" w:customStyle="1" w:styleId="46">
    <w:name w:val="页眉 字符"/>
    <w:link w:val="19"/>
    <w:qFormat/>
    <w:locked/>
    <w:uiPriority w:val="99"/>
    <w:rPr>
      <w:rFonts w:ascii="Calibri" w:hAnsi="Calibri" w:eastAsia="宋体"/>
      <w:kern w:val="0"/>
      <w:sz w:val="18"/>
    </w:rPr>
  </w:style>
  <w:style w:type="character" w:customStyle="1" w:styleId="47">
    <w:name w:val="正文文本 字符"/>
    <w:link w:val="2"/>
    <w:qFormat/>
    <w:locked/>
    <w:uiPriority w:val="99"/>
    <w:rPr>
      <w:rFonts w:ascii="宋体" w:hAnsi="宋体" w:eastAsia="宋体"/>
      <w:sz w:val="24"/>
    </w:rPr>
  </w:style>
  <w:style w:type="paragraph" w:customStyle="1" w:styleId="48">
    <w:name w:val="样式1"/>
    <w:basedOn w:val="1"/>
    <w:qFormat/>
    <w:uiPriority w:val="99"/>
    <w:pPr>
      <w:numPr>
        <w:ilvl w:val="0"/>
        <w:numId w:val="3"/>
      </w:numPr>
      <w:tabs>
        <w:tab w:val="left" w:pos="709"/>
      </w:tabs>
      <w:adjustRightInd/>
      <w:spacing w:line="240" w:lineRule="auto"/>
      <w:jc w:val="both"/>
      <w:textAlignment w:val="auto"/>
    </w:pPr>
    <w:rPr>
      <w:rFonts w:ascii="宋体" w:hAnsi="宋体" w:cs="宋体"/>
      <w:kern w:val="2"/>
      <w:sz w:val="21"/>
      <w:szCs w:val="21"/>
    </w:rPr>
  </w:style>
  <w:style w:type="paragraph" w:customStyle="1" w:styleId="49">
    <w:name w:val="Char Char Char Char"/>
    <w:basedOn w:val="1"/>
    <w:qFormat/>
    <w:uiPriority w:val="99"/>
    <w:pPr>
      <w:adjustRightInd/>
      <w:spacing w:line="240" w:lineRule="auto"/>
      <w:jc w:val="both"/>
      <w:textAlignment w:val="auto"/>
    </w:pPr>
    <w:rPr>
      <w:rFonts w:ascii="Tahoma" w:hAnsi="Tahoma" w:cs="Tahoma"/>
      <w:kern w:val="2"/>
    </w:rPr>
  </w:style>
  <w:style w:type="character" w:customStyle="1" w:styleId="50">
    <w:name w:val="Comment Text Char"/>
    <w:qFormat/>
    <w:locked/>
    <w:uiPriority w:val="99"/>
  </w:style>
  <w:style w:type="character" w:customStyle="1" w:styleId="51">
    <w:name w:val="批注文字 字符"/>
    <w:link w:val="12"/>
    <w:qFormat/>
    <w:locked/>
    <w:uiPriority w:val="99"/>
    <w:rPr>
      <w:kern w:val="0"/>
      <w:sz w:val="24"/>
    </w:rPr>
  </w:style>
  <w:style w:type="character" w:customStyle="1" w:styleId="52">
    <w:name w:val="批注文字 Char1"/>
    <w:semiHidden/>
    <w:qFormat/>
    <w:uiPriority w:val="99"/>
    <w:rPr>
      <w:rFonts w:ascii="Calibri" w:hAnsi="Calibri" w:eastAsia="宋体"/>
      <w:kern w:val="0"/>
      <w:sz w:val="24"/>
    </w:rPr>
  </w:style>
  <w:style w:type="character" w:customStyle="1" w:styleId="53">
    <w:name w:val="正文文本缩进 2 字符"/>
    <w:link w:val="16"/>
    <w:semiHidden/>
    <w:qFormat/>
    <w:locked/>
    <w:uiPriority w:val="99"/>
    <w:rPr>
      <w:rFonts w:ascii="Calibri" w:hAnsi="Calibri" w:eastAsia="宋体"/>
      <w:kern w:val="0"/>
      <w:sz w:val="24"/>
    </w:rPr>
  </w:style>
  <w:style w:type="character" w:customStyle="1" w:styleId="54">
    <w:name w:val="Plain Text Char"/>
    <w:qFormat/>
    <w:locked/>
    <w:uiPriority w:val="99"/>
    <w:rPr>
      <w:rFonts w:ascii="宋体" w:hAnsi="Courier New" w:eastAsia="宋体"/>
    </w:rPr>
  </w:style>
  <w:style w:type="character" w:customStyle="1" w:styleId="55">
    <w:name w:val="纯文本 字符"/>
    <w:link w:val="15"/>
    <w:qFormat/>
    <w:locked/>
    <w:uiPriority w:val="99"/>
    <w:rPr>
      <w:rFonts w:ascii="宋体" w:hAnsi="Courier New"/>
      <w:kern w:val="0"/>
      <w:sz w:val="21"/>
    </w:rPr>
  </w:style>
  <w:style w:type="character" w:customStyle="1" w:styleId="56">
    <w:name w:val="纯文本 Char1"/>
    <w:semiHidden/>
    <w:qFormat/>
    <w:uiPriority w:val="99"/>
    <w:rPr>
      <w:rFonts w:ascii="宋体" w:hAnsi="Courier New" w:eastAsia="宋体"/>
      <w:kern w:val="0"/>
      <w:sz w:val="21"/>
    </w:rPr>
  </w:style>
  <w:style w:type="character" w:customStyle="1" w:styleId="57">
    <w:name w:val="Body Char1"/>
    <w:link w:val="58"/>
    <w:qFormat/>
    <w:locked/>
    <w:uiPriority w:val="99"/>
    <w:rPr>
      <w:lang w:eastAsia="en-US"/>
    </w:rPr>
  </w:style>
  <w:style w:type="paragraph" w:customStyle="1" w:styleId="58">
    <w:name w:val="Body"/>
    <w:basedOn w:val="1"/>
    <w:link w:val="57"/>
    <w:qFormat/>
    <w:uiPriority w:val="99"/>
    <w:pPr>
      <w:widowControl/>
      <w:tabs>
        <w:tab w:val="left" w:pos="1620"/>
      </w:tabs>
      <w:adjustRightInd/>
      <w:spacing w:before="80" w:after="80" w:line="288" w:lineRule="auto"/>
      <w:jc w:val="both"/>
      <w:textAlignment w:val="auto"/>
    </w:pPr>
    <w:rPr>
      <w:rFonts w:cs="Times New Roman"/>
      <w:sz w:val="20"/>
      <w:szCs w:val="20"/>
      <w:lang w:eastAsia="en-US"/>
    </w:rPr>
  </w:style>
  <w:style w:type="paragraph" w:customStyle="1" w:styleId="59">
    <w:name w:val="表格内文字"/>
    <w:basedOn w:val="1"/>
    <w:qFormat/>
    <w:uiPriority w:val="99"/>
    <w:pPr>
      <w:widowControl/>
      <w:tabs>
        <w:tab w:val="left" w:pos="780"/>
      </w:tabs>
      <w:adjustRightInd/>
      <w:spacing w:line="360" w:lineRule="auto"/>
      <w:ind w:left="768" w:hanging="360"/>
      <w:jc w:val="both"/>
      <w:textAlignment w:val="auto"/>
    </w:pPr>
    <w:rPr>
      <w:rFonts w:ascii="Times New Roman" w:hAnsi="Times New Roman" w:cs="Times New Roman"/>
      <w:kern w:val="2"/>
      <w:sz w:val="18"/>
      <w:szCs w:val="18"/>
    </w:rPr>
  </w:style>
  <w:style w:type="character" w:customStyle="1" w:styleId="60">
    <w:name w:val="批注框文本 字符"/>
    <w:link w:val="17"/>
    <w:semiHidden/>
    <w:qFormat/>
    <w:locked/>
    <w:uiPriority w:val="99"/>
    <w:rPr>
      <w:rFonts w:ascii="Calibri" w:hAnsi="Calibri" w:eastAsia="宋体"/>
      <w:kern w:val="0"/>
      <w:sz w:val="18"/>
    </w:rPr>
  </w:style>
  <w:style w:type="paragraph" w:customStyle="1" w:styleId="61">
    <w:name w:val="修订1"/>
    <w:hidden/>
    <w:semiHidden/>
    <w:qFormat/>
    <w:uiPriority w:val="99"/>
    <w:rPr>
      <w:rFonts w:ascii="Calibri" w:hAnsi="Calibri" w:eastAsia="宋体" w:cs="Calibri"/>
      <w:sz w:val="24"/>
      <w:szCs w:val="24"/>
      <w:lang w:val="en-US" w:eastAsia="zh-CN" w:bidi="ar-SA"/>
    </w:rPr>
  </w:style>
  <w:style w:type="character" w:customStyle="1" w:styleId="62">
    <w:name w:val="正文缩进 字符"/>
    <w:link w:val="5"/>
    <w:qFormat/>
    <w:locked/>
    <w:uiPriority w:val="0"/>
    <w:rPr>
      <w:rFonts w:ascii="宋体"/>
      <w:sz w:val="24"/>
    </w:rPr>
  </w:style>
  <w:style w:type="paragraph" w:customStyle="1" w:styleId="63">
    <w:name w:val="样式2"/>
    <w:basedOn w:val="1"/>
    <w:qFormat/>
    <w:uiPriority w:val="99"/>
    <w:pPr>
      <w:adjustRightInd/>
      <w:spacing w:line="300" w:lineRule="auto"/>
      <w:jc w:val="center"/>
      <w:textAlignment w:val="auto"/>
      <w:outlineLvl w:val="0"/>
    </w:pPr>
    <w:rPr>
      <w:rFonts w:ascii="宋体" w:hAnsi="Times New Roman" w:cs="Times New Roman"/>
      <w:b/>
      <w:szCs w:val="20"/>
    </w:rPr>
  </w:style>
  <w:style w:type="paragraph" w:customStyle="1" w:styleId="64">
    <w:name w:val="修订2"/>
    <w:hidden/>
    <w:semiHidden/>
    <w:qFormat/>
    <w:uiPriority w:val="99"/>
    <w:rPr>
      <w:rFonts w:ascii="Calibri" w:hAnsi="Calibri" w:eastAsia="宋体" w:cs="Calibri"/>
      <w:sz w:val="24"/>
      <w:szCs w:val="24"/>
      <w:lang w:val="en-US" w:eastAsia="zh-CN" w:bidi="ar-SA"/>
    </w:rPr>
  </w:style>
  <w:style w:type="character" w:customStyle="1" w:styleId="65">
    <w:name w:val="电子邮件签名 字符"/>
    <w:link w:val="9"/>
    <w:qFormat/>
    <w:locked/>
    <w:uiPriority w:val="99"/>
    <w:rPr>
      <w:rFonts w:ascii="Cambria" w:hAnsi="Cambria" w:eastAsia="微软雅黑"/>
      <w:color w:val="595959"/>
      <w:kern w:val="20"/>
      <w:sz w:val="21"/>
      <w:lang w:val="zh-CN"/>
    </w:rPr>
  </w:style>
  <w:style w:type="paragraph" w:customStyle="1" w:styleId="66">
    <w:name w:val="Char Char Char Char1"/>
    <w:basedOn w:val="1"/>
    <w:qFormat/>
    <w:uiPriority w:val="99"/>
    <w:pPr>
      <w:adjustRightInd/>
      <w:spacing w:line="240" w:lineRule="auto"/>
      <w:jc w:val="both"/>
      <w:textAlignment w:val="auto"/>
    </w:pPr>
    <w:rPr>
      <w:rFonts w:ascii="Tahoma" w:hAnsi="Tahoma" w:cs="Times New Roman"/>
      <w:kern w:val="2"/>
      <w:szCs w:val="20"/>
    </w:rPr>
  </w:style>
  <w:style w:type="character" w:customStyle="1" w:styleId="67">
    <w:name w:val="批注主题 字符"/>
    <w:link w:val="24"/>
    <w:qFormat/>
    <w:locked/>
    <w:uiPriority w:val="99"/>
    <w:rPr>
      <w:b/>
      <w:kern w:val="0"/>
      <w:sz w:val="24"/>
    </w:rPr>
  </w:style>
  <w:style w:type="paragraph" w:customStyle="1" w:styleId="68">
    <w:name w:val="修订3"/>
    <w:hidden/>
    <w:semiHidden/>
    <w:qFormat/>
    <w:uiPriority w:val="99"/>
    <w:rPr>
      <w:rFonts w:ascii="Calibri" w:hAnsi="Calibri" w:eastAsia="宋体" w:cs="Calibri"/>
      <w:sz w:val="24"/>
      <w:szCs w:val="24"/>
      <w:lang w:val="en-US" w:eastAsia="zh-CN" w:bidi="ar-SA"/>
    </w:rPr>
  </w:style>
  <w:style w:type="character" w:customStyle="1" w:styleId="69">
    <w:name w:val="10"/>
    <w:basedOn w:val="28"/>
    <w:qFormat/>
    <w:uiPriority w:val="0"/>
    <w:rPr>
      <w:rFonts w:hint="default" w:ascii="Times New Roman" w:hAnsi="Times New Roman" w:cs="Times New Roman"/>
    </w:rPr>
  </w:style>
  <w:style w:type="character" w:customStyle="1" w:styleId="70">
    <w:name w:val="15"/>
    <w:basedOn w:val="28"/>
    <w:qFormat/>
    <w:uiPriority w:val="0"/>
    <w:rPr>
      <w:rFonts w:hint="default" w:ascii="Times New Roman" w:hAnsi="Times New Roman" w:cs="Times New Roman"/>
    </w:rPr>
  </w:style>
  <w:style w:type="paragraph" w:customStyle="1" w:styleId="71">
    <w:name w:val="列出段落5"/>
    <w:basedOn w:val="1"/>
    <w:unhideWhenUsed/>
    <w:qFormat/>
    <w:uiPriority w:val="99"/>
    <w:pPr>
      <w:ind w:firstLine="420" w:firstLineChars="200"/>
    </w:pPr>
  </w:style>
  <w:style w:type="paragraph" w:customStyle="1" w:styleId="72">
    <w:name w:val="_Style 3"/>
    <w:basedOn w:val="1"/>
    <w:qFormat/>
    <w:uiPriority w:val="34"/>
    <w:pPr>
      <w:ind w:firstLine="420" w:firstLineChars="200"/>
    </w:pPr>
    <w:rPr>
      <w:rFonts w:ascii="等线" w:hAnsi="等线" w:eastAsia="等线" w:cs="Times New Roman"/>
    </w:rPr>
  </w:style>
  <w:style w:type="paragraph" w:customStyle="1" w:styleId="73">
    <w:name w:val="列出段落111"/>
    <w:basedOn w:val="1"/>
    <w:qFormat/>
    <w:uiPriority w:val="34"/>
    <w:pPr>
      <w:ind w:firstLine="420" w:firstLineChars="200"/>
    </w:pPr>
  </w:style>
  <w:style w:type="paragraph" w:customStyle="1" w:styleId="74">
    <w:name w:val="MM Map Graphic"/>
    <w:basedOn w:val="1"/>
    <w:qFormat/>
    <w:uiPriority w:val="0"/>
    <w:pPr>
      <w:widowControl/>
      <w:spacing w:before="200" w:after="200" w:line="276" w:lineRule="auto"/>
    </w:pPr>
    <w:rPr>
      <w:rFonts w:ascii="Times New Roman" w:hAnsi="Times New Roman"/>
      <w:sz w:val="20"/>
      <w:lang w:eastAsia="en-US" w:bidi="en-US"/>
    </w:rPr>
  </w:style>
  <w:style w:type="paragraph" w:customStyle="1" w:styleId="75">
    <w:name w:val="列出段落3"/>
    <w:basedOn w:val="1"/>
    <w:qFormat/>
    <w:uiPriority w:val="34"/>
    <w:pPr>
      <w:ind w:firstLine="420" w:firstLineChars="200"/>
    </w:pPr>
    <w:rPr>
      <w:rFonts w:ascii="Times New Roman" w:hAnsi="Times New Roman"/>
    </w:rPr>
  </w:style>
  <w:style w:type="paragraph" w:styleId="76">
    <w:name w:val="List Paragraph"/>
    <w:basedOn w:val="1"/>
    <w:unhideWhenUsed/>
    <w:qFormat/>
    <w:uiPriority w:val="34"/>
    <w:pPr>
      <w:adjustRightInd/>
      <w:spacing w:line="240" w:lineRule="auto"/>
      <w:ind w:firstLine="420" w:firstLineChars="200"/>
      <w:jc w:val="both"/>
      <w:textAlignment w:val="auto"/>
    </w:pPr>
    <w:rPr>
      <w:rFonts w:ascii="Times New Roman" w:hAnsi="Times New Roman" w:cs="Times New Roman"/>
      <w:kern w:val="2"/>
      <w:sz w:val="21"/>
      <w:szCs w:val="20"/>
    </w:rPr>
  </w:style>
  <w:style w:type="paragraph" w:customStyle="1" w:styleId="77">
    <w:name w:val="Table Paragraph"/>
    <w:basedOn w:val="1"/>
    <w:qFormat/>
    <w:uiPriority w:val="1"/>
    <w:rPr>
      <w:sz w:val="22"/>
      <w:lang w:eastAsia="en-US"/>
    </w:rPr>
  </w:style>
  <w:style w:type="paragraph" w:customStyle="1" w:styleId="78">
    <w:name w:val="表头"/>
    <w:basedOn w:val="1"/>
    <w:qFormat/>
    <w:uiPriority w:val="0"/>
    <w:pPr>
      <w:spacing w:beforeLines="500" w:line="1200" w:lineRule="auto"/>
      <w:jc w:val="center"/>
    </w:pPr>
    <w:rPr>
      <w:rFonts w:ascii="宋体" w:hAnsi="宋体"/>
      <w:b/>
      <w:snapToGrid w:val="0"/>
      <w:color w:val="FF0000"/>
      <w:sz w:val="44"/>
      <w:szCs w:val="44"/>
    </w:rPr>
  </w:style>
  <w:style w:type="paragraph" w:customStyle="1" w:styleId="79">
    <w:name w:val="样式 标题 3条标题1.1.1A-Üb-Nr-3Heading 31 + +中文正文 五号 段前: 0 磅 段后: ..."/>
    <w:basedOn w:val="6"/>
    <w:qFormat/>
    <w:uiPriority w:val="0"/>
    <w:pPr>
      <w:keepNext w:val="0"/>
      <w:keepLines w:val="0"/>
      <w:spacing w:before="0" w:after="0" w:line="360" w:lineRule="auto"/>
    </w:pPr>
    <w:rPr>
      <w:rFonts w:ascii="宋体" w:hAnsi="宋体" w:cs="宋体"/>
      <w:bCs/>
      <w:sz w:val="21"/>
    </w:rPr>
  </w:style>
  <w:style w:type="character" w:customStyle="1" w:styleId="80">
    <w:name w:val="标题 4 字符"/>
    <w:basedOn w:val="28"/>
    <w:link w:val="7"/>
    <w:qFormat/>
    <w:uiPriority w:val="0"/>
    <w:rPr>
      <w:rFonts w:asciiTheme="majorHAnsi" w:hAnsiTheme="majorHAnsi" w:eastAsiaTheme="majorEastAsia" w:cstheme="majorBidi"/>
      <w:b/>
      <w:bCs/>
      <w:sz w:val="28"/>
      <w:szCs w:val="28"/>
    </w:rPr>
  </w:style>
  <w:style w:type="character" w:customStyle="1" w:styleId="81">
    <w:name w:val="标题 字符"/>
    <w:basedOn w:val="28"/>
    <w:link w:val="23"/>
    <w:qFormat/>
    <w:uiPriority w:val="0"/>
    <w:rPr>
      <w:rFonts w:ascii="Arial" w:hAnsi="Arial" w:cs="Calibri"/>
      <w:b/>
      <w:bCs/>
      <w:sz w:val="32"/>
      <w:szCs w:val="32"/>
    </w:rPr>
  </w:style>
  <w:style w:type="character" w:customStyle="1" w:styleId="82">
    <w:name w:val="7 正 字符"/>
    <w:link w:val="83"/>
    <w:qFormat/>
    <w:uiPriority w:val="0"/>
    <w:rPr>
      <w:rFonts w:ascii="宋体" w:hAnsi="宋体"/>
      <w:sz w:val="24"/>
      <w:szCs w:val="24"/>
    </w:rPr>
  </w:style>
  <w:style w:type="paragraph" w:customStyle="1" w:styleId="83">
    <w:name w:val="7 正"/>
    <w:basedOn w:val="76"/>
    <w:link w:val="82"/>
    <w:qFormat/>
    <w:uiPriority w:val="0"/>
    <w:pPr>
      <w:widowControl/>
      <w:spacing w:line="360" w:lineRule="auto"/>
      <w:ind w:firstLine="480"/>
    </w:pPr>
    <w:rPr>
      <w:rFonts w:ascii="宋体" w:hAnsi="宋体"/>
      <w:kern w:val="0"/>
      <w:sz w:val="24"/>
      <w:szCs w:val="24"/>
    </w:rPr>
  </w:style>
  <w:style w:type="paragraph" w:customStyle="1" w:styleId="84">
    <w:name w:val="MSG_EN_FONT_STYLE_NAME_TEMPLATE_ROLE MSG_EN_FONT_STYLE_NAME_BY_ROLE_TEXT|2"/>
    <w:basedOn w:val="1"/>
    <w:link w:val="85"/>
    <w:qFormat/>
    <w:uiPriority w:val="0"/>
    <w:pPr>
      <w:shd w:val="clear" w:color="auto" w:fill="FFFFFF"/>
      <w:adjustRightInd/>
      <w:spacing w:after="220" w:line="220" w:lineRule="exact"/>
      <w:ind w:hanging="680"/>
      <w:textAlignment w:val="auto"/>
    </w:pPr>
    <w:rPr>
      <w:rFonts w:ascii="宋体" w:hAnsi="宋体" w:cs="宋体"/>
      <w:color w:val="000000"/>
      <w:sz w:val="22"/>
      <w:szCs w:val="22"/>
      <w:lang w:val="zh-CN" w:bidi="zh-CN"/>
    </w:rPr>
  </w:style>
  <w:style w:type="character" w:customStyle="1" w:styleId="85">
    <w:name w:val="MSG_EN_FONT_STYLE_NAME_TEMPLATE_ROLE MSG_EN_FONT_STYLE_NAME_BY_ROLE_TEXT|2_"/>
    <w:basedOn w:val="28"/>
    <w:link w:val="84"/>
    <w:qFormat/>
    <w:uiPriority w:val="0"/>
    <w:rPr>
      <w:rFonts w:ascii="宋体" w:hAnsi="宋体" w:cs="宋体"/>
      <w:color w:val="000000"/>
      <w:sz w:val="22"/>
      <w:szCs w:val="22"/>
      <w:shd w:val="clear" w:color="auto" w:fill="FFFFFF"/>
      <w:lang w:val="zh-CN" w:bidi="zh-CN"/>
    </w:rPr>
  </w:style>
  <w:style w:type="character" w:customStyle="1" w:styleId="86">
    <w:name w:val="HTML 预设格式 字符"/>
    <w:basedOn w:val="28"/>
    <w:link w:val="21"/>
    <w:semiHidden/>
    <w:qFormat/>
    <w:uiPriority w:val="99"/>
    <w:rPr>
      <w:rFonts w:ascii="宋体" w:hAnsi="宋体" w:eastAsia="宋体" w:cs="宋体"/>
      <w:sz w:val="24"/>
      <w:szCs w:val="24"/>
    </w:rPr>
  </w:style>
  <w:style w:type="paragraph" w:customStyle="1" w:styleId="87">
    <w:name w:val="修订4"/>
    <w:hidden/>
    <w:semiHidden/>
    <w:qFormat/>
    <w:uiPriority w:val="99"/>
    <w:rPr>
      <w:rFonts w:ascii="Calibri" w:hAnsi="Calibri" w:eastAsia="宋体" w:cs="Calibri"/>
      <w:sz w:val="24"/>
      <w:szCs w:val="24"/>
      <w:lang w:val="en-US" w:eastAsia="zh-CN" w:bidi="ar-SA"/>
    </w:rPr>
  </w:style>
  <w:style w:type="paragraph" w:customStyle="1" w:styleId="88">
    <w:name w:val="批注文字1"/>
    <w:basedOn w:val="1"/>
    <w:qFormat/>
    <w:uiPriority w:val="0"/>
    <w:pPr>
      <w:suppressAutoHyphens/>
    </w:pPr>
  </w:style>
  <w:style w:type="character" w:customStyle="1" w:styleId="89">
    <w:name w:val="time"/>
    <w:basedOn w:val="28"/>
    <w:qFormat/>
    <w:uiPriority w:val="0"/>
  </w:style>
  <w:style w:type="character" w:customStyle="1" w:styleId="90">
    <w:name w:val="class"/>
    <w:basedOn w:val="28"/>
    <w:qFormat/>
    <w:uiPriority w:val="0"/>
  </w:style>
  <w:style w:type="character" w:customStyle="1" w:styleId="91">
    <w:name w:val="hits"/>
    <w:basedOn w:val="28"/>
    <w:qFormat/>
    <w:uiPriority w:val="0"/>
  </w:style>
  <w:style w:type="table" w:customStyle="1" w:styleId="92">
    <w:name w:val="Table Normal"/>
    <w:semiHidden/>
    <w:unhideWhenUsed/>
    <w:qFormat/>
    <w:uiPriority w:val="0"/>
    <w:tblPr>
      <w:tblCellMar>
        <w:top w:w="0" w:type="dxa"/>
        <w:left w:w="0" w:type="dxa"/>
        <w:bottom w:w="0" w:type="dxa"/>
        <w:right w:w="0" w:type="dxa"/>
      </w:tblCellMar>
    </w:tblPr>
  </w:style>
  <w:style w:type="paragraph" w:customStyle="1" w:styleId="93">
    <w:name w:val="修订5"/>
    <w:hidden/>
    <w:semiHidden/>
    <w:qFormat/>
    <w:uiPriority w:val="99"/>
    <w:rPr>
      <w:rFonts w:ascii="Calibri" w:hAnsi="Calibri" w:eastAsia="宋体" w:cs="Calibri"/>
      <w:sz w:val="24"/>
      <w:szCs w:val="24"/>
      <w:lang w:val="en-US" w:eastAsia="zh-CN" w:bidi="ar-SA"/>
    </w:rPr>
  </w:style>
  <w:style w:type="paragraph" w:customStyle="1" w:styleId="94">
    <w:name w:val="修订6"/>
    <w:hidden/>
    <w:semiHidden/>
    <w:qFormat/>
    <w:uiPriority w:val="99"/>
    <w:rPr>
      <w:rFonts w:ascii="Calibri" w:hAnsi="Calibri" w:eastAsia="宋体" w:cs="Calibri"/>
      <w:sz w:val="24"/>
      <w:szCs w:val="24"/>
      <w:lang w:val="en-US" w:eastAsia="zh-CN" w:bidi="ar-SA"/>
    </w:rPr>
  </w:style>
  <w:style w:type="paragraph" w:customStyle="1" w:styleId="95">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96">
    <w:name w:val="修订7"/>
    <w:hidden/>
    <w:semiHidden/>
    <w:qFormat/>
    <w:uiPriority w:val="99"/>
    <w:rPr>
      <w:rFonts w:ascii="Calibri" w:hAnsi="Calibri" w:eastAsia="宋体" w:cs="Calibri"/>
      <w:sz w:val="24"/>
      <w:szCs w:val="24"/>
      <w:lang w:val="en-US" w:eastAsia="zh-CN" w:bidi="ar-SA"/>
    </w:rPr>
  </w:style>
  <w:style w:type="paragraph" w:customStyle="1" w:styleId="97">
    <w:name w:val="修订8"/>
    <w:hidden/>
    <w:semiHidden/>
    <w:qFormat/>
    <w:uiPriority w:val="99"/>
    <w:rPr>
      <w:rFonts w:ascii="Calibri" w:hAnsi="Calibri" w:eastAsia="宋体" w:cs="Calibri"/>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618D7AF-7199-4902-A0A6-B3D8CFA21ACC}">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84</Pages>
  <Words>7282</Words>
  <Characters>41512</Characters>
  <Lines>345</Lines>
  <Paragraphs>97</Paragraphs>
  <TotalTime>0</TotalTime>
  <ScaleCrop>false</ScaleCrop>
  <LinksUpToDate>false</LinksUpToDate>
  <CharactersWithSpaces>48697</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2022-11-24T15:18:00Z</dcterms:created>
  <dc:creator>xin</dc:creator>
  <cp:lastModifiedBy>谢杰</cp:lastModifiedBy>
  <cp:lastPrinted>2018-05-21T01:07:00Z</cp:lastPrinted>
  <dcterms:modified xsi:type="dcterms:W3CDTF">2022-11-29T19:24:11Z</dcterms:modified>
  <dc:title>招 标 文 件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8C553F41955B46D98746262F9C59CBF1</vt:lpwstr>
  </property>
</Properties>
</file>