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016640" w14:textId="77777777" w:rsidR="00271A7A" w:rsidRDefault="00953C74">
      <w:pPr>
        <w:pStyle w:val="2"/>
      </w:pPr>
      <w:r>
        <w:rPr>
          <w:rFonts w:hint="eastAsia"/>
        </w:rPr>
        <w:t>清华大学</w:t>
      </w:r>
    </w:p>
    <w:p w14:paraId="329DF2EA" w14:textId="77777777" w:rsidR="00271A7A" w:rsidRDefault="00953C74">
      <w:pPr>
        <w:pStyle w:val="2"/>
      </w:pPr>
      <w:r>
        <w:rPr>
          <w:rFonts w:hint="eastAsia"/>
        </w:rPr>
        <w:t>生命平台实验台</w:t>
      </w:r>
      <w:r>
        <w:t>主要技术指标</w:t>
      </w:r>
      <w:r>
        <w:rPr>
          <w:rFonts w:hint="eastAsia"/>
        </w:rPr>
        <w:t>及</w:t>
      </w:r>
      <w:r>
        <w:t>性能</w:t>
      </w:r>
      <w:r>
        <w:rPr>
          <w:rFonts w:hint="eastAsia"/>
        </w:rPr>
        <w:t>要求</w:t>
      </w:r>
    </w:p>
    <w:p w14:paraId="64BEC45B" w14:textId="77777777" w:rsidR="00271A7A" w:rsidRDefault="00271A7A">
      <w:pPr>
        <w:pStyle w:val="a0"/>
      </w:pPr>
    </w:p>
    <w:p w14:paraId="77248C52" w14:textId="0052AC11" w:rsidR="00271A7A" w:rsidRPr="00056F5B" w:rsidRDefault="00953C74" w:rsidP="00773DA5">
      <w:pPr>
        <w:spacing w:line="360" w:lineRule="auto"/>
        <w:ind w:firstLineChars="200" w:firstLine="480"/>
        <w:jc w:val="both"/>
        <w:rPr>
          <w:rFonts w:ascii="华文宋体" w:hAnsi="华文宋体"/>
          <w:b/>
          <w:position w:val="-20"/>
          <w:sz w:val="24"/>
          <w:szCs w:val="24"/>
        </w:rPr>
      </w:pPr>
      <w:r>
        <w:rPr>
          <w:rFonts w:ascii="华文宋体" w:hAnsi="华文宋体" w:hint="eastAsia"/>
          <w:position w:val="-20"/>
          <w:sz w:val="24"/>
          <w:szCs w:val="24"/>
        </w:rPr>
        <w:t>1、实验室配套辅助操作实验台设备总体技术要求：</w:t>
      </w:r>
      <w:r w:rsidRPr="00056F5B">
        <w:rPr>
          <w:rFonts w:ascii="华文宋体" w:hAnsi="华文宋体" w:hint="eastAsia"/>
          <w:position w:val="-20"/>
          <w:sz w:val="24"/>
          <w:szCs w:val="24"/>
        </w:rPr>
        <w:t>柜体荷重性能检测≥</w:t>
      </w:r>
      <w:r w:rsidRPr="00056F5B">
        <w:rPr>
          <w:rFonts w:ascii="华文宋体" w:hAnsi="华文宋体"/>
          <w:position w:val="-20"/>
          <w:sz w:val="24"/>
          <w:szCs w:val="24"/>
        </w:rPr>
        <w:t>90</w:t>
      </w:r>
      <w:r w:rsidRPr="00056F5B">
        <w:rPr>
          <w:rFonts w:ascii="华文宋体" w:hAnsi="华文宋体" w:hint="eastAsia"/>
          <w:position w:val="-20"/>
          <w:sz w:val="24"/>
          <w:szCs w:val="24"/>
        </w:rPr>
        <w:t>0公斤</w:t>
      </w:r>
      <w:r w:rsidRPr="00056F5B">
        <w:rPr>
          <w:rFonts w:ascii="华文宋体" w:hAnsi="华文宋体"/>
          <w:position w:val="-20"/>
          <w:sz w:val="24"/>
          <w:szCs w:val="24"/>
        </w:rPr>
        <w:t>，</w:t>
      </w:r>
      <w:r w:rsidRPr="00056F5B">
        <w:rPr>
          <w:rFonts w:ascii="华文宋体" w:hAnsi="华文宋体" w:hint="eastAsia"/>
          <w:position w:val="-20"/>
          <w:sz w:val="24"/>
          <w:szCs w:val="24"/>
        </w:rPr>
        <w:t>门铰链/合页开启负载检测≥</w:t>
      </w:r>
      <w:r w:rsidRPr="00056F5B">
        <w:rPr>
          <w:rFonts w:ascii="华文宋体" w:hAnsi="华文宋体"/>
          <w:position w:val="-20"/>
          <w:sz w:val="24"/>
          <w:szCs w:val="24"/>
        </w:rPr>
        <w:t>90</w:t>
      </w:r>
      <w:r w:rsidRPr="00056F5B">
        <w:rPr>
          <w:rFonts w:ascii="华文宋体" w:hAnsi="华文宋体" w:hint="eastAsia"/>
          <w:position w:val="-20"/>
          <w:sz w:val="24"/>
          <w:szCs w:val="24"/>
        </w:rPr>
        <w:t>公斤，抽屉静载检测≥</w:t>
      </w:r>
      <w:r w:rsidRPr="00056F5B">
        <w:rPr>
          <w:rFonts w:ascii="华文宋体" w:hAnsi="华文宋体"/>
          <w:position w:val="-20"/>
          <w:sz w:val="24"/>
          <w:szCs w:val="24"/>
        </w:rPr>
        <w:t>6</w:t>
      </w:r>
      <w:r w:rsidRPr="00056F5B">
        <w:rPr>
          <w:rFonts w:ascii="华文宋体" w:hAnsi="华文宋体" w:hint="eastAsia"/>
          <w:position w:val="-20"/>
          <w:sz w:val="24"/>
          <w:szCs w:val="24"/>
        </w:rPr>
        <w:t>5公斤</w:t>
      </w:r>
      <w:r w:rsidRPr="00056F5B">
        <w:rPr>
          <w:rFonts w:ascii="华文宋体" w:hAnsi="华文宋体"/>
          <w:position w:val="-20"/>
          <w:sz w:val="24"/>
          <w:szCs w:val="24"/>
        </w:rPr>
        <w:t>，</w:t>
      </w:r>
      <w:r w:rsidRPr="00056F5B">
        <w:rPr>
          <w:rFonts w:ascii="华文宋体" w:hAnsi="华文宋体" w:hint="eastAsia"/>
          <w:position w:val="-20"/>
          <w:sz w:val="24"/>
          <w:szCs w:val="24"/>
        </w:rPr>
        <w:t>测试报告结论为符合；柜体表面处理的化学试剂测试：98%乙酸、37%盐酸，70%硝酸、77%硫酸等49种检测化学试剂检测，测试报告结论为符合。产品符合SEFA8M-2020，其中柜体扭曲测试时间为持续24小时实验检测项高于国标要求。</w:t>
      </w:r>
      <w:r w:rsidRPr="00056F5B">
        <w:rPr>
          <w:rFonts w:ascii="华文宋体" w:hAnsi="华文宋体" w:hint="eastAsia"/>
          <w:b/>
          <w:position w:val="-20"/>
          <w:sz w:val="24"/>
          <w:szCs w:val="24"/>
        </w:rPr>
        <w:t>厂家需提供SEFA8M-2020检测报告。</w:t>
      </w:r>
    </w:p>
    <w:p w14:paraId="74E3307A" w14:textId="77777777" w:rsidR="00271A7A" w:rsidRDefault="00953C74" w:rsidP="00773DA5">
      <w:pPr>
        <w:spacing w:line="360" w:lineRule="auto"/>
        <w:ind w:firstLineChars="200" w:firstLine="480"/>
        <w:jc w:val="both"/>
        <w:rPr>
          <w:rFonts w:ascii="华文宋体" w:hAnsi="华文宋体"/>
          <w:sz w:val="24"/>
          <w:szCs w:val="24"/>
        </w:rPr>
      </w:pPr>
      <w:r>
        <w:rPr>
          <w:rFonts w:ascii="华文宋体" w:hAnsi="华文宋体" w:hint="eastAsia"/>
          <w:position w:val="-20"/>
          <w:sz w:val="24"/>
          <w:szCs w:val="24"/>
        </w:rPr>
        <w:t>2、在承受实验室配套辅助操作实验台设备图纸及清单要求最大负荷下各工作部件不会损坏或对正常使用产生影响。</w:t>
      </w:r>
    </w:p>
    <w:p w14:paraId="16692933"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3、实验室配套辅助操作实验台设备结构要求：采用落地式柜体结构及H型钢架，跑柜。</w:t>
      </w:r>
    </w:p>
    <w:p w14:paraId="3BF4B646"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 实验台面：优质实验台面，威</w:t>
      </w:r>
      <w:proofErr w:type="gramStart"/>
      <w:r>
        <w:rPr>
          <w:rFonts w:ascii="华文宋体" w:hAnsi="华文宋体" w:hint="eastAsia"/>
          <w:position w:val="-20"/>
          <w:sz w:val="24"/>
          <w:szCs w:val="24"/>
        </w:rPr>
        <w:t>盛亚品牌</w:t>
      </w:r>
      <w:proofErr w:type="gramEnd"/>
      <w:r>
        <w:rPr>
          <w:rFonts w:ascii="华文宋体" w:hAnsi="华文宋体" w:hint="eastAsia"/>
          <w:position w:val="-20"/>
          <w:sz w:val="24"/>
          <w:szCs w:val="24"/>
        </w:rPr>
        <w:t>实芯理化板台面，厚度12.7mm，防腐、防潮、承重能力强，美观，台面板不弯曲不变形、表面耐化学腐蚀、耐</w:t>
      </w:r>
      <w:proofErr w:type="gramStart"/>
      <w:r>
        <w:rPr>
          <w:rFonts w:ascii="华文宋体" w:hAnsi="华文宋体" w:hint="eastAsia"/>
          <w:position w:val="-20"/>
          <w:sz w:val="24"/>
          <w:szCs w:val="24"/>
        </w:rPr>
        <w:t>刻</w:t>
      </w:r>
      <w:proofErr w:type="gramEnd"/>
      <w:r>
        <w:rPr>
          <w:rFonts w:ascii="华文宋体" w:hAnsi="华文宋体" w:hint="eastAsia"/>
          <w:position w:val="-20"/>
          <w:sz w:val="24"/>
          <w:szCs w:val="24"/>
        </w:rPr>
        <w:t>划、低化合物、低甲醛，台面</w:t>
      </w:r>
      <w:proofErr w:type="gramStart"/>
      <w:r>
        <w:rPr>
          <w:rFonts w:ascii="华文宋体" w:hAnsi="华文宋体" w:hint="eastAsia"/>
          <w:position w:val="-20"/>
          <w:sz w:val="24"/>
          <w:szCs w:val="24"/>
        </w:rPr>
        <w:t>板各</w:t>
      </w:r>
      <w:proofErr w:type="gramEnd"/>
      <w:r>
        <w:rPr>
          <w:rFonts w:ascii="华文宋体" w:hAnsi="华文宋体" w:hint="eastAsia"/>
          <w:position w:val="-20"/>
          <w:sz w:val="24"/>
          <w:szCs w:val="24"/>
        </w:rPr>
        <w:t>项性能满足或优于以下技术要求：</w:t>
      </w:r>
    </w:p>
    <w:p w14:paraId="1A1C7752"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3.1.1 化学性能:耐化学腐蚀性能需提供国家级测试机构抽样检验报告，检测方法参照GB/T 17657-2022标准测试，包括氢氟酸40%、硫酸98%、盐酸37%、硝酸65%、氢氧化钠40%、氯化铁10%、凡士林、王水等75种常见化学试剂，检验结果均为“无明显变化”，分级结果为“5级”。</w:t>
      </w:r>
    </w:p>
    <w:p w14:paraId="2D312837"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3.1.2 物理安全性能：物理性能通过GB/T 17657-2022标准测试，静曲强度≥144.2Mpa，弹性模量≥13583Mpa，24h吸水率 ≤0.1%，浸渍剥离性能，检测</w:t>
      </w:r>
      <w:r>
        <w:rPr>
          <w:rFonts w:ascii="华文宋体" w:hAnsi="华文宋体" w:hint="eastAsia"/>
          <w:position w:val="-20"/>
          <w:sz w:val="24"/>
          <w:szCs w:val="24"/>
        </w:rPr>
        <w:lastRenderedPageBreak/>
        <w:t>结果无剥离，无分层；</w:t>
      </w:r>
    </w:p>
    <w:p w14:paraId="3241B235"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3.1.3 燃烧性能符合GB8624-2012标准中B1（C-s1,d0,t1）级，烟气毒性等级为ZA3级。</w:t>
      </w:r>
    </w:p>
    <w:p w14:paraId="197A938A"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 xml:space="preserve">3.1.4 </w:t>
      </w:r>
      <w:proofErr w:type="gramStart"/>
      <w:r>
        <w:rPr>
          <w:rFonts w:ascii="华文宋体" w:hAnsi="华文宋体" w:hint="eastAsia"/>
          <w:position w:val="-20"/>
          <w:sz w:val="24"/>
          <w:szCs w:val="24"/>
        </w:rPr>
        <w:t>耐黄变色</w:t>
      </w:r>
      <w:proofErr w:type="gramEnd"/>
      <w:r>
        <w:rPr>
          <w:rFonts w:ascii="华文宋体" w:hAnsi="华文宋体" w:hint="eastAsia"/>
          <w:position w:val="-20"/>
          <w:sz w:val="24"/>
          <w:szCs w:val="24"/>
        </w:rPr>
        <w:t>牢度：通过GB/T17657-2022标准测试，检测结果为灰色样卡5级。</w:t>
      </w:r>
    </w:p>
    <w:p w14:paraId="356016D4"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3.1.5 承重性能：台面材料通过GB 24820-2009《实验室家具通用技术条件》检验判定，操作台水平静载荷，操作台主桌面垂直静载荷以及操作台持续垂直静载荷满足GB/T 10357相关要求，检测结果均为合格。</w:t>
      </w:r>
    </w:p>
    <w:p w14:paraId="481EB72F"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 xml:space="preserve">3.1.6 绿色环保性能：台面材料具有碳足迹证书；通过GB/T 39600-2021检测，甲醛释放量≦0.013mg/m³； </w:t>
      </w:r>
    </w:p>
    <w:p w14:paraId="23D94063"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3.1.7 放射性核素限量：通过 GB 6566-2010 《建筑材料放射性核素限量》中规定的A类装饰装修材料技术指标检测，其中内照射指数结果及外照射指数均＜0.1。</w:t>
      </w:r>
    </w:p>
    <w:p w14:paraId="74A01803"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3.1.8 抗菌性能：通过JIS Z 2801:2010检测标准检测，大肠杆菌、金黄色葡萄球菌、肺炎克雷伯氏菌、表皮葡萄球菌</w:t>
      </w:r>
      <w:proofErr w:type="gramStart"/>
      <w:r>
        <w:rPr>
          <w:rFonts w:ascii="华文宋体" w:hAnsi="华文宋体" w:hint="eastAsia"/>
          <w:position w:val="-20"/>
          <w:sz w:val="24"/>
          <w:szCs w:val="24"/>
        </w:rPr>
        <w:t>抗菌率</w:t>
      </w:r>
      <w:proofErr w:type="gramEnd"/>
      <w:r>
        <w:rPr>
          <w:rFonts w:ascii="华文宋体" w:hAnsi="华文宋体" w:hint="eastAsia"/>
          <w:position w:val="-20"/>
          <w:sz w:val="24"/>
          <w:szCs w:val="24"/>
        </w:rPr>
        <w:t>≥99.9，宋氏志贺氏</w:t>
      </w:r>
      <w:proofErr w:type="gramStart"/>
      <w:r>
        <w:rPr>
          <w:rFonts w:ascii="华文宋体" w:hAnsi="华文宋体" w:hint="eastAsia"/>
          <w:position w:val="-20"/>
          <w:sz w:val="24"/>
          <w:szCs w:val="24"/>
        </w:rPr>
        <w:t>菌抗菌</w:t>
      </w:r>
      <w:proofErr w:type="gramEnd"/>
      <w:r>
        <w:rPr>
          <w:rFonts w:ascii="华文宋体" w:hAnsi="华文宋体" w:hint="eastAsia"/>
          <w:position w:val="-20"/>
          <w:sz w:val="24"/>
          <w:szCs w:val="24"/>
        </w:rPr>
        <w:t>率≥99.7。</w:t>
      </w:r>
    </w:p>
    <w:p w14:paraId="28C9425D"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3.1.9 防伪性能：台面材料背面需带有清晰可见的荧光防伪标识且不可刮涂和磨灭，以便鉴别真伪、验收；</w:t>
      </w:r>
    </w:p>
    <w:p w14:paraId="2E6BDF0C"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3.1.10 为了保证台面板的质量，台面材料生产厂家具有中国质量检验协会颁发的“中国质量检验协会团体会员单位”证书，通过FSC国际森林管理监管链认证、SEFA认证、PEFC认证。</w:t>
      </w:r>
      <w:r w:rsidRPr="00B00F50">
        <w:rPr>
          <w:rFonts w:ascii="华文宋体" w:hAnsi="华文宋体" w:hint="eastAsia"/>
          <w:b/>
          <w:position w:val="-20"/>
          <w:sz w:val="24"/>
          <w:szCs w:val="24"/>
        </w:rPr>
        <w:t>提供台面板厂家出具的满足以上技术参数的检测报告和针对此项目的授权书，以及售后服务承诺书（质保十年）（加盖公章）。</w:t>
      </w:r>
    </w:p>
    <w:p w14:paraId="69D694EA"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lastRenderedPageBreak/>
        <w:t>3.2 实验台面加工要求：台面边缘加厚并作圆弧收边处理，台面前下方开有</w:t>
      </w:r>
      <w:proofErr w:type="gramStart"/>
      <w:r>
        <w:rPr>
          <w:rFonts w:ascii="华文宋体" w:hAnsi="华文宋体" w:hint="eastAsia"/>
          <w:position w:val="-20"/>
          <w:sz w:val="24"/>
          <w:szCs w:val="24"/>
        </w:rPr>
        <w:t>止</w:t>
      </w:r>
      <w:proofErr w:type="gramEnd"/>
      <w:r>
        <w:rPr>
          <w:rFonts w:ascii="华文宋体" w:hAnsi="华文宋体" w:hint="eastAsia"/>
          <w:position w:val="-20"/>
          <w:sz w:val="24"/>
          <w:szCs w:val="24"/>
        </w:rPr>
        <w:t>水槽。台面连接处采用防止液体渗漏结构。</w:t>
      </w:r>
    </w:p>
    <w:p w14:paraId="015D5135"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3.3 柜体：钢落地式结构钢落地式结构及带承重</w:t>
      </w:r>
      <w:proofErr w:type="gramStart"/>
      <w:r>
        <w:rPr>
          <w:rFonts w:ascii="华文宋体" w:hAnsi="华文宋体" w:hint="eastAsia"/>
          <w:position w:val="-20"/>
          <w:sz w:val="24"/>
          <w:szCs w:val="24"/>
        </w:rPr>
        <w:t>轮跑柜</w:t>
      </w:r>
      <w:proofErr w:type="gramEnd"/>
      <w:r>
        <w:rPr>
          <w:rFonts w:ascii="华文宋体" w:hAnsi="华文宋体" w:hint="eastAsia"/>
          <w:position w:val="-20"/>
          <w:sz w:val="24"/>
          <w:szCs w:val="24"/>
        </w:rPr>
        <w:t>结构，柜体为独立的、可拆装结构。</w:t>
      </w:r>
    </w:p>
    <w:p w14:paraId="0E339D68"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3.3.1 各个柜体可以单独或组合使用。所有底柜正面应为平装嵌入式结构设计（内嵌式），如各端面板(如门板、抽屉)，上/侧/底部柜体边框以及垂直支柱在同一水平面不可有突出，所有</w:t>
      </w:r>
      <w:proofErr w:type="gramStart"/>
      <w:r>
        <w:rPr>
          <w:rFonts w:ascii="华文宋体" w:hAnsi="华文宋体" w:hint="eastAsia"/>
          <w:position w:val="-20"/>
          <w:sz w:val="24"/>
          <w:szCs w:val="24"/>
        </w:rPr>
        <w:t>钣</w:t>
      </w:r>
      <w:proofErr w:type="gramEnd"/>
      <w:r>
        <w:rPr>
          <w:rFonts w:ascii="华文宋体" w:hAnsi="华文宋体" w:hint="eastAsia"/>
          <w:position w:val="-20"/>
          <w:sz w:val="24"/>
          <w:szCs w:val="24"/>
        </w:rPr>
        <w:t>金的表面接缝</w:t>
      </w:r>
      <w:proofErr w:type="gramStart"/>
      <w:r>
        <w:rPr>
          <w:rFonts w:ascii="华文宋体" w:hAnsi="华文宋体" w:hint="eastAsia"/>
          <w:position w:val="-20"/>
          <w:sz w:val="24"/>
          <w:szCs w:val="24"/>
        </w:rPr>
        <w:t>均满</w:t>
      </w:r>
      <w:proofErr w:type="gramEnd"/>
      <w:r>
        <w:rPr>
          <w:rFonts w:ascii="华文宋体" w:hAnsi="华文宋体" w:hint="eastAsia"/>
          <w:position w:val="-20"/>
          <w:sz w:val="24"/>
          <w:szCs w:val="24"/>
        </w:rPr>
        <w:t>焊，焊接处均应打磨平整以保持为连续的平滑表面。</w:t>
      </w:r>
    </w:p>
    <w:p w14:paraId="5469238D"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3.3.2所有双开门型底柜两片门间无中央垂直支柱阻挡。底柜内的两侧的前部和后部有层板支柱，支柱上有隔板调节孔，层板宽度与底柜内宽度相当，不与两侧有各超过1mm的间隙；采用双抽双门底柜，双门底柜及单门底柜等，柜内可以存放小型仪器、设备等，而小型耗品、工具、杂件可以放置在抽屉中。抽屉可互换安装。</w:t>
      </w:r>
    </w:p>
    <w:p w14:paraId="13791D67"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3.3.3 采用优质冷轧钢钢板，防化、防潮、耐高温以及耐磨，柜体侧面和背面为一整块钢板折弯而成，增加柜体承重能力，550mm深度增加存储容量。钢制柜体加工材料为鞍山钢铁的优质冷轧钢板。表面均经静电及磷化处理，环氧树脂喷涂，喷涂厚度≥75μm，环氧树脂为阿克苏诺贝尔&lt;Akzo Nobel&gt;公司产品。</w:t>
      </w:r>
    </w:p>
    <w:p w14:paraId="46B9B38E"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3.3.4柜体采用鞍钢冷轧钢板(</w:t>
      </w:r>
      <w:proofErr w:type="gramStart"/>
      <w:r>
        <w:rPr>
          <w:rFonts w:ascii="华文宋体" w:hAnsi="华文宋体" w:hint="eastAsia"/>
          <w:position w:val="-20"/>
          <w:sz w:val="24"/>
          <w:szCs w:val="24"/>
        </w:rPr>
        <w:t>盒板</w:t>
      </w:r>
      <w:proofErr w:type="gramEnd"/>
      <w:r>
        <w:rPr>
          <w:rFonts w:ascii="华文宋体" w:hAnsi="华文宋体" w:hint="eastAsia"/>
          <w:position w:val="-20"/>
          <w:sz w:val="24"/>
          <w:szCs w:val="24"/>
        </w:rPr>
        <w:t>)、钢材基本厚度达到或优于以下标准：</w:t>
      </w:r>
    </w:p>
    <w:p w14:paraId="54095BC4"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内门板、活动式背板为1.0 mm厚；</w:t>
      </w:r>
    </w:p>
    <w:p w14:paraId="176AE468"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外门板、侧板、底板、层板支柱、层板、抽屉为1.0 mm厚；试剂架立柱为2.0 mm厚；</w:t>
      </w:r>
    </w:p>
    <w:p w14:paraId="07E5AEFA"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上补强梁，中横梁，抽屉导轨，水槽支撑架2.0mm；</w:t>
      </w:r>
    </w:p>
    <w:p w14:paraId="73009717"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lastRenderedPageBreak/>
        <w:t>调整脚支撑板为3.0mm厚。</w:t>
      </w:r>
    </w:p>
    <w:p w14:paraId="2819A8AE"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3.4 柜门/抽屉面板：材料同柜体，双层设计，中间填充有防火隔音材料，柜门内侧装有防撞贴。柜门经过循环试验，循环开关≥100,000圈。</w:t>
      </w:r>
    </w:p>
    <w:p w14:paraId="79CAF1B5"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3.5 门铰/平板合页：开启角度大于180度， 316不锈钢，5节式。每个合页用6个不锈钢螺丝与门板及底柜相固定；可拆卸，非焊接结构。</w:t>
      </w:r>
    </w:p>
    <w:p w14:paraId="34F4B35F"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3.6 抽屉和拉门把手：316亚光拉丝长条128mm拉手或一体扣手（根据用户要求制作做），美观，耐用，不伤手，并带有钢制标签盒，标签盒为钢制，与柜体一同制作，经环氧树脂粉末静电喷涂。</w:t>
      </w:r>
    </w:p>
    <w:p w14:paraId="046C14C7"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3.7 门吸：可调整高度式，尼龙嵌入式门吸，模具一体成型，ABS工程塑料材质，内置304不锈钢材质伸缩滚轮止动。</w:t>
      </w:r>
    </w:p>
    <w:p w14:paraId="4BDA7A2B"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3.8 层板：材料同柜体，所有带柜门的实验柜具内置活动层板，每20mm可自由上下调节高度，层板由4个不锈钢制层板扣支撑，厚1.2mm及以上的编号316不锈钢板制作，承重为90.72Kg以上。层板两侧及前后端应向下折边后再反折，与柜体同色。</w:t>
      </w:r>
    </w:p>
    <w:p w14:paraId="54AD6379"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3.9 抽屉：抽屉底部和</w:t>
      </w:r>
      <w:proofErr w:type="gramStart"/>
      <w:r>
        <w:rPr>
          <w:rFonts w:ascii="华文宋体" w:hAnsi="华文宋体" w:hint="eastAsia"/>
          <w:position w:val="-20"/>
          <w:sz w:val="24"/>
          <w:szCs w:val="24"/>
        </w:rPr>
        <w:t>四面抽墙为</w:t>
      </w:r>
      <w:proofErr w:type="gramEnd"/>
      <w:r>
        <w:rPr>
          <w:rFonts w:ascii="华文宋体" w:hAnsi="华文宋体" w:hint="eastAsia"/>
          <w:position w:val="-20"/>
          <w:sz w:val="24"/>
          <w:szCs w:val="24"/>
        </w:rPr>
        <w:t>单片钢板一体成形设计；弯折接合</w:t>
      </w:r>
      <w:proofErr w:type="gramStart"/>
      <w:r>
        <w:rPr>
          <w:rFonts w:ascii="华文宋体" w:hAnsi="华文宋体" w:hint="eastAsia"/>
          <w:position w:val="-20"/>
          <w:sz w:val="24"/>
          <w:szCs w:val="24"/>
        </w:rPr>
        <w:t>处满焊</w:t>
      </w:r>
      <w:proofErr w:type="gramEnd"/>
      <w:r>
        <w:rPr>
          <w:rFonts w:ascii="华文宋体" w:hAnsi="华文宋体" w:hint="eastAsia"/>
          <w:position w:val="-20"/>
          <w:sz w:val="24"/>
          <w:szCs w:val="24"/>
        </w:rPr>
        <w:t>。环氧树脂喷涂，环氧树脂为阿克苏诺贝尔&lt;Akzo Nobel&gt;公司产品，喷涂厚度≥75μm。夹层内具消音材料钢制承重滑轨，海福乐品牌。防酸碱、耐腐蚀、可拆卸、</w:t>
      </w:r>
      <w:proofErr w:type="gramStart"/>
      <w:r>
        <w:rPr>
          <w:rFonts w:ascii="华文宋体" w:hAnsi="华文宋体" w:hint="eastAsia"/>
          <w:position w:val="-20"/>
          <w:sz w:val="24"/>
          <w:szCs w:val="24"/>
        </w:rPr>
        <w:t>低燥音</w:t>
      </w:r>
      <w:proofErr w:type="gramEnd"/>
      <w:r>
        <w:rPr>
          <w:rFonts w:ascii="华文宋体" w:hAnsi="华文宋体" w:hint="eastAsia"/>
          <w:position w:val="-20"/>
          <w:sz w:val="24"/>
          <w:szCs w:val="24"/>
        </w:rPr>
        <w:t>、抽屉内均匀放置≥45kg的沙包将抽屉从关闭拉到完全打开位置，循环操作≥50000次，带阻尼，带静音装置。抽屉内表面均设有防撞垫片。不使用另外的工具即可将整个抽屉拆卸取下。</w:t>
      </w:r>
    </w:p>
    <w:p w14:paraId="4909B3BB"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3.10 底柜背板：底柜后方背板可不用任何工具，配PVC扣手，单手拆卸，更简便的检修管路系统，便于公用设施的安装、维护。</w:t>
      </w:r>
    </w:p>
    <w:p w14:paraId="4DDD96D1" w14:textId="68055335"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lastRenderedPageBreak/>
        <w:t>3.11 踢脚板除正面凹入部分外，两侧需与柜体钢板一体成型，不以小料拼接烧焊制作，以确保整体承重能力</w:t>
      </w:r>
      <w:r w:rsidR="00773DA5">
        <w:rPr>
          <w:rFonts w:ascii="华文宋体" w:hAnsi="华文宋体" w:hint="eastAsia"/>
          <w:position w:val="-20"/>
          <w:sz w:val="24"/>
          <w:szCs w:val="24"/>
        </w:rPr>
        <w:t>。</w:t>
      </w:r>
      <w:bookmarkStart w:id="0" w:name="_GoBack"/>
      <w:bookmarkEnd w:id="0"/>
    </w:p>
    <w:p w14:paraId="3CD9D395"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3.12 可调脚：采用抗老化橡胶材质制成。可调脚支撑杆采用不锈钢材质，可根据室内地坪适当调整柜体高度0-30mm；具有防震效果。</w:t>
      </w:r>
    </w:p>
    <w:p w14:paraId="24C97FF2"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3.13 电源：电源盒及电源</w:t>
      </w:r>
      <w:proofErr w:type="gramStart"/>
      <w:r>
        <w:rPr>
          <w:rFonts w:ascii="华文宋体" w:hAnsi="华文宋体" w:hint="eastAsia"/>
          <w:position w:val="-20"/>
          <w:sz w:val="24"/>
          <w:szCs w:val="24"/>
        </w:rPr>
        <w:t>槽采用</w:t>
      </w:r>
      <w:proofErr w:type="gramEnd"/>
      <w:r>
        <w:rPr>
          <w:rFonts w:ascii="华文宋体" w:hAnsi="华文宋体" w:hint="eastAsia"/>
          <w:position w:val="-20"/>
          <w:sz w:val="24"/>
          <w:szCs w:val="24"/>
        </w:rPr>
        <w:t>1.0 mm厚环氧树脂喷涂冷轧钢钢板材质，安装开关、插座，预留弱电面板位置。插座及开关采用3C认证插座，采用施耐</w:t>
      </w:r>
      <w:proofErr w:type="gramStart"/>
      <w:r>
        <w:rPr>
          <w:rFonts w:ascii="华文宋体" w:hAnsi="华文宋体" w:hint="eastAsia"/>
          <w:position w:val="-20"/>
          <w:sz w:val="24"/>
          <w:szCs w:val="24"/>
        </w:rPr>
        <w:t>德品牌</w:t>
      </w:r>
      <w:proofErr w:type="gramEnd"/>
      <w:r>
        <w:rPr>
          <w:rFonts w:ascii="华文宋体" w:hAnsi="华文宋体" w:hint="eastAsia"/>
          <w:position w:val="-20"/>
          <w:sz w:val="24"/>
          <w:szCs w:val="24"/>
        </w:rPr>
        <w:t>产品。</w:t>
      </w:r>
    </w:p>
    <w:p w14:paraId="55057BBC"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3.14 三口龙头：采用广州博朗品牌（BRLON）主体材质为加厚H65铜管，符合YS/T910-2013标准，铜含量≥65.7%。直管管径≥26mm，整体高度≥585mm，重量≥1740g,臂管管径≥22mm，鹅颈管径≥19mm，可360°旋转，鹅颈出水</w:t>
      </w:r>
      <w:proofErr w:type="gramStart"/>
      <w:r>
        <w:rPr>
          <w:rFonts w:ascii="华文宋体" w:hAnsi="华文宋体" w:hint="eastAsia"/>
          <w:position w:val="-20"/>
          <w:sz w:val="24"/>
          <w:szCs w:val="24"/>
        </w:rPr>
        <w:t>嘴距离</w:t>
      </w:r>
      <w:proofErr w:type="gramEnd"/>
      <w:r>
        <w:rPr>
          <w:rFonts w:ascii="华文宋体" w:hAnsi="华文宋体" w:hint="eastAsia"/>
          <w:position w:val="-20"/>
          <w:sz w:val="24"/>
          <w:szCs w:val="24"/>
        </w:rPr>
        <w:t>台面≥450mm，距离鹅颈主管≥160mm，双柄间距≥245mm，双柄出水</w:t>
      </w:r>
      <w:proofErr w:type="gramStart"/>
      <w:r>
        <w:rPr>
          <w:rFonts w:ascii="华文宋体" w:hAnsi="华文宋体" w:hint="eastAsia"/>
          <w:position w:val="-20"/>
          <w:sz w:val="24"/>
          <w:szCs w:val="24"/>
        </w:rPr>
        <w:t>嘴距</w:t>
      </w:r>
      <w:proofErr w:type="gramEnd"/>
      <w:r>
        <w:rPr>
          <w:rFonts w:ascii="华文宋体" w:hAnsi="华文宋体" w:hint="eastAsia"/>
          <w:position w:val="-20"/>
          <w:sz w:val="24"/>
          <w:szCs w:val="24"/>
        </w:rPr>
        <w:t>离台面≥113mm，进水接管长度≥60mm，壁厚≥2.5mm，固定底座直径≥55mm，</w:t>
      </w:r>
      <w:proofErr w:type="gramStart"/>
      <w:r>
        <w:rPr>
          <w:rFonts w:ascii="华文宋体" w:hAnsi="华文宋体" w:hint="eastAsia"/>
          <w:position w:val="-20"/>
          <w:sz w:val="24"/>
          <w:szCs w:val="24"/>
        </w:rPr>
        <w:t>底座锁母</w:t>
      </w:r>
      <w:proofErr w:type="gramEnd"/>
      <w:r>
        <w:rPr>
          <w:rFonts w:ascii="华文宋体" w:hAnsi="华文宋体" w:hint="eastAsia"/>
          <w:position w:val="-20"/>
          <w:sz w:val="24"/>
          <w:szCs w:val="24"/>
        </w:rPr>
        <w:t>与台面中间添加齿形</w:t>
      </w:r>
      <w:proofErr w:type="gramStart"/>
      <w:r>
        <w:rPr>
          <w:rFonts w:ascii="华文宋体" w:hAnsi="华文宋体" w:hint="eastAsia"/>
          <w:position w:val="-20"/>
          <w:sz w:val="24"/>
          <w:szCs w:val="24"/>
        </w:rPr>
        <w:t>止退</w:t>
      </w:r>
      <w:proofErr w:type="gramEnd"/>
      <w:r>
        <w:rPr>
          <w:rFonts w:ascii="华文宋体" w:hAnsi="华文宋体" w:hint="eastAsia"/>
          <w:position w:val="-20"/>
          <w:sz w:val="24"/>
          <w:szCs w:val="24"/>
        </w:rPr>
        <w:t>垫，使连接后不易松动稳定性强，与台面安装牢固。实验室水龙头把手内置开关颜色装置，绿色为安全关闭状态，红色为开启使用状态，在停水的情况下快速了解水龙头的启闭情况，避免因实验室停水产生漏水的隐患。</w:t>
      </w:r>
    </w:p>
    <w:p w14:paraId="569C866B"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3.14.1 实验室水龙头经：外观、螺纹、装配、机械性能、密封性能、流量、抗安装负载、涂镀层附着强度，表面耐腐蚀性能，水嘴开关寿命等测试。</w:t>
      </w:r>
    </w:p>
    <w:p w14:paraId="1D255533"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3.14.2 过滤装置：为延长水龙头使用寿命和保证实验用水，在水龙头进水口装配有塑料过滤网，阻止水中杂质进入水龙头，降低陶瓷阀芯磨损的几率。</w:t>
      </w:r>
    </w:p>
    <w:p w14:paraId="3414814F"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3.14.3 陶瓷阀芯: 使用寿命开关≥ 68 万次，开关采用陶瓷阀芯可 90 度旋转、耐磨、耐腐蚀,静态最大耐压 2.5±0.05MPa,鹅颈出水管可 360 度旋转，旋钮</w:t>
      </w:r>
      <w:r>
        <w:rPr>
          <w:rFonts w:ascii="华文宋体" w:hAnsi="华文宋体" w:hint="eastAsia"/>
          <w:position w:val="-20"/>
          <w:sz w:val="24"/>
          <w:szCs w:val="24"/>
        </w:rPr>
        <w:lastRenderedPageBreak/>
        <w:t>把手为高密度PP材质，根据现场情况搭配相应配件及软管。符合 GB 18145-2014《陶瓷片密封水嘴》中的要求。</w:t>
      </w:r>
    </w:p>
    <w:p w14:paraId="01638F04"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3.14.4 依据GB/T 24128-2018方法检测防霉性能:</w:t>
      </w:r>
      <w:r>
        <w:rPr>
          <w:rFonts w:ascii="华文宋体" w:hAnsi="华文宋体"/>
          <w:position w:val="-20"/>
          <w:sz w:val="24"/>
          <w:szCs w:val="24"/>
        </w:rPr>
        <w:t>要求≥10种霉菌的检测，检测结果为0级；（霉菌种类包括黑曲霉、土曲霉、宛氏拟青霉、绳状青霉、出芽短梗霉、球</w:t>
      </w:r>
      <w:proofErr w:type="gramStart"/>
      <w:r>
        <w:rPr>
          <w:rFonts w:ascii="华文宋体" w:hAnsi="华文宋体"/>
          <w:position w:val="-20"/>
          <w:sz w:val="24"/>
          <w:szCs w:val="24"/>
        </w:rPr>
        <w:t>毛壳霉</w:t>
      </w:r>
      <w:proofErr w:type="gramEnd"/>
      <w:r>
        <w:rPr>
          <w:rFonts w:ascii="华文宋体" w:hAnsi="华文宋体"/>
          <w:position w:val="-20"/>
          <w:sz w:val="24"/>
          <w:szCs w:val="24"/>
        </w:rPr>
        <w:t>、</w:t>
      </w:r>
      <w:proofErr w:type="gramStart"/>
      <w:r>
        <w:rPr>
          <w:rFonts w:ascii="华文宋体" w:hAnsi="华文宋体"/>
          <w:position w:val="-20"/>
          <w:sz w:val="24"/>
          <w:szCs w:val="24"/>
        </w:rPr>
        <w:t>绿色木霉</w:t>
      </w:r>
      <w:proofErr w:type="gramEnd"/>
      <w:r>
        <w:rPr>
          <w:rFonts w:ascii="华文宋体" w:hAnsi="华文宋体" w:hint="eastAsia"/>
          <w:position w:val="-20"/>
          <w:sz w:val="24"/>
          <w:szCs w:val="24"/>
        </w:rPr>
        <w:t>等</w:t>
      </w:r>
      <w:r>
        <w:rPr>
          <w:rFonts w:ascii="华文宋体" w:hAnsi="华文宋体"/>
          <w:position w:val="-20"/>
          <w:sz w:val="24"/>
          <w:szCs w:val="24"/>
        </w:rPr>
        <w:t>）。</w:t>
      </w:r>
    </w:p>
    <w:p w14:paraId="55D54095"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3.14.5 抗老化测试：依据GB/T 1766-2008标准要求：光照辐射度≥0.76，黑板温度≥60℃，紫外老化≥200h，无可视变化，色差≤0.19，变色等级≤0。</w:t>
      </w:r>
    </w:p>
    <w:p w14:paraId="395F687C"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3.14.6 抗细菌性能检测：依据 GB/T 31402-2015 标准，大肠杆菌抗菌 R 值≥5.0。</w:t>
      </w:r>
    </w:p>
    <w:p w14:paraId="2F99EAA3"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3.14.7 压痕硬度：依据</w:t>
      </w:r>
      <w:r>
        <w:rPr>
          <w:rFonts w:ascii="华文宋体" w:hAnsi="华文宋体"/>
          <w:position w:val="-20"/>
          <w:sz w:val="24"/>
          <w:szCs w:val="24"/>
        </w:rPr>
        <w:fldChar w:fldCharType="begin"/>
      </w:r>
      <w:r>
        <w:rPr>
          <w:rFonts w:ascii="华文宋体" w:hAnsi="华文宋体" w:hint="eastAsia"/>
          <w:position w:val="-20"/>
          <w:sz w:val="24"/>
          <w:szCs w:val="24"/>
        </w:rPr>
        <w:instrText xml:space="preserve"> HYPERLINK "javascript:void(0)" </w:instrText>
      </w:r>
      <w:r>
        <w:rPr>
          <w:rFonts w:ascii="华文宋体" w:hAnsi="华文宋体"/>
          <w:position w:val="-20"/>
          <w:sz w:val="24"/>
          <w:szCs w:val="24"/>
        </w:rPr>
        <w:fldChar w:fldCharType="separate"/>
      </w:r>
      <w:r>
        <w:rPr>
          <w:rFonts w:ascii="华文宋体" w:hAnsi="华文宋体"/>
          <w:position w:val="-20"/>
          <w:sz w:val="24"/>
          <w:szCs w:val="24"/>
        </w:rPr>
        <w:t>GB/T 9275-2008</w:t>
      </w:r>
      <w:r>
        <w:rPr>
          <w:rFonts w:ascii="华文宋体" w:hAnsi="华文宋体"/>
          <w:position w:val="-20"/>
          <w:sz w:val="24"/>
          <w:szCs w:val="24"/>
        </w:rPr>
        <w:fldChar w:fldCharType="end"/>
      </w:r>
      <w:r>
        <w:rPr>
          <w:rFonts w:ascii="华文宋体" w:hAnsi="华文宋体" w:hint="eastAsia"/>
          <w:position w:val="-20"/>
          <w:sz w:val="24"/>
          <w:szCs w:val="24"/>
        </w:rPr>
        <w:t>《</w:t>
      </w:r>
      <w:r>
        <w:rPr>
          <w:rFonts w:ascii="华文宋体" w:hAnsi="华文宋体"/>
          <w:position w:val="-20"/>
          <w:sz w:val="24"/>
          <w:szCs w:val="24"/>
        </w:rPr>
        <w:fldChar w:fldCharType="begin"/>
      </w:r>
      <w:r>
        <w:rPr>
          <w:rFonts w:ascii="华文宋体" w:hAnsi="华文宋体" w:hint="eastAsia"/>
          <w:position w:val="-20"/>
          <w:sz w:val="24"/>
          <w:szCs w:val="24"/>
        </w:rPr>
        <w:instrText xml:space="preserve"> HYPERLINK "javascript:void(0)" </w:instrText>
      </w:r>
      <w:r>
        <w:rPr>
          <w:rFonts w:ascii="华文宋体" w:hAnsi="华文宋体"/>
          <w:position w:val="-20"/>
          <w:sz w:val="24"/>
          <w:szCs w:val="24"/>
        </w:rPr>
        <w:fldChar w:fldCharType="separate"/>
      </w:r>
      <w:r>
        <w:rPr>
          <w:rFonts w:ascii="华文宋体" w:hAnsi="华文宋体"/>
          <w:position w:val="-20"/>
          <w:sz w:val="24"/>
          <w:szCs w:val="24"/>
        </w:rPr>
        <w:t>色漆和清漆 巴克霍尔兹压痕试验</w:t>
      </w:r>
      <w:r>
        <w:rPr>
          <w:rFonts w:ascii="华文宋体" w:hAnsi="华文宋体"/>
          <w:position w:val="-20"/>
          <w:sz w:val="24"/>
          <w:szCs w:val="24"/>
        </w:rPr>
        <w:fldChar w:fldCharType="end"/>
      </w:r>
      <w:r>
        <w:rPr>
          <w:rFonts w:ascii="华文宋体" w:hAnsi="华文宋体" w:hint="eastAsia"/>
          <w:position w:val="-20"/>
          <w:sz w:val="24"/>
          <w:szCs w:val="24"/>
        </w:rPr>
        <w:t>》，试验环境条件温度（23±2）℃，湿度（50±5）%，试验压痕长度0.4mm，压痕深度1μm，涂层厚度3μm，抗压痕值为260.5aB。</w:t>
      </w:r>
    </w:p>
    <w:p w14:paraId="24932A44"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3.14.8 粉末涂料：依据国际航空运输协会《危险品规则》，本产品属于非限制性货物，无可识别危险性。</w:t>
      </w:r>
    </w:p>
    <w:p w14:paraId="69A26100" w14:textId="77777777" w:rsidR="00271A7A" w:rsidRDefault="00953C74" w:rsidP="00773DA5">
      <w:pPr>
        <w:spacing w:line="360" w:lineRule="auto"/>
        <w:ind w:firstLineChars="200" w:firstLine="480"/>
        <w:jc w:val="both"/>
      </w:pPr>
      <w:bookmarkStart w:id="1" w:name="OLE_LINK6"/>
      <w:bookmarkStart w:id="2" w:name="OLE_LINK5"/>
      <w:r>
        <w:rPr>
          <w:rFonts w:ascii="华文宋体" w:hAnsi="华文宋体" w:hint="eastAsia"/>
          <w:position w:val="-20"/>
          <w:sz w:val="24"/>
          <w:szCs w:val="24"/>
        </w:rPr>
        <w:t xml:space="preserve">3.14.9 </w:t>
      </w:r>
      <w:r>
        <w:rPr>
          <w:rFonts w:ascii="华文宋体" w:hAnsi="华文宋体"/>
          <w:position w:val="-20"/>
          <w:sz w:val="24"/>
          <w:szCs w:val="24"/>
        </w:rPr>
        <w:t>符合QB/T 1334-2013，金属基体按GB/T 5270-20</w:t>
      </w:r>
      <w:r>
        <w:rPr>
          <w:rFonts w:ascii="华文宋体" w:hAnsi="华文宋体" w:hint="eastAsia"/>
          <w:position w:val="-20"/>
          <w:sz w:val="24"/>
          <w:szCs w:val="24"/>
        </w:rPr>
        <w:t>24</w:t>
      </w:r>
      <w:r>
        <w:rPr>
          <w:rFonts w:ascii="华文宋体" w:hAnsi="华文宋体"/>
          <w:position w:val="-20"/>
          <w:sz w:val="24"/>
          <w:szCs w:val="24"/>
        </w:rPr>
        <w:t>规定的方法进行热冲击试验后，表面应符合无裂纹、水泡、疏松等现象。</w:t>
      </w:r>
      <w:bookmarkEnd w:id="1"/>
      <w:bookmarkEnd w:id="2"/>
    </w:p>
    <w:p w14:paraId="0A402E99"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3.15 PP中水槽：采用广州博朗品牌（BRLON）尺寸：575*475*335mm主体圆角设计，整体平整度控制在≤1.5mm，有效提升槽内使用空间，低吸水率不藏污垢易于清洁。加深槽≥310mm不易溅水，90°垂直加深槽体，</w:t>
      </w:r>
      <w:proofErr w:type="gramStart"/>
      <w:r>
        <w:rPr>
          <w:rFonts w:ascii="华文宋体" w:hAnsi="华文宋体" w:hint="eastAsia"/>
          <w:position w:val="-20"/>
          <w:sz w:val="24"/>
          <w:szCs w:val="24"/>
        </w:rPr>
        <w:t>容尽不同</w:t>
      </w:r>
      <w:proofErr w:type="gramEnd"/>
      <w:r>
        <w:rPr>
          <w:rFonts w:ascii="华文宋体" w:hAnsi="华文宋体" w:hint="eastAsia"/>
          <w:position w:val="-20"/>
          <w:sz w:val="24"/>
          <w:szCs w:val="24"/>
        </w:rPr>
        <w:t>尺寸量筒试剂管及玻璃器皿，且落入其中不易破碎，防滑防刮伤以延长使用寿命。</w:t>
      </w:r>
    </w:p>
    <w:p w14:paraId="4FA8CA0F"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3.15.1 密度，GB/T1033.1-2008方法A，检测条件（23土2）℃，（50土5）%RH，24h浸渍液：乙醇浸渍液密度：0.79g/cm3，浸渍液温度23℃块状试样，检测结</w:t>
      </w:r>
      <w:r>
        <w:rPr>
          <w:rFonts w:ascii="华文宋体" w:hAnsi="华文宋体" w:hint="eastAsia"/>
          <w:position w:val="-20"/>
          <w:sz w:val="24"/>
          <w:szCs w:val="24"/>
        </w:rPr>
        <w:lastRenderedPageBreak/>
        <w:t>果：0.895g/cm3。</w:t>
      </w:r>
    </w:p>
    <w:p w14:paraId="3A653372"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3.15.2 依据GB/T1043.1-2008标准检测：常温，摆锤：0.5J，跨距62mm，简支梁缺口冲击强度（0.5J第一次冲击）：10.1N KJ/m2（不破坏）；简支梁缺口冲击强度（0.5J第二次冲击）：10.9P KJ/m2（小部分破坏）；简支梁缺口冲击强度（0.5J第三次冲击）：12.1P KJ/m2（部分破坏）。</w:t>
      </w:r>
    </w:p>
    <w:p w14:paraId="54B43285"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3.15.3 抗菌性能：依据JC/T897-2014标准，要求≥20种细菌的检测，检测值≥99.99%；（菌种包括金黄色葡萄球菌、大肠埃希氏菌、肺炎克雷伯氏菌、铜绿假单胞菌、粘质沙雷氏菌、鼠伤寒沙门氏菌、鲍曼不动杆菌、白色葡萄球菌、产气肠杆菌、表皮葡萄球菌、</w:t>
      </w:r>
      <w:proofErr w:type="gramStart"/>
      <w:r>
        <w:rPr>
          <w:rFonts w:ascii="华文宋体" w:hAnsi="华文宋体" w:hint="eastAsia"/>
          <w:position w:val="-20"/>
          <w:sz w:val="24"/>
          <w:szCs w:val="24"/>
        </w:rPr>
        <w:t>粪肠球菌</w:t>
      </w:r>
      <w:proofErr w:type="gramEnd"/>
      <w:r>
        <w:rPr>
          <w:rFonts w:ascii="华文宋体" w:hAnsi="华文宋体" w:hint="eastAsia"/>
          <w:position w:val="-20"/>
          <w:sz w:val="24"/>
          <w:szCs w:val="24"/>
        </w:rPr>
        <w:t>、宋氏志贺氏菌、枯草芽孢杆菌、恶臭假单胞菌、洋葱伯克霍尔德氏菌等）。</w:t>
      </w:r>
    </w:p>
    <w:p w14:paraId="5D689409"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3.15.4 抗菌活性检测，依据GB/T 31402-2023检测，检测结果：鼠伤寒沙门氏菌≥6.1、粘质沙雷氏菌≥6.3、枯草芽孢杆菌≥5.1。非光催化抗病毒活性值，检测结果： ≥2.45。（非光催化抗病毒活性率=99.6%）。</w:t>
      </w:r>
      <w:bookmarkStart w:id="3" w:name="OLE_LINK14"/>
      <w:bookmarkStart w:id="4" w:name="OLE_LINK13"/>
    </w:p>
    <w:bookmarkEnd w:id="3"/>
    <w:bookmarkEnd w:id="4"/>
    <w:p w14:paraId="5FA27E37"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3.15.5 抗老化测试：依据GB/T16422.3-2022检测，光照辐射度≥0.76，黑板温度≥60</w:t>
      </w:r>
      <w:r>
        <w:rPr>
          <w:rFonts w:ascii="华文宋体" w:hAnsi="华文宋体" w:hint="eastAsia"/>
          <w:position w:val="-20"/>
          <w:sz w:val="24"/>
          <w:szCs w:val="24"/>
        </w:rPr>
        <w:softHyphen/>
        <w:t>℃，紫外老化≥300h，无可视变化，无变色，色差≤0.16，变色等级≤0。</w:t>
      </w:r>
    </w:p>
    <w:p w14:paraId="6E8DED8F"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3.15.6 水槽符合GB/T 1040.2-2022标准，经100°C条件下测试60min高温老化后，</w:t>
      </w:r>
      <w:proofErr w:type="gramStart"/>
      <w:r>
        <w:rPr>
          <w:rFonts w:ascii="华文宋体" w:hAnsi="华文宋体" w:hint="eastAsia"/>
          <w:position w:val="-20"/>
          <w:sz w:val="24"/>
          <w:szCs w:val="24"/>
        </w:rPr>
        <w:t>拉断力</w:t>
      </w:r>
      <w:proofErr w:type="gramEnd"/>
      <w:r>
        <w:rPr>
          <w:rFonts w:ascii="华文宋体" w:hAnsi="华文宋体" w:hint="eastAsia"/>
          <w:position w:val="-20"/>
          <w:sz w:val="24"/>
          <w:szCs w:val="24"/>
        </w:rPr>
        <w:t>≥900N，经低温40°条件下测试60min低温老化后，</w:t>
      </w:r>
      <w:proofErr w:type="gramStart"/>
      <w:r>
        <w:rPr>
          <w:rFonts w:ascii="华文宋体" w:hAnsi="华文宋体" w:hint="eastAsia"/>
          <w:position w:val="-20"/>
          <w:sz w:val="24"/>
          <w:szCs w:val="24"/>
        </w:rPr>
        <w:t>拉断</w:t>
      </w:r>
      <w:proofErr w:type="gramEnd"/>
      <w:r>
        <w:rPr>
          <w:rFonts w:ascii="华文宋体" w:hAnsi="华文宋体" w:hint="eastAsia"/>
          <w:position w:val="-20"/>
          <w:sz w:val="24"/>
          <w:szCs w:val="24"/>
        </w:rPr>
        <w:t>力≥920N。</w:t>
      </w:r>
    </w:p>
    <w:p w14:paraId="3819DC9A"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3.15.7 RoHS 指令 2011/65/EU 附件Ⅱ修订指令(EU)2015/863- 铅(Pb)、镉(Cd)、汞(Hg)、六价铬(</w:t>
      </w:r>
      <w:proofErr w:type="spellStart"/>
      <w:r>
        <w:rPr>
          <w:rFonts w:ascii="华文宋体" w:hAnsi="华文宋体" w:hint="eastAsia"/>
          <w:position w:val="-20"/>
          <w:sz w:val="24"/>
          <w:szCs w:val="24"/>
        </w:rPr>
        <w:t>CrVI</w:t>
      </w:r>
      <w:proofErr w:type="spellEnd"/>
      <w:r>
        <w:rPr>
          <w:rFonts w:ascii="华文宋体" w:hAnsi="华文宋体" w:hint="eastAsia"/>
          <w:position w:val="-20"/>
          <w:sz w:val="24"/>
          <w:szCs w:val="24"/>
        </w:rPr>
        <w:t>)、多溴联苯(PBBS)、多溴二苯醚(PBDES)、邻苯二甲酸二丁酯(DBP)邻苯二甲酸丁酯</w:t>
      </w:r>
      <w:proofErr w:type="gramStart"/>
      <w:r>
        <w:rPr>
          <w:rFonts w:ascii="华文宋体" w:hAnsi="华文宋体" w:hint="eastAsia"/>
          <w:position w:val="-20"/>
          <w:sz w:val="24"/>
          <w:szCs w:val="24"/>
        </w:rPr>
        <w:t>苄</w:t>
      </w:r>
      <w:proofErr w:type="gramEnd"/>
      <w:r>
        <w:rPr>
          <w:rFonts w:ascii="华文宋体" w:hAnsi="华文宋体" w:hint="eastAsia"/>
          <w:position w:val="-20"/>
          <w:sz w:val="24"/>
          <w:szCs w:val="24"/>
        </w:rPr>
        <w:t>酯(BBP)、邻苯二甲酸二(2-乙基已基)酯(DEHP)、邻苯二甲酸二异丁酯(DIBP)等均未检出。</w:t>
      </w:r>
    </w:p>
    <w:p w14:paraId="56C934E1"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lastRenderedPageBreak/>
        <w:t>3.15.8 水槽依据GB/T 2423.2-2008标准，检测低温老化，在-40℃的情况下持续1h，结果无变化。</w:t>
      </w:r>
    </w:p>
    <w:p w14:paraId="5DE2BFA8"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3.15.9 水槽依据GB/T 2423.2-2008标准，检测高温老化，在110℃的情况下持续1h，结果无变化。</w:t>
      </w:r>
    </w:p>
    <w:p w14:paraId="37BE2D11"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3.16 单口洗眼器：采用广州博朗品牌（BRLON）主体：优质铜材，主体材质加厚铜质H65，依据标准</w:t>
      </w:r>
      <w:proofErr w:type="gramStart"/>
      <w:r>
        <w:rPr>
          <w:rFonts w:ascii="华文宋体" w:hAnsi="华文宋体" w:hint="eastAsia"/>
          <w:position w:val="-20"/>
          <w:sz w:val="24"/>
          <w:szCs w:val="24"/>
        </w:rPr>
        <w:t>中铜量的</w:t>
      </w:r>
      <w:proofErr w:type="gramEnd"/>
      <w:r>
        <w:rPr>
          <w:rFonts w:ascii="华文宋体" w:hAnsi="华文宋体" w:hint="eastAsia"/>
          <w:position w:val="-20"/>
          <w:sz w:val="24"/>
          <w:szCs w:val="24"/>
        </w:rPr>
        <w:t>测定碘量法，铜含量≥64.71%。</w:t>
      </w:r>
      <w:r>
        <w:rPr>
          <w:rFonts w:ascii="华文宋体" w:hAnsi="华文宋体"/>
          <w:position w:val="-20"/>
          <w:sz w:val="24"/>
          <w:szCs w:val="24"/>
        </w:rPr>
        <w:t>进水</w:t>
      </w:r>
      <w:r>
        <w:rPr>
          <w:rFonts w:ascii="华文宋体" w:hAnsi="华文宋体" w:hint="eastAsia"/>
          <w:position w:val="-20"/>
          <w:sz w:val="24"/>
          <w:szCs w:val="24"/>
        </w:rPr>
        <w:t>软</w:t>
      </w:r>
      <w:r>
        <w:rPr>
          <w:rFonts w:ascii="华文宋体" w:hAnsi="华文宋体"/>
          <w:position w:val="-20"/>
          <w:sz w:val="24"/>
          <w:szCs w:val="24"/>
        </w:rPr>
        <w:t>管: 外覆304优质不锈钢编织网，外层包裹PE管，有效防止生锈、渗漏。水压</w:t>
      </w:r>
      <w:r>
        <w:rPr>
          <w:rFonts w:ascii="华文宋体" w:hAnsi="华文宋体" w:hint="eastAsia"/>
          <w:position w:val="-20"/>
          <w:sz w:val="24"/>
          <w:szCs w:val="24"/>
        </w:rPr>
        <w:t>：</w:t>
      </w:r>
      <w:r>
        <w:rPr>
          <w:rFonts w:ascii="华文宋体" w:hAnsi="华文宋体"/>
          <w:position w:val="-20"/>
          <w:sz w:val="24"/>
          <w:szCs w:val="24"/>
        </w:rPr>
        <w:t>要求大于 大于2 bar</w:t>
      </w:r>
      <w:r>
        <w:rPr>
          <w:rFonts w:ascii="华文宋体" w:hAnsi="华文宋体" w:hint="eastAsia"/>
          <w:position w:val="-20"/>
          <w:sz w:val="24"/>
          <w:szCs w:val="24"/>
        </w:rPr>
        <w:t>。</w:t>
      </w:r>
      <w:r>
        <w:rPr>
          <w:rFonts w:ascii="华文宋体" w:hAnsi="华文宋体"/>
          <w:position w:val="-20"/>
          <w:sz w:val="24"/>
          <w:szCs w:val="24"/>
        </w:rPr>
        <w:t>流量要求</w:t>
      </w:r>
      <w:r>
        <w:rPr>
          <w:rFonts w:ascii="华文宋体" w:hAnsi="华文宋体" w:hint="eastAsia"/>
          <w:position w:val="-20"/>
          <w:sz w:val="24"/>
          <w:szCs w:val="24"/>
        </w:rPr>
        <w:t>： 大于6 L/分钟。</w:t>
      </w:r>
    </w:p>
    <w:p w14:paraId="0F126132"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 xml:space="preserve">3.16.1 </w:t>
      </w:r>
      <w:r>
        <w:rPr>
          <w:rFonts w:ascii="华文宋体" w:hAnsi="华文宋体"/>
          <w:position w:val="-20"/>
          <w:sz w:val="24"/>
          <w:szCs w:val="24"/>
        </w:rPr>
        <w:t>操作方式</w:t>
      </w:r>
      <w:r>
        <w:rPr>
          <w:rFonts w:ascii="华文宋体" w:hAnsi="华文宋体" w:hint="eastAsia"/>
          <w:position w:val="-20"/>
          <w:sz w:val="24"/>
          <w:szCs w:val="24"/>
        </w:rPr>
        <w:t>：按压式握把水阀开关，</w:t>
      </w:r>
      <w:proofErr w:type="gramStart"/>
      <w:r>
        <w:rPr>
          <w:rFonts w:ascii="华文宋体" w:hAnsi="华文宋体" w:hint="eastAsia"/>
          <w:position w:val="-20"/>
          <w:sz w:val="24"/>
          <w:szCs w:val="24"/>
        </w:rPr>
        <w:t>具固定键</w:t>
      </w:r>
      <w:proofErr w:type="gramEnd"/>
      <w:r>
        <w:rPr>
          <w:rFonts w:ascii="华文宋体" w:hAnsi="华文宋体" w:hint="eastAsia"/>
          <w:position w:val="-20"/>
          <w:sz w:val="24"/>
          <w:szCs w:val="24"/>
        </w:rPr>
        <w:t>可按压式握把水阀开关，</w:t>
      </w:r>
      <w:proofErr w:type="gramStart"/>
      <w:r>
        <w:rPr>
          <w:rFonts w:ascii="华文宋体" w:hAnsi="华文宋体" w:hint="eastAsia"/>
          <w:position w:val="-20"/>
          <w:sz w:val="24"/>
          <w:szCs w:val="24"/>
        </w:rPr>
        <w:t>具固定</w:t>
      </w:r>
      <w:proofErr w:type="gramEnd"/>
      <w:r>
        <w:rPr>
          <w:rFonts w:ascii="华文宋体" w:hAnsi="华文宋体" w:hint="eastAsia"/>
          <w:position w:val="-20"/>
          <w:sz w:val="24"/>
          <w:szCs w:val="24"/>
        </w:rPr>
        <w:t>键可使水阀保持常开以方便操作，水流开启,水流锁定功能一次完成,方便使用。</w:t>
      </w:r>
    </w:p>
    <w:p w14:paraId="1E25D78F"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 xml:space="preserve">3.16.2 </w:t>
      </w:r>
      <w:r>
        <w:rPr>
          <w:rFonts w:ascii="华文宋体" w:hAnsi="华文宋体"/>
          <w:position w:val="-20"/>
          <w:sz w:val="24"/>
          <w:szCs w:val="24"/>
        </w:rPr>
        <w:t>阀体: 止逆阀门可自动关闭;防止管道里可能存在的污水回流到</w:t>
      </w:r>
      <w:proofErr w:type="gramStart"/>
      <w:r>
        <w:rPr>
          <w:rFonts w:ascii="华文宋体" w:hAnsi="华文宋体"/>
          <w:position w:val="-20"/>
          <w:sz w:val="24"/>
          <w:szCs w:val="24"/>
        </w:rPr>
        <w:t>洗眼器管件</w:t>
      </w:r>
      <w:proofErr w:type="gramEnd"/>
      <w:r>
        <w:rPr>
          <w:rFonts w:ascii="华文宋体" w:hAnsi="华文宋体"/>
          <w:position w:val="-20"/>
          <w:sz w:val="24"/>
          <w:szCs w:val="24"/>
        </w:rPr>
        <w:t>里，造成污水污染眼睛的二次伤害。</w:t>
      </w:r>
    </w:p>
    <w:p w14:paraId="4EC58F54"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3.16.3 依据JC/T897-2014或GB/T 42675-2023或GB/T 31402-2023标准，要求≥20种细菌的检测，菌种包括金黄色葡萄球菌、大肠埃希氏菌、肺炎克雷伯氏菌、铜绿假单胞菌、粘质沙雷氏菌、鼠伤寒沙门氏菌、鲍曼不动杆菌、白色葡萄球菌、产气肠杆菌、表皮葡萄球菌、</w:t>
      </w:r>
      <w:proofErr w:type="gramStart"/>
      <w:r>
        <w:rPr>
          <w:rFonts w:ascii="华文宋体" w:hAnsi="华文宋体" w:hint="eastAsia"/>
          <w:position w:val="-20"/>
          <w:sz w:val="24"/>
          <w:szCs w:val="24"/>
        </w:rPr>
        <w:t>粪肠球菌</w:t>
      </w:r>
      <w:proofErr w:type="gramEnd"/>
      <w:r>
        <w:rPr>
          <w:rFonts w:ascii="华文宋体" w:hAnsi="华文宋体" w:hint="eastAsia"/>
          <w:position w:val="-20"/>
          <w:sz w:val="24"/>
          <w:szCs w:val="24"/>
        </w:rPr>
        <w:t>、宋氏志贺氏菌、枯草芽孢杆菌、恶臭假单胞菌、洋葱伯克霍尔德氏菌、链球菌细胞菌、变形杆菌、摩根氏菌、马红球菌、丙酸杆菌、红色杆菌、土壤杆菌、甲烷菌、白色念珠菌、绿脓杆菌、乳酸杆菌、</w:t>
      </w:r>
      <w:proofErr w:type="gramStart"/>
      <w:r>
        <w:rPr>
          <w:rFonts w:ascii="华文宋体" w:hAnsi="华文宋体" w:hint="eastAsia"/>
          <w:position w:val="-20"/>
          <w:sz w:val="24"/>
          <w:szCs w:val="24"/>
        </w:rPr>
        <w:t>耐甲</w:t>
      </w:r>
      <w:proofErr w:type="gramEnd"/>
      <w:r>
        <w:rPr>
          <w:rFonts w:ascii="华文宋体" w:hAnsi="华文宋体" w:hint="eastAsia"/>
          <w:position w:val="-20"/>
          <w:sz w:val="24"/>
          <w:szCs w:val="24"/>
        </w:rPr>
        <w:t>氧西林金黄色葡萄球菌、蜡样芽孢杆菌、双歧杆菌等级达I级，检测值：≥99.99%。</w:t>
      </w:r>
    </w:p>
    <w:p w14:paraId="2032CDE3"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 xml:space="preserve">3.16.4 </w:t>
      </w:r>
      <w:proofErr w:type="gramStart"/>
      <w:r>
        <w:rPr>
          <w:rFonts w:ascii="华文宋体" w:hAnsi="华文宋体" w:hint="eastAsia"/>
          <w:position w:val="-20"/>
          <w:sz w:val="24"/>
          <w:szCs w:val="24"/>
        </w:rPr>
        <w:t>洗眼器外层</w:t>
      </w:r>
      <w:proofErr w:type="gramEnd"/>
      <w:r>
        <w:rPr>
          <w:rFonts w:ascii="华文宋体" w:hAnsi="华文宋体" w:hint="eastAsia"/>
          <w:position w:val="-20"/>
          <w:sz w:val="24"/>
          <w:szCs w:val="24"/>
        </w:rPr>
        <w:t>材料ABS，符合GB/T 11547-2008标准，耐腐蚀：王水、</w:t>
      </w:r>
      <w:r>
        <w:rPr>
          <w:rFonts w:ascii="华文宋体" w:hAnsi="华文宋体" w:hint="eastAsia"/>
          <w:position w:val="-20"/>
          <w:sz w:val="24"/>
          <w:szCs w:val="24"/>
        </w:rPr>
        <w:lastRenderedPageBreak/>
        <w:t>氢氧化钾（40%）、硫化钠（40%）、高锰酸钾（1%）、碘酒（2%）、红药水（2%）、甘醇（分析纯≥99.7%）、磷酸（85%）、饱和硫化钠、饱和氯化锌、12%氯化镁、氯仿（试剂浓度99%）、二甲基甲酰胺、硫酸铜（试剂浓度10%）、硝酸银（试剂浓度1%）、苯酚（试剂浓度90%）、乙醇（试剂浓度99%）、乙醚（分析纯≥99.7%）、乙酸乙酯（分析纯≥99.7%）、苯、77%硫酸与70%硝酸的混合物（等体积比例）、乙酸（试剂浓度99.5%）、盐酸（试剂浓度40%）、氢氟酸（试剂浓度48%）、硫酸98%、蒸馏水100%、柠檬酸10%、碳酸钠20%、硝酸（试剂浓度70%）、硫酸（试剂浓度98%）、氢氧化钠（试剂浓度40%）二氯甲烷、颗粒氢氧化钠、甲醛40%、甲醇（分析纯99.7%)、12%氯化铁、7%氯化钠、硫化钠40%、正已烷、亚硝酸钠、20%硫酸铜、二氯乙酸、糠醛、50%氢氧化钾、铬酸60%、饱和乙二酸、二噁烷、环己酮、40%硫化钠、过氧化氢35%、冰醋酸50%、二甲苯、甲酸70%、氯化锌20%等试剂试验48h后，样品表面无腐蚀和变色。</w:t>
      </w:r>
    </w:p>
    <w:p w14:paraId="117FC848"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3.16.5 力学性能：依据GB/T 228.1-2021 标准要求试验 ，抗拉强度≥550MPa、断裂伸长率≤15%；</w:t>
      </w:r>
      <w:proofErr w:type="gramStart"/>
      <w:r>
        <w:rPr>
          <w:rFonts w:ascii="华文宋体" w:hAnsi="华文宋体"/>
          <w:position w:val="-20"/>
          <w:sz w:val="24"/>
          <w:szCs w:val="24"/>
        </w:rPr>
        <w:t>洗眼器角阀</w:t>
      </w:r>
      <w:proofErr w:type="gramEnd"/>
      <w:r>
        <w:rPr>
          <w:rFonts w:ascii="华文宋体" w:hAnsi="华文宋体"/>
          <w:position w:val="-20"/>
          <w:sz w:val="24"/>
          <w:szCs w:val="24"/>
        </w:rPr>
        <w:t>依据GB/T 26712-2021《卫生洁具及暖气管道用角阀》标准，检测外观、</w:t>
      </w:r>
      <w:proofErr w:type="gramStart"/>
      <w:r>
        <w:rPr>
          <w:rFonts w:ascii="华文宋体" w:hAnsi="华文宋体"/>
          <w:position w:val="-20"/>
          <w:sz w:val="24"/>
          <w:szCs w:val="24"/>
        </w:rPr>
        <w:t>抗使</w:t>
      </w:r>
      <w:proofErr w:type="gramEnd"/>
      <w:r>
        <w:rPr>
          <w:rFonts w:ascii="华文宋体" w:hAnsi="华文宋体"/>
          <w:position w:val="-20"/>
          <w:sz w:val="24"/>
          <w:szCs w:val="24"/>
        </w:rPr>
        <w:t>用负载、耐腐蚀性能、使用性能等项，符合要求。</w:t>
      </w:r>
    </w:p>
    <w:p w14:paraId="6E259C2A"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3.16.6 耐污染性能：依据GB/T 17657-2022标准，同一份检测报告需包含2,4,5-三氯苯胺、2-甲氧基乙醇(特纯)、N-甲基吡咯烷酮、苯甲酸</w:t>
      </w:r>
      <w:proofErr w:type="gramStart"/>
      <w:r>
        <w:rPr>
          <w:rFonts w:ascii="华文宋体" w:hAnsi="华文宋体" w:hint="eastAsia"/>
          <w:position w:val="-20"/>
          <w:sz w:val="24"/>
          <w:szCs w:val="24"/>
        </w:rPr>
        <w:t>苄</w:t>
      </w:r>
      <w:proofErr w:type="gramEnd"/>
      <w:r>
        <w:rPr>
          <w:rFonts w:ascii="华文宋体" w:hAnsi="华文宋体" w:hint="eastAsia"/>
          <w:position w:val="-20"/>
          <w:sz w:val="24"/>
          <w:szCs w:val="24"/>
        </w:rPr>
        <w:t>酯、丙二醇甲醚、</w:t>
      </w:r>
      <w:proofErr w:type="gramStart"/>
      <w:r>
        <w:rPr>
          <w:rFonts w:ascii="华文宋体" w:hAnsi="华文宋体" w:hint="eastAsia"/>
          <w:position w:val="-20"/>
          <w:sz w:val="24"/>
          <w:szCs w:val="24"/>
        </w:rPr>
        <w:t>丙烯酸异辛</w:t>
      </w:r>
      <w:proofErr w:type="gramEnd"/>
      <w:r>
        <w:rPr>
          <w:rFonts w:ascii="华文宋体" w:hAnsi="华文宋体" w:hint="eastAsia"/>
          <w:position w:val="-20"/>
          <w:sz w:val="24"/>
          <w:szCs w:val="24"/>
        </w:rPr>
        <w:t>酯、聚乙烯醇、抗坏血酸、连二亚硫酸钠、邻二甲苯、硫脲、</w:t>
      </w:r>
      <w:proofErr w:type="gramStart"/>
      <w:r>
        <w:rPr>
          <w:rFonts w:ascii="华文宋体" w:hAnsi="华文宋体" w:hint="eastAsia"/>
          <w:position w:val="-20"/>
          <w:sz w:val="24"/>
          <w:szCs w:val="24"/>
        </w:rPr>
        <w:t>六亚甲</w:t>
      </w:r>
      <w:proofErr w:type="gramEnd"/>
      <w:r>
        <w:rPr>
          <w:rFonts w:ascii="华文宋体" w:hAnsi="华文宋体" w:hint="eastAsia"/>
          <w:position w:val="-20"/>
          <w:sz w:val="24"/>
          <w:szCs w:val="24"/>
        </w:rPr>
        <w:t>基四胺、柠檬酸钠（二水合物）、48%氢溴酸、50%氟硼酸、氢氧化铵、冰醋酸、丙酮、碘、单宁酸、碘酸钾、次氯酸钠、二硫化碳、甘油、高碘酸钾、酚酞、二氯甲烷等≥154种有机、无机试剂，检验结果均为5级，无明显变化。</w:t>
      </w:r>
    </w:p>
    <w:p w14:paraId="7E68D955"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3.16.7 耐老化测试：通过</w:t>
      </w:r>
      <w:proofErr w:type="gramStart"/>
      <w:r>
        <w:rPr>
          <w:rFonts w:ascii="华文宋体" w:hAnsi="华文宋体" w:hint="eastAsia"/>
          <w:position w:val="-20"/>
          <w:sz w:val="24"/>
          <w:szCs w:val="24"/>
        </w:rPr>
        <w:t>氙弧灯老化</w:t>
      </w:r>
      <w:proofErr w:type="gramEnd"/>
      <w:r>
        <w:rPr>
          <w:rFonts w:ascii="华文宋体" w:hAnsi="华文宋体" w:hint="eastAsia"/>
          <w:position w:val="-20"/>
          <w:sz w:val="24"/>
          <w:szCs w:val="24"/>
        </w:rPr>
        <w:t xml:space="preserve">测试（依据GB/T 16422.2-2022和GB/T </w:t>
      </w:r>
      <w:r>
        <w:rPr>
          <w:rFonts w:ascii="华文宋体" w:hAnsi="华文宋体" w:hint="eastAsia"/>
          <w:position w:val="-20"/>
          <w:sz w:val="24"/>
          <w:szCs w:val="24"/>
        </w:rPr>
        <w:lastRenderedPageBreak/>
        <w:t>250-2008，测试条件：3600小时，</w:t>
      </w:r>
      <w:proofErr w:type="gramStart"/>
      <w:r>
        <w:rPr>
          <w:rFonts w:ascii="华文宋体" w:hAnsi="华文宋体" w:hint="eastAsia"/>
          <w:position w:val="-20"/>
          <w:sz w:val="24"/>
          <w:szCs w:val="24"/>
        </w:rPr>
        <w:t>黑标温</w:t>
      </w:r>
      <w:proofErr w:type="gramEnd"/>
      <w:r>
        <w:rPr>
          <w:rFonts w:ascii="华文宋体" w:hAnsi="华文宋体" w:hint="eastAsia"/>
          <w:position w:val="-20"/>
          <w:sz w:val="24"/>
          <w:szCs w:val="24"/>
        </w:rPr>
        <w:t>度65℃，辐照度0.51W/m²·nm），色牢度等级达4级；铜管拉伸试验：依据GB/T 228.1-2021标准，抗拉强度≥556MPa，断后伸长率≤15%。</w:t>
      </w:r>
    </w:p>
    <w:p w14:paraId="58D83870"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 xml:space="preserve">3.16.8 </w:t>
      </w:r>
      <w:r>
        <w:rPr>
          <w:rFonts w:ascii="华文宋体" w:hAnsi="华文宋体"/>
          <w:position w:val="-20"/>
          <w:sz w:val="24"/>
          <w:szCs w:val="24"/>
        </w:rPr>
        <w:t xml:space="preserve">抗老化测试:参照 </w:t>
      </w:r>
      <w:r>
        <w:rPr>
          <w:rFonts w:ascii="华文宋体" w:hAnsi="华文宋体" w:hint="eastAsia"/>
          <w:position w:val="-20"/>
          <w:sz w:val="24"/>
          <w:szCs w:val="24"/>
        </w:rPr>
        <w:t>G</w:t>
      </w:r>
      <w:r>
        <w:rPr>
          <w:rFonts w:ascii="华文宋体" w:hAnsi="华文宋体"/>
          <w:position w:val="-20"/>
          <w:sz w:val="24"/>
          <w:szCs w:val="24"/>
        </w:rPr>
        <w:t>B/T16422.3-2022 标准，光照辐射度</w:t>
      </w:r>
      <w:r>
        <w:rPr>
          <w:rFonts w:ascii="华文宋体" w:hAnsi="华文宋体" w:hint="eastAsia"/>
          <w:position w:val="-20"/>
          <w:sz w:val="24"/>
          <w:szCs w:val="24"/>
        </w:rPr>
        <w:t>≥</w:t>
      </w:r>
      <w:r>
        <w:rPr>
          <w:rFonts w:ascii="华文宋体" w:hAnsi="华文宋体"/>
          <w:position w:val="-20"/>
          <w:sz w:val="24"/>
          <w:szCs w:val="24"/>
        </w:rPr>
        <w:t>0.55，黑板温度</w:t>
      </w:r>
      <w:r>
        <w:rPr>
          <w:rFonts w:ascii="华文宋体" w:hAnsi="华文宋体" w:hint="eastAsia"/>
          <w:position w:val="-20"/>
          <w:sz w:val="24"/>
          <w:szCs w:val="24"/>
        </w:rPr>
        <w:t>≥</w:t>
      </w:r>
      <w:r>
        <w:rPr>
          <w:rFonts w:ascii="华文宋体" w:hAnsi="华文宋体"/>
          <w:position w:val="-20"/>
          <w:sz w:val="24"/>
          <w:szCs w:val="24"/>
        </w:rPr>
        <w:t>44</w:t>
      </w:r>
      <w:r>
        <w:rPr>
          <w:rFonts w:ascii="华文宋体" w:hAnsi="华文宋体" w:hint="eastAsia"/>
          <w:position w:val="-20"/>
          <w:sz w:val="24"/>
          <w:szCs w:val="24"/>
        </w:rPr>
        <w:t>°</w:t>
      </w:r>
      <w:r>
        <w:rPr>
          <w:rFonts w:ascii="华文宋体" w:hAnsi="华文宋体"/>
          <w:position w:val="-20"/>
          <w:sz w:val="24"/>
          <w:szCs w:val="24"/>
        </w:rPr>
        <w:t>C，紫外老化333h，色差</w:t>
      </w:r>
      <w:r>
        <w:rPr>
          <w:rFonts w:ascii="华文宋体" w:hAnsi="华文宋体" w:hint="eastAsia"/>
          <w:position w:val="-20"/>
          <w:sz w:val="24"/>
          <w:szCs w:val="24"/>
        </w:rPr>
        <w:t>≤</w:t>
      </w:r>
      <w:r>
        <w:rPr>
          <w:rFonts w:ascii="华文宋体" w:hAnsi="华文宋体"/>
          <w:position w:val="-20"/>
          <w:sz w:val="24"/>
          <w:szCs w:val="24"/>
        </w:rPr>
        <w:t>0.16</w:t>
      </w:r>
      <w:r>
        <w:rPr>
          <w:rFonts w:ascii="华文宋体" w:hAnsi="华文宋体" w:hint="eastAsia"/>
          <w:position w:val="-20"/>
          <w:sz w:val="24"/>
          <w:szCs w:val="24"/>
        </w:rPr>
        <w:t>。</w:t>
      </w:r>
    </w:p>
    <w:p w14:paraId="5DB0B53D"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3.17 滴水架：采用广州博朗品牌（BRLON）依据GB/T 6040-2019ATR对滴水</w:t>
      </w:r>
      <w:proofErr w:type="gramStart"/>
      <w:r>
        <w:rPr>
          <w:rFonts w:ascii="华文宋体" w:hAnsi="华文宋体" w:hint="eastAsia"/>
          <w:position w:val="-20"/>
          <w:sz w:val="24"/>
          <w:szCs w:val="24"/>
        </w:rPr>
        <w:t>架原料</w:t>
      </w:r>
      <w:proofErr w:type="gramEnd"/>
      <w:r>
        <w:rPr>
          <w:rFonts w:ascii="华文宋体" w:hAnsi="华文宋体" w:hint="eastAsia"/>
          <w:position w:val="-20"/>
          <w:sz w:val="24"/>
          <w:szCs w:val="24"/>
        </w:rPr>
        <w:t>测试，检测结果材质为聚丙烯/聚苯乙烯（PP/PS）。</w:t>
      </w:r>
    </w:p>
    <w:p w14:paraId="6BE7AF09"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3.17.1 所有</w:t>
      </w:r>
      <w:proofErr w:type="gramStart"/>
      <w:r>
        <w:rPr>
          <w:rFonts w:ascii="华文宋体" w:hAnsi="华文宋体" w:hint="eastAsia"/>
          <w:position w:val="-20"/>
          <w:sz w:val="24"/>
          <w:szCs w:val="24"/>
        </w:rPr>
        <w:t>滴水棒均以</w:t>
      </w:r>
      <w:proofErr w:type="gramEnd"/>
      <w:r>
        <w:rPr>
          <w:rFonts w:ascii="华文宋体" w:hAnsi="华文宋体" w:hint="eastAsia"/>
          <w:position w:val="-20"/>
          <w:sz w:val="24"/>
          <w:szCs w:val="24"/>
        </w:rPr>
        <w:t>35 度~45 度仰角安装，以方便器皿稳固吊放。采用PP 材质一体成型，可拆卸，具有锁扣功能，方便使用;</w:t>
      </w:r>
    </w:p>
    <w:p w14:paraId="76E2BB8D"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 xml:space="preserve">3.17.2 </w:t>
      </w:r>
      <w:proofErr w:type="gramStart"/>
      <w:r>
        <w:rPr>
          <w:rFonts w:ascii="华文宋体" w:hAnsi="华文宋体" w:hint="eastAsia"/>
          <w:position w:val="-20"/>
          <w:sz w:val="24"/>
          <w:szCs w:val="24"/>
        </w:rPr>
        <w:t>滴水棒卡扣</w:t>
      </w:r>
      <w:proofErr w:type="gramEnd"/>
      <w:r>
        <w:rPr>
          <w:rFonts w:ascii="华文宋体" w:hAnsi="华文宋体" w:hint="eastAsia"/>
          <w:position w:val="-20"/>
          <w:sz w:val="24"/>
          <w:szCs w:val="24"/>
        </w:rPr>
        <w:t>设计为嵌入式，可拆卸，安装简便，插好后不易脱落，左右摇晃&lt;1mm。</w:t>
      </w:r>
    </w:p>
    <w:p w14:paraId="0F723D06"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3.17.3 依据GB/T1043.1-2008标准检测：常温，摆锤：0.5J，跨距62mm，简支梁缺口冲击强度（0.5J第一次冲击）：10.1N KJ/m2（不破坏）；简支梁缺口冲击强度（0.5J第二次冲击）：10.9P KJ/m2（小部分破坏）；简支梁缺口冲击强度（0.5J第三次冲击）：12.1P KJ/m2（部分破坏）；</w:t>
      </w:r>
    </w:p>
    <w:p w14:paraId="159E7452"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3.17.4 架杆检测:架杆定位牢固，无上下松动现，架杆有效长度:10mm+2mm，能承受25N</w:t>
      </w:r>
      <w:proofErr w:type="gramStart"/>
      <w:r>
        <w:rPr>
          <w:rFonts w:ascii="华文宋体" w:hAnsi="华文宋体" w:hint="eastAsia"/>
          <w:position w:val="-20"/>
          <w:sz w:val="24"/>
          <w:szCs w:val="24"/>
        </w:rPr>
        <w:t>挂重</w:t>
      </w:r>
      <w:proofErr w:type="gramEnd"/>
      <w:r>
        <w:rPr>
          <w:rFonts w:ascii="华文宋体" w:hAnsi="华文宋体" w:hint="eastAsia"/>
          <w:position w:val="-20"/>
          <w:sz w:val="24"/>
          <w:szCs w:val="24"/>
        </w:rPr>
        <w:t>2h。无明显变形和脱落、断裂等影响使用的后果。面板中心处经不小于 110N。</w:t>
      </w:r>
    </w:p>
    <w:p w14:paraId="099ABC5D"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3.17.5 抗菌活性检测，检测结果：铜绿假单胞菌≥ 6.2、 鼠伤寒沙门氏菌≥6.1、枯草芽孢杆菌≥5.1。 非光催化抗病毒活性值，检测结果： ≥2.60。</w:t>
      </w:r>
    </w:p>
    <w:p w14:paraId="25B9640D"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3.17.6 拉伸强度：依据GB/T 1040.2-2022标准要求：试样狭窄部分宽度≥9.949mm，试样厚度≤5mm，测试速度≤50mm/min，</w:t>
      </w:r>
      <w:proofErr w:type="gramStart"/>
      <w:r>
        <w:rPr>
          <w:rFonts w:ascii="华文宋体" w:hAnsi="华文宋体" w:hint="eastAsia"/>
          <w:position w:val="-20"/>
          <w:sz w:val="24"/>
          <w:szCs w:val="24"/>
        </w:rPr>
        <w:t>标距</w:t>
      </w:r>
      <w:proofErr w:type="gramEnd"/>
      <w:r>
        <w:rPr>
          <w:rFonts w:ascii="华文宋体" w:hAnsi="华文宋体" w:hint="eastAsia"/>
          <w:position w:val="-20"/>
          <w:sz w:val="24"/>
          <w:szCs w:val="24"/>
        </w:rPr>
        <w:t>≥50mm，检测结果值</w:t>
      </w:r>
      <w:r>
        <w:rPr>
          <w:rFonts w:ascii="华文宋体" w:hAnsi="华文宋体" w:hint="eastAsia"/>
          <w:position w:val="-20"/>
          <w:sz w:val="24"/>
          <w:szCs w:val="24"/>
        </w:rPr>
        <w:lastRenderedPageBreak/>
        <w:t>≥32MPa。</w:t>
      </w:r>
    </w:p>
    <w:p w14:paraId="36B9BAC3" w14:textId="77777777" w:rsidR="00271A7A" w:rsidRDefault="00953C74" w:rsidP="00773DA5">
      <w:pPr>
        <w:spacing w:line="360" w:lineRule="auto"/>
        <w:ind w:firstLineChars="200" w:firstLine="480"/>
        <w:jc w:val="both"/>
        <w:rPr>
          <w:rFonts w:ascii="华文宋体" w:hAnsi="华文宋体"/>
          <w:position w:val="-20"/>
          <w:sz w:val="24"/>
          <w:szCs w:val="24"/>
        </w:rPr>
      </w:pPr>
      <w:bookmarkStart w:id="5" w:name="OLE_LINK15"/>
      <w:bookmarkStart w:id="6" w:name="OLE_LINK16"/>
      <w:r>
        <w:rPr>
          <w:rFonts w:ascii="华文宋体" w:hAnsi="华文宋体" w:hint="eastAsia"/>
          <w:position w:val="-20"/>
          <w:sz w:val="24"/>
          <w:szCs w:val="24"/>
        </w:rPr>
        <w:t>3.17.7</w:t>
      </w:r>
      <w:bookmarkEnd w:id="5"/>
      <w:bookmarkEnd w:id="6"/>
      <w:r>
        <w:rPr>
          <w:rFonts w:ascii="华文宋体" w:hAnsi="华文宋体" w:hint="eastAsia"/>
          <w:position w:val="-20"/>
          <w:sz w:val="24"/>
          <w:szCs w:val="24"/>
        </w:rPr>
        <w:t xml:space="preserve"> 有害物质限量:产品根据 GB/T35607-2024 《绿色产品评价家具》及 GB 28481-2012 《塑料家具中的有害物质限量》标准进行测试，苯:≤0.05mg/;甲醛释放量:≤0.05mg/m、苯:&lt;0.05mg/m'、甲苯:≤0.1mg/m2、二甲苯含量≤0.1mg/m ，总挥发性有机化合物≤0.3mg/m';铅(Pb):&lt;90mg/kg、镉(Cd):&lt;50mg/kg、铬(Cr):&lt;25mg/kg、汞(Hg):&lt;25mg/kg、砷(As):≤25mg/kg、钡(Ba):≤1000mg/kg、锑(sb):≤60mg/kg、硒(Se):≤500mg/kg、苯并[a]</w:t>
      </w:r>
      <w:proofErr w:type="gramStart"/>
      <w:r>
        <w:rPr>
          <w:rFonts w:ascii="华文宋体" w:hAnsi="华文宋体" w:hint="eastAsia"/>
          <w:position w:val="-20"/>
          <w:sz w:val="24"/>
          <w:szCs w:val="24"/>
        </w:rPr>
        <w:t>芘</w:t>
      </w:r>
      <w:proofErr w:type="gramEnd"/>
      <w:r>
        <w:rPr>
          <w:rFonts w:ascii="华文宋体" w:hAnsi="华文宋体" w:hint="eastAsia"/>
          <w:position w:val="-20"/>
          <w:sz w:val="24"/>
          <w:szCs w:val="24"/>
        </w:rPr>
        <w:t>、:≤0.5mg/kg、16 种多环芳烃(PAHD)总量:≤10mg/kg、邻苯二甲酸酯含量:≤10mg/kg、多溴联苯含量:≤1000mg/kg、多溴二苯醚含量:≤1000mg/kg。</w:t>
      </w:r>
    </w:p>
    <w:p w14:paraId="2176C84B" w14:textId="77777777" w:rsidR="00271A7A" w:rsidRDefault="00953C74" w:rsidP="00773DA5">
      <w:pPr>
        <w:widowControl/>
        <w:spacing w:line="360" w:lineRule="auto"/>
        <w:ind w:firstLineChars="200" w:firstLine="480"/>
        <w:jc w:val="both"/>
        <w:rPr>
          <w:rFonts w:ascii="华文宋体" w:hAnsi="华文宋体"/>
          <w:sz w:val="24"/>
          <w:szCs w:val="24"/>
        </w:rPr>
      </w:pPr>
      <w:r>
        <w:rPr>
          <w:rFonts w:ascii="华文宋体" w:hAnsi="华文宋体" w:hint="eastAsia"/>
          <w:sz w:val="24"/>
          <w:szCs w:val="24"/>
        </w:rPr>
        <w:t>4、实验试剂架</w:t>
      </w:r>
    </w:p>
    <w:p w14:paraId="48E416B3"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按需求配置单面型或双面型两种式样以方便中央台及边台使用。采用经环氧树脂喷涂钢制层板，高度可调，并配有挡条，</w:t>
      </w:r>
      <w:proofErr w:type="gramStart"/>
      <w:r>
        <w:rPr>
          <w:rFonts w:ascii="华文宋体" w:hAnsi="华文宋体" w:hint="eastAsia"/>
          <w:position w:val="-20"/>
          <w:sz w:val="24"/>
          <w:szCs w:val="24"/>
        </w:rPr>
        <w:t>挡条采用</w:t>
      </w:r>
      <w:proofErr w:type="gramEnd"/>
      <w:r>
        <w:rPr>
          <w:rFonts w:ascii="华文宋体" w:hAnsi="华文宋体" w:hint="eastAsia"/>
          <w:position w:val="-20"/>
          <w:sz w:val="24"/>
          <w:szCs w:val="24"/>
        </w:rPr>
        <w:t>折弯支撑，经环氧树脂喷涂，可根据设计进行调色处理。钢架部分：采用2.0mm厚鞍钢冷轧钢板为基材，折弯、焊接、冲孔而成，所有外露的焊缝均抛光处理，光滑不伤手。每10mm有一调节孔位，表面经磷化、酸洗、电泳、均匀，环氧树脂喷涂，环氧树脂采用阿克苏诺贝尔&lt;Akzo Nobel&gt;公司产品，化学防锈处理，耐酸碱腐蚀。</w:t>
      </w:r>
    </w:p>
    <w:p w14:paraId="41E870DF" w14:textId="77777777" w:rsidR="00271A7A" w:rsidRDefault="00953C74" w:rsidP="00773DA5">
      <w:pPr>
        <w:spacing w:line="360" w:lineRule="auto"/>
        <w:ind w:firstLineChars="200" w:firstLine="480"/>
        <w:jc w:val="both"/>
        <w:rPr>
          <w:rFonts w:ascii="华文宋体" w:hAnsi="华文宋体"/>
          <w:sz w:val="24"/>
          <w:szCs w:val="24"/>
        </w:rPr>
      </w:pPr>
      <w:r>
        <w:rPr>
          <w:rFonts w:ascii="华文宋体" w:hAnsi="华文宋体" w:hint="eastAsia"/>
          <w:b/>
          <w:bCs/>
          <w:position w:val="-20"/>
          <w:sz w:val="24"/>
          <w:szCs w:val="24"/>
        </w:rPr>
        <w:t>厂家需提供GB/T 24820-2024进行检验的试剂架检测报告。</w:t>
      </w:r>
    </w:p>
    <w:p w14:paraId="0FC34CAF" w14:textId="77777777" w:rsidR="00271A7A" w:rsidRDefault="00953C74" w:rsidP="00773DA5">
      <w:pPr>
        <w:widowControl/>
        <w:spacing w:line="360" w:lineRule="auto"/>
        <w:ind w:firstLineChars="200" w:firstLine="480"/>
        <w:jc w:val="both"/>
        <w:rPr>
          <w:rFonts w:ascii="华文宋体" w:hAnsi="华文宋体"/>
          <w:sz w:val="24"/>
          <w:szCs w:val="24"/>
        </w:rPr>
      </w:pPr>
      <w:r>
        <w:rPr>
          <w:rFonts w:ascii="华文宋体" w:hAnsi="华文宋体" w:hint="eastAsia"/>
          <w:sz w:val="24"/>
          <w:szCs w:val="24"/>
        </w:rPr>
        <w:t>5、全钢吊柜</w:t>
      </w:r>
    </w:p>
    <w:p w14:paraId="4436E5D4"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5.1 柜体：</w:t>
      </w:r>
      <w:r>
        <w:rPr>
          <w:rFonts w:ascii="华文宋体" w:hAnsi="华文宋体" w:hint="eastAsia"/>
          <w:b/>
          <w:bCs/>
          <w:position w:val="-20"/>
          <w:sz w:val="24"/>
          <w:szCs w:val="24"/>
        </w:rPr>
        <w:t>鞍钢冷轧钢(</w:t>
      </w:r>
      <w:proofErr w:type="gramStart"/>
      <w:r>
        <w:rPr>
          <w:rFonts w:ascii="华文宋体" w:hAnsi="华文宋体" w:hint="eastAsia"/>
          <w:b/>
          <w:bCs/>
          <w:position w:val="-20"/>
          <w:sz w:val="24"/>
          <w:szCs w:val="24"/>
        </w:rPr>
        <w:t>盒板</w:t>
      </w:r>
      <w:proofErr w:type="gramEnd"/>
      <w:r>
        <w:rPr>
          <w:rFonts w:ascii="华文宋体" w:hAnsi="华文宋体" w:hint="eastAsia"/>
          <w:b/>
          <w:bCs/>
          <w:position w:val="-20"/>
          <w:sz w:val="24"/>
          <w:szCs w:val="24"/>
        </w:rPr>
        <w:t>)</w:t>
      </w:r>
      <w:r>
        <w:rPr>
          <w:rFonts w:ascii="华文宋体" w:hAnsi="华文宋体" w:hint="eastAsia"/>
          <w:position w:val="-20"/>
          <w:sz w:val="24"/>
          <w:szCs w:val="24"/>
        </w:rPr>
        <w:t>，钢板,厚度为1.0mm，防化、防潮、耐高温以及耐磨，柜体侧面和背面为一整块钢板折弯而成，增加柜体承重能力，300mm深度，使用4.54KG的沙包在柜底、每层搁板和</w:t>
      </w:r>
      <w:proofErr w:type="gramStart"/>
      <w:r>
        <w:rPr>
          <w:rFonts w:ascii="华文宋体" w:hAnsi="华文宋体" w:hint="eastAsia"/>
          <w:position w:val="-20"/>
          <w:sz w:val="24"/>
          <w:szCs w:val="24"/>
        </w:rPr>
        <w:t>柜顶</w:t>
      </w:r>
      <w:proofErr w:type="gramEnd"/>
      <w:r>
        <w:rPr>
          <w:rFonts w:ascii="华文宋体" w:hAnsi="华文宋体" w:hint="eastAsia"/>
          <w:position w:val="-20"/>
          <w:sz w:val="24"/>
          <w:szCs w:val="24"/>
        </w:rPr>
        <w:t>上均匀加载，最大加载至90.72KG且柜体的最大加载不超过272.16KG。表面均经静电及磷化处理，环氧</w:t>
      </w:r>
      <w:r>
        <w:rPr>
          <w:rFonts w:ascii="华文宋体" w:hAnsi="华文宋体" w:hint="eastAsia"/>
          <w:position w:val="-20"/>
          <w:sz w:val="24"/>
          <w:szCs w:val="24"/>
        </w:rPr>
        <w:lastRenderedPageBreak/>
        <w:t>树脂喷涂，环氧树脂为阿克苏诺贝尔&lt;Akzo Nobel&gt;公司产品，喷涂厚度≥75μm。柜体为独立的、可拆装结构。各个柜体可以单独或组合使用。</w:t>
      </w:r>
    </w:p>
    <w:p w14:paraId="56BB965A"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5.2 柜门/抽屉面板：材料同柜体，双层设计，中间填充有</w:t>
      </w:r>
      <w:r>
        <w:rPr>
          <w:rFonts w:ascii="华文宋体" w:hAnsi="华文宋体" w:hint="eastAsia"/>
          <w:b/>
          <w:color w:val="000000" w:themeColor="text1"/>
          <w:position w:val="-20"/>
          <w:sz w:val="24"/>
          <w:szCs w:val="24"/>
        </w:rPr>
        <w:t>防火</w:t>
      </w:r>
      <w:r>
        <w:rPr>
          <w:rFonts w:ascii="华文宋体" w:hAnsi="华文宋体" w:hint="eastAsia"/>
          <w:position w:val="-20"/>
          <w:sz w:val="24"/>
          <w:szCs w:val="24"/>
        </w:rPr>
        <w:t>隔音材料，柜门内侧装有防撞贴。</w:t>
      </w:r>
    </w:p>
    <w:p w14:paraId="65EDA083"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5.3 门铰/合页：开启角度大于180度，316不锈钢，5节式。每个合页用</w:t>
      </w:r>
      <w:r>
        <w:rPr>
          <w:rFonts w:ascii="华文宋体" w:hAnsi="华文宋体" w:hint="eastAsia"/>
          <w:b/>
          <w:color w:val="000000" w:themeColor="text1"/>
          <w:position w:val="-20"/>
          <w:sz w:val="24"/>
          <w:szCs w:val="24"/>
        </w:rPr>
        <w:t>6个</w:t>
      </w:r>
      <w:r>
        <w:rPr>
          <w:rFonts w:ascii="华文宋体" w:hAnsi="华文宋体" w:hint="eastAsia"/>
          <w:position w:val="-20"/>
          <w:sz w:val="24"/>
          <w:szCs w:val="24"/>
        </w:rPr>
        <w:t>不锈钢螺丝与门板及底柜相固定；可拆卸，非焊接结构。</w:t>
      </w:r>
    </w:p>
    <w:p w14:paraId="58279CB8"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5.4 抽屉和拉门把手：316</w:t>
      </w:r>
      <w:r>
        <w:rPr>
          <w:rFonts w:ascii="华文宋体" w:hAnsi="华文宋体"/>
          <w:position w:val="-20"/>
          <w:sz w:val="24"/>
          <w:szCs w:val="24"/>
        </w:rPr>
        <w:t>亚光拉丝长条拉手</w:t>
      </w:r>
      <w:r>
        <w:rPr>
          <w:rFonts w:ascii="华文宋体" w:hAnsi="华文宋体" w:hint="eastAsia"/>
          <w:position w:val="-20"/>
          <w:sz w:val="24"/>
          <w:szCs w:val="24"/>
        </w:rPr>
        <w:t>，</w:t>
      </w:r>
      <w:r>
        <w:rPr>
          <w:rFonts w:ascii="华文宋体" w:hAnsi="华文宋体"/>
          <w:position w:val="-20"/>
          <w:sz w:val="24"/>
          <w:szCs w:val="24"/>
        </w:rPr>
        <w:t>美观</w:t>
      </w:r>
      <w:r>
        <w:rPr>
          <w:rFonts w:ascii="华文宋体" w:hAnsi="华文宋体" w:hint="eastAsia"/>
          <w:position w:val="-20"/>
          <w:sz w:val="24"/>
          <w:szCs w:val="24"/>
        </w:rPr>
        <w:t>，</w:t>
      </w:r>
      <w:r>
        <w:rPr>
          <w:rFonts w:ascii="华文宋体" w:hAnsi="华文宋体"/>
          <w:position w:val="-20"/>
          <w:sz w:val="24"/>
          <w:szCs w:val="24"/>
        </w:rPr>
        <w:t>耐用，不伤手。</w:t>
      </w:r>
    </w:p>
    <w:p w14:paraId="211E5554"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5.5 门吸：可调整高度式，尼龙嵌入式门吸。</w:t>
      </w:r>
    </w:p>
    <w:p w14:paraId="2575CDF7" w14:textId="77777777" w:rsidR="00271A7A" w:rsidRDefault="00953C74" w:rsidP="00773DA5">
      <w:pPr>
        <w:spacing w:line="360" w:lineRule="auto"/>
        <w:ind w:firstLineChars="200" w:firstLine="480"/>
        <w:jc w:val="both"/>
        <w:rPr>
          <w:rFonts w:ascii="华文宋体" w:hAnsi="华文宋体"/>
          <w:sz w:val="24"/>
          <w:szCs w:val="24"/>
        </w:rPr>
      </w:pPr>
      <w:r>
        <w:rPr>
          <w:rFonts w:ascii="华文宋体" w:hAnsi="华文宋体" w:hint="eastAsia"/>
          <w:position w:val="-20"/>
          <w:sz w:val="24"/>
          <w:szCs w:val="24"/>
        </w:rPr>
        <w:t>5.6 层板：材料同柜体，所有带柜门的实验柜具内置活动层板，每20mm可自由上下调节高度，层板由4个</w:t>
      </w:r>
      <w:r>
        <w:rPr>
          <w:rFonts w:ascii="华文宋体" w:hAnsi="华文宋体" w:hint="eastAsia"/>
          <w:color w:val="000000" w:themeColor="text1"/>
          <w:position w:val="-20"/>
          <w:sz w:val="24"/>
          <w:szCs w:val="24"/>
        </w:rPr>
        <w:t>不锈钢</w:t>
      </w:r>
      <w:r>
        <w:rPr>
          <w:rFonts w:ascii="华文宋体" w:hAnsi="华文宋体" w:hint="eastAsia"/>
          <w:position w:val="-20"/>
          <w:sz w:val="24"/>
          <w:szCs w:val="24"/>
        </w:rPr>
        <w:t>钢制层板扣支撑，承重为40Kg以上。与柜体同色。</w:t>
      </w:r>
    </w:p>
    <w:p w14:paraId="239D393A"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6、全钢药品柜/气瓶柜；</w:t>
      </w:r>
    </w:p>
    <w:p w14:paraId="0F3BADB8"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6.1 柜体：采用鞍钢冷轧钢板(</w:t>
      </w:r>
      <w:proofErr w:type="gramStart"/>
      <w:r>
        <w:rPr>
          <w:rFonts w:ascii="华文宋体" w:hAnsi="华文宋体" w:hint="eastAsia"/>
          <w:position w:val="-20"/>
          <w:sz w:val="24"/>
          <w:szCs w:val="24"/>
        </w:rPr>
        <w:t>盒板</w:t>
      </w:r>
      <w:proofErr w:type="gramEnd"/>
      <w:r>
        <w:rPr>
          <w:rFonts w:ascii="华文宋体" w:hAnsi="华文宋体" w:hint="eastAsia"/>
          <w:position w:val="-20"/>
          <w:sz w:val="24"/>
          <w:szCs w:val="24"/>
        </w:rPr>
        <w:t>)，钢板厚度为1.0mm，防化、防潮、耐高温以及耐磨，柜体侧面和背面为一整块钢板折弯而成，增加柜体承重能力，</w:t>
      </w:r>
      <w:r>
        <w:rPr>
          <w:rFonts w:ascii="华文宋体" w:hAnsi="华文宋体" w:hint="eastAsia"/>
          <w:color w:val="000000" w:themeColor="text1"/>
          <w:position w:val="-20"/>
          <w:sz w:val="24"/>
          <w:szCs w:val="24"/>
        </w:rPr>
        <w:t>500mm深度。</w:t>
      </w:r>
      <w:r>
        <w:rPr>
          <w:rFonts w:ascii="华文宋体" w:hAnsi="华文宋体" w:hint="eastAsia"/>
          <w:position w:val="-20"/>
          <w:sz w:val="24"/>
          <w:szCs w:val="24"/>
        </w:rPr>
        <w:t>表面均经静电及磷化处理，环氧树脂喷涂，环氧树脂采用阿克苏诺贝尔&lt;Akzo Nobel&gt;公司产品，喷涂厚度≥75μm。柜体为独立的、可拆装结构。各个柜体可以单独或组合使用。</w:t>
      </w:r>
    </w:p>
    <w:p w14:paraId="11D33DD6"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6.2 柜门面板：材料同柜体，双层设计，中间填充有隔音材料，柜门内侧装有防撞贴。可根据要求加锁。</w:t>
      </w:r>
      <w:r>
        <w:rPr>
          <w:rFonts w:ascii="华文宋体" w:hAnsi="华文宋体"/>
          <w:position w:val="-20"/>
          <w:sz w:val="24"/>
          <w:szCs w:val="24"/>
        </w:rPr>
        <w:t>柜门：</w:t>
      </w:r>
      <w:proofErr w:type="gramStart"/>
      <w:r>
        <w:rPr>
          <w:rFonts w:ascii="华文宋体" w:hAnsi="华文宋体"/>
          <w:position w:val="-20"/>
          <w:sz w:val="24"/>
          <w:szCs w:val="24"/>
        </w:rPr>
        <w:t>上</w:t>
      </w:r>
      <w:r>
        <w:rPr>
          <w:rFonts w:ascii="华文宋体" w:hAnsi="华文宋体" w:hint="eastAsia"/>
          <w:position w:val="-20"/>
          <w:sz w:val="24"/>
          <w:szCs w:val="24"/>
        </w:rPr>
        <w:t>部双</w:t>
      </w:r>
      <w:proofErr w:type="gramEnd"/>
      <w:r>
        <w:rPr>
          <w:rFonts w:ascii="华文宋体" w:hAnsi="华文宋体" w:hint="eastAsia"/>
          <w:position w:val="-20"/>
          <w:sz w:val="24"/>
          <w:szCs w:val="24"/>
        </w:rPr>
        <w:t>钢制</w:t>
      </w:r>
      <w:r>
        <w:rPr>
          <w:rFonts w:ascii="华文宋体" w:hAnsi="华文宋体" w:hint="eastAsia"/>
          <w:color w:val="000000" w:themeColor="text1"/>
          <w:position w:val="-20"/>
          <w:sz w:val="24"/>
          <w:szCs w:val="24"/>
        </w:rPr>
        <w:t>安全玻璃材质玻璃</w:t>
      </w:r>
      <w:r>
        <w:rPr>
          <w:rFonts w:ascii="华文宋体" w:hAnsi="华文宋体"/>
          <w:color w:val="000000" w:themeColor="text1"/>
          <w:position w:val="-20"/>
          <w:sz w:val="24"/>
          <w:szCs w:val="24"/>
        </w:rPr>
        <w:t>门</w:t>
      </w:r>
      <w:r>
        <w:rPr>
          <w:rFonts w:ascii="华文宋体" w:hAnsi="华文宋体"/>
          <w:position w:val="-20"/>
          <w:sz w:val="24"/>
          <w:szCs w:val="24"/>
        </w:rPr>
        <w:t>、</w:t>
      </w:r>
      <w:proofErr w:type="gramStart"/>
      <w:r>
        <w:rPr>
          <w:rFonts w:ascii="华文宋体" w:hAnsi="华文宋体"/>
          <w:position w:val="-20"/>
          <w:sz w:val="24"/>
          <w:szCs w:val="24"/>
        </w:rPr>
        <w:t>下</w:t>
      </w:r>
      <w:r>
        <w:rPr>
          <w:rFonts w:ascii="华文宋体" w:hAnsi="华文宋体" w:hint="eastAsia"/>
          <w:position w:val="-20"/>
          <w:sz w:val="24"/>
          <w:szCs w:val="24"/>
        </w:rPr>
        <w:t>部</w:t>
      </w:r>
      <w:proofErr w:type="gramEnd"/>
      <w:r>
        <w:rPr>
          <w:rFonts w:ascii="华文宋体" w:hAnsi="华文宋体" w:hint="eastAsia"/>
          <w:position w:val="-20"/>
          <w:sz w:val="24"/>
          <w:szCs w:val="24"/>
        </w:rPr>
        <w:t>双</w:t>
      </w:r>
      <w:r>
        <w:rPr>
          <w:rFonts w:ascii="华文宋体" w:hAnsi="华文宋体"/>
          <w:position w:val="-20"/>
          <w:sz w:val="24"/>
          <w:szCs w:val="24"/>
        </w:rPr>
        <w:t>钢</w:t>
      </w:r>
      <w:r>
        <w:rPr>
          <w:rFonts w:ascii="华文宋体" w:hAnsi="华文宋体" w:hint="eastAsia"/>
          <w:position w:val="-20"/>
          <w:sz w:val="24"/>
          <w:szCs w:val="24"/>
        </w:rPr>
        <w:t>制</w:t>
      </w:r>
      <w:r>
        <w:rPr>
          <w:rFonts w:ascii="华文宋体" w:hAnsi="华文宋体"/>
          <w:position w:val="-20"/>
          <w:sz w:val="24"/>
          <w:szCs w:val="24"/>
        </w:rPr>
        <w:t>门。</w:t>
      </w:r>
    </w:p>
    <w:p w14:paraId="740777F5"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6.3 门铰/合页：开启角度大于180度，316不锈钢，5节式。每个柜门为3个合页，每个合页用</w:t>
      </w:r>
      <w:r>
        <w:rPr>
          <w:rFonts w:ascii="华文宋体" w:hAnsi="华文宋体" w:hint="eastAsia"/>
          <w:b/>
          <w:color w:val="000000" w:themeColor="text1"/>
          <w:position w:val="-20"/>
          <w:sz w:val="24"/>
          <w:szCs w:val="24"/>
        </w:rPr>
        <w:t>6个</w:t>
      </w:r>
      <w:r>
        <w:rPr>
          <w:rFonts w:ascii="华文宋体" w:hAnsi="华文宋体" w:hint="eastAsia"/>
          <w:position w:val="-20"/>
          <w:sz w:val="24"/>
          <w:szCs w:val="24"/>
        </w:rPr>
        <w:t>不锈钢螺丝与门板及底柜相固定；可拆卸，非焊接结构。</w:t>
      </w:r>
    </w:p>
    <w:p w14:paraId="062051A5"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lastRenderedPageBreak/>
        <w:t>6.4 拉门把手：316</w:t>
      </w:r>
      <w:r>
        <w:rPr>
          <w:rFonts w:ascii="华文宋体" w:hAnsi="华文宋体"/>
          <w:position w:val="-20"/>
          <w:sz w:val="24"/>
          <w:szCs w:val="24"/>
        </w:rPr>
        <w:t>亚光拉丝长条拉手,美观,耐用，不伤手。</w:t>
      </w:r>
    </w:p>
    <w:p w14:paraId="2D347792"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6.5 门吸：可调整高度式，尼龙嵌入式门吸。</w:t>
      </w:r>
    </w:p>
    <w:p w14:paraId="3AE0E14D" w14:textId="77777777" w:rsidR="00271A7A" w:rsidRDefault="00953C74" w:rsidP="00773DA5">
      <w:pPr>
        <w:spacing w:line="360" w:lineRule="auto"/>
        <w:ind w:firstLineChars="200" w:firstLine="480"/>
        <w:jc w:val="both"/>
        <w:rPr>
          <w:rFonts w:ascii="华文宋体" w:hAnsi="华文宋体"/>
          <w:b/>
          <w:bCs/>
          <w:position w:val="-20"/>
          <w:sz w:val="24"/>
          <w:szCs w:val="24"/>
        </w:rPr>
      </w:pPr>
      <w:r>
        <w:rPr>
          <w:rFonts w:ascii="华文宋体" w:hAnsi="华文宋体" w:hint="eastAsia"/>
          <w:position w:val="-20"/>
          <w:sz w:val="24"/>
          <w:szCs w:val="24"/>
        </w:rPr>
        <w:t>6.6 层板：材料同柜体，所有带柜门的实验柜具内置活动层板，每20mm可自由上下调节高度，层板由4个钢制层板扣支撑，承重为40Kg以上。与柜体同色。</w:t>
      </w:r>
      <w:r>
        <w:rPr>
          <w:rFonts w:ascii="华文宋体" w:hAnsi="华文宋体" w:hint="eastAsia"/>
          <w:b/>
          <w:bCs/>
          <w:position w:val="-20"/>
          <w:sz w:val="24"/>
          <w:szCs w:val="24"/>
        </w:rPr>
        <w:t>厂家需提供GB/T 24820-2024进行检验的全钢</w:t>
      </w:r>
      <w:r w:rsidRPr="003E15A4">
        <w:rPr>
          <w:rFonts w:ascii="华文宋体" w:hAnsi="华文宋体" w:hint="eastAsia"/>
          <w:b/>
          <w:bCs/>
          <w:position w:val="-20"/>
          <w:sz w:val="24"/>
          <w:szCs w:val="24"/>
        </w:rPr>
        <w:t>药品柜</w:t>
      </w:r>
      <w:r>
        <w:rPr>
          <w:rFonts w:ascii="华文宋体" w:hAnsi="华文宋体" w:hint="eastAsia"/>
          <w:b/>
          <w:bCs/>
          <w:position w:val="-20"/>
          <w:sz w:val="24"/>
          <w:szCs w:val="24"/>
        </w:rPr>
        <w:t>检测报告。</w:t>
      </w:r>
    </w:p>
    <w:p w14:paraId="3A41A77C"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6.7 柜门带锁，带标签插位</w:t>
      </w:r>
    </w:p>
    <w:p w14:paraId="2E3346BF"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7、钢架台</w:t>
      </w:r>
    </w:p>
    <w:p w14:paraId="017D189A"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7.1 台面材质同实验台。</w:t>
      </w:r>
    </w:p>
    <w:p w14:paraId="2691C60E"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7.2 钢架</w:t>
      </w:r>
      <w:proofErr w:type="gramStart"/>
      <w:r>
        <w:rPr>
          <w:rFonts w:ascii="华文宋体" w:hAnsi="华文宋体" w:hint="eastAsia"/>
          <w:position w:val="-20"/>
          <w:sz w:val="24"/>
          <w:szCs w:val="24"/>
        </w:rPr>
        <w:t>台结构</w:t>
      </w:r>
      <w:proofErr w:type="gramEnd"/>
      <w:r>
        <w:rPr>
          <w:rFonts w:ascii="华文宋体" w:hAnsi="华文宋体" w:hint="eastAsia"/>
          <w:position w:val="-20"/>
          <w:sz w:val="24"/>
          <w:szCs w:val="24"/>
        </w:rPr>
        <w:t>要求：采用H型承重钢架，可移动柜体结构。</w:t>
      </w:r>
    </w:p>
    <w:p w14:paraId="11B32D53"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7.3 钢架：采用鞍钢40*60mm矩形钢架，厚度2.0mm，下带可调节支撑脚，承重300KG。特殊要求移动钢架台，采用带承重支撑脚及承重轮设计，在需要稳定的情况下可将钢架台手动轻松调至可调脚固定，需移动时提升支撑脚即可移动，承重</w:t>
      </w:r>
      <w:proofErr w:type="gramStart"/>
      <w:r>
        <w:rPr>
          <w:rFonts w:ascii="华文宋体" w:hAnsi="华文宋体" w:hint="eastAsia"/>
          <w:position w:val="-20"/>
          <w:sz w:val="24"/>
          <w:szCs w:val="24"/>
        </w:rPr>
        <w:t>轮每个</w:t>
      </w:r>
      <w:proofErr w:type="gramEnd"/>
      <w:r>
        <w:rPr>
          <w:rFonts w:ascii="华文宋体" w:hAnsi="华文宋体" w:hint="eastAsia"/>
          <w:position w:val="-20"/>
          <w:sz w:val="24"/>
          <w:szCs w:val="24"/>
        </w:rPr>
        <w:t>承重150KG。</w:t>
      </w:r>
    </w:p>
    <w:p w14:paraId="136AA5AE"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8、功能柱</w:t>
      </w:r>
    </w:p>
    <w:p w14:paraId="70A6177D"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采用1.2mm厚鞍钢冷轧钢板，表面均经酸洗磷化处理后，环氧树脂喷涂，环氧树脂采用阿克苏诺贝尔&lt;Akzo Nobel&gt;公司产品。与实验室配套辅助操作实验台设备固定，采用模块化设计，带维修门，方便拆卸维修，并在外部有明显警示标志，内部带分隔，预留各专业安装固定条。功能</w:t>
      </w:r>
      <w:proofErr w:type="gramStart"/>
      <w:r>
        <w:rPr>
          <w:rFonts w:ascii="华文宋体" w:hAnsi="华文宋体" w:hint="eastAsia"/>
          <w:position w:val="-20"/>
          <w:sz w:val="24"/>
          <w:szCs w:val="24"/>
        </w:rPr>
        <w:t>柱配可</w:t>
      </w:r>
      <w:proofErr w:type="gramEnd"/>
      <w:r>
        <w:rPr>
          <w:rFonts w:ascii="华文宋体" w:hAnsi="华文宋体" w:hint="eastAsia"/>
          <w:position w:val="-20"/>
          <w:sz w:val="24"/>
          <w:szCs w:val="24"/>
        </w:rPr>
        <w:t>控制整个实验室配套辅助操作设备用电的急停开关；</w:t>
      </w:r>
      <w:proofErr w:type="gramStart"/>
      <w:r>
        <w:rPr>
          <w:rFonts w:ascii="华文宋体" w:hAnsi="华文宋体" w:hint="eastAsia"/>
          <w:position w:val="-20"/>
          <w:sz w:val="24"/>
          <w:szCs w:val="24"/>
        </w:rPr>
        <w:t>功能柱可延伸</w:t>
      </w:r>
      <w:proofErr w:type="gramEnd"/>
      <w:r>
        <w:rPr>
          <w:rFonts w:ascii="华文宋体" w:hAnsi="华文宋体" w:hint="eastAsia"/>
          <w:position w:val="-20"/>
          <w:sz w:val="24"/>
          <w:szCs w:val="24"/>
        </w:rPr>
        <w:t>至吊顶高度，用于贯穿水、气、电管路，具体高度可根据甲方需求及现场条件而定；功能</w:t>
      </w:r>
      <w:proofErr w:type="gramStart"/>
      <w:r>
        <w:rPr>
          <w:rFonts w:ascii="华文宋体" w:hAnsi="华文宋体" w:hint="eastAsia"/>
          <w:position w:val="-20"/>
          <w:sz w:val="24"/>
          <w:szCs w:val="24"/>
        </w:rPr>
        <w:t>柱要求</w:t>
      </w:r>
      <w:proofErr w:type="gramEnd"/>
      <w:r>
        <w:rPr>
          <w:rFonts w:ascii="华文宋体" w:hAnsi="华文宋体" w:hint="eastAsia"/>
          <w:position w:val="-20"/>
          <w:sz w:val="24"/>
          <w:szCs w:val="24"/>
        </w:rPr>
        <w:t>美观，大方。不影响台面实验的操作。</w:t>
      </w:r>
    </w:p>
    <w:p w14:paraId="63BB654D"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9、货架</w:t>
      </w:r>
    </w:p>
    <w:p w14:paraId="4A8DAB05"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lastRenderedPageBreak/>
        <w:t>基材：优质冷轧钢板鞍钢（盒板）≥1.2mm，经环氧树脂粉末静电喷涂。结构性能：采用40㎜×60㎜×3.0mm冷轧钢板焊接而成，表面经防腐处理后以环氧树脂粉末喷涂；层板承重不小于200kg，可调节，带钢制调整脚。</w:t>
      </w:r>
    </w:p>
    <w:p w14:paraId="256FBA92" w14:textId="77777777" w:rsidR="00271A7A" w:rsidRDefault="00953C74" w:rsidP="00773DA5">
      <w:pPr>
        <w:spacing w:line="360" w:lineRule="auto"/>
        <w:ind w:firstLineChars="200" w:firstLine="480"/>
        <w:jc w:val="both"/>
        <w:rPr>
          <w:rFonts w:ascii="华文宋体" w:hAnsi="华文宋体"/>
          <w:position w:val="-20"/>
          <w:sz w:val="24"/>
          <w:szCs w:val="24"/>
        </w:rPr>
      </w:pPr>
      <w:r>
        <w:rPr>
          <w:rFonts w:ascii="华文宋体" w:hAnsi="华文宋体"/>
          <w:position w:val="-20"/>
          <w:sz w:val="24"/>
          <w:szCs w:val="24"/>
        </w:rPr>
        <w:t>10</w:t>
      </w:r>
      <w:r>
        <w:rPr>
          <w:rFonts w:ascii="华文宋体" w:hAnsi="华文宋体" w:hint="eastAsia"/>
          <w:position w:val="-20"/>
          <w:sz w:val="24"/>
          <w:szCs w:val="24"/>
        </w:rPr>
        <w:t>、万向罩</w:t>
      </w:r>
    </w:p>
    <w:p w14:paraId="2259DAB5" w14:textId="77777777" w:rsidR="00271A7A" w:rsidRDefault="00953C74" w:rsidP="00773DA5">
      <w:pPr>
        <w:widowControl/>
        <w:spacing w:line="360" w:lineRule="auto"/>
        <w:ind w:firstLineChars="200" w:firstLine="480"/>
        <w:jc w:val="both"/>
        <w:rPr>
          <w:rFonts w:ascii="华文宋体" w:hAnsi="华文宋体"/>
          <w:position w:val="-20"/>
          <w:sz w:val="24"/>
          <w:szCs w:val="24"/>
        </w:rPr>
      </w:pPr>
      <w:r>
        <w:rPr>
          <w:rFonts w:ascii="华文宋体" w:hAnsi="华文宋体" w:hint="eastAsia"/>
          <w:position w:val="-20"/>
          <w:sz w:val="24"/>
          <w:szCs w:val="24"/>
        </w:rPr>
        <w:t>采用广州博朗品牌（BRLON）旋转及活动要求：安装在仪器上方，方便使用。360度旋转装置，以固定架为中心最大活动半径为1500mm。关节：共三节，高密度PP材质，易拆卸、重组及清洗。气流控制阀：手动调节外部阀门旋钮，控制进入气流量。</w:t>
      </w:r>
    </w:p>
    <w:p w14:paraId="00C93368" w14:textId="77777777" w:rsidR="00271A7A" w:rsidRDefault="00271A7A">
      <w:pPr>
        <w:spacing w:line="360" w:lineRule="auto"/>
        <w:ind w:firstLineChars="200" w:firstLine="480"/>
        <w:rPr>
          <w:rFonts w:ascii="华文宋体" w:hAnsi="华文宋体"/>
          <w:position w:val="-20"/>
          <w:sz w:val="24"/>
          <w:szCs w:val="24"/>
        </w:rPr>
      </w:pPr>
    </w:p>
    <w:p w14:paraId="465C2F10" w14:textId="77777777" w:rsidR="00271A7A" w:rsidRDefault="00271A7A">
      <w:pPr>
        <w:spacing w:line="360" w:lineRule="auto"/>
        <w:ind w:firstLineChars="200" w:firstLine="480"/>
        <w:rPr>
          <w:rFonts w:ascii="华文宋体" w:hAnsi="华文宋体"/>
          <w:position w:val="-20"/>
          <w:sz w:val="24"/>
          <w:szCs w:val="24"/>
        </w:rPr>
      </w:pPr>
    </w:p>
    <w:p w14:paraId="1E51B062" w14:textId="77777777" w:rsidR="00271A7A" w:rsidRDefault="00271A7A">
      <w:pPr>
        <w:spacing w:line="360" w:lineRule="auto"/>
        <w:ind w:firstLineChars="200" w:firstLine="480"/>
        <w:rPr>
          <w:rFonts w:ascii="华文宋体" w:hAnsi="华文宋体"/>
          <w:position w:val="-20"/>
          <w:sz w:val="24"/>
          <w:szCs w:val="24"/>
        </w:rPr>
      </w:pPr>
    </w:p>
    <w:sectPr w:rsidR="00271A7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9CE4B5" w14:textId="77777777" w:rsidR="00326F31" w:rsidRDefault="00326F31" w:rsidP="00D84536">
      <w:r>
        <w:separator/>
      </w:r>
    </w:p>
  </w:endnote>
  <w:endnote w:type="continuationSeparator" w:id="0">
    <w:p w14:paraId="45F97CAE" w14:textId="77777777" w:rsidR="00326F31" w:rsidRDefault="00326F31" w:rsidP="00D84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华文宋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altName w:val="苹方-简"/>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AEF4C8" w14:textId="77777777" w:rsidR="00326F31" w:rsidRDefault="00326F31" w:rsidP="00D84536">
      <w:r>
        <w:separator/>
      </w:r>
    </w:p>
  </w:footnote>
  <w:footnote w:type="continuationSeparator" w:id="0">
    <w:p w14:paraId="54F5988C" w14:textId="77777777" w:rsidR="00326F31" w:rsidRDefault="00326F31" w:rsidP="00D845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684961"/>
    <w:rsid w:val="ECDFF8F4"/>
    <w:rsid w:val="ECFB9329"/>
    <w:rsid w:val="ED9AC48F"/>
    <w:rsid w:val="EDD9B3E2"/>
    <w:rsid w:val="EDEF7C7C"/>
    <w:rsid w:val="EDFFAF6B"/>
    <w:rsid w:val="EE3FD8CA"/>
    <w:rsid w:val="EE4B0093"/>
    <w:rsid w:val="EE96E0C2"/>
    <w:rsid w:val="EEDA70F9"/>
    <w:rsid w:val="EF563E10"/>
    <w:rsid w:val="EF7878CD"/>
    <w:rsid w:val="EF79E53F"/>
    <w:rsid w:val="EF7F9870"/>
    <w:rsid w:val="EF993C45"/>
    <w:rsid w:val="EFD73EB3"/>
    <w:rsid w:val="EFEE7286"/>
    <w:rsid w:val="EFFFFA80"/>
    <w:rsid w:val="F18F1328"/>
    <w:rsid w:val="F1F7A4B1"/>
    <w:rsid w:val="F23DD061"/>
    <w:rsid w:val="F2F782EA"/>
    <w:rsid w:val="F37F99B0"/>
    <w:rsid w:val="F3F337B6"/>
    <w:rsid w:val="F3FE3B07"/>
    <w:rsid w:val="F3FEF1B9"/>
    <w:rsid w:val="F41D261A"/>
    <w:rsid w:val="F52F5B5F"/>
    <w:rsid w:val="F53C5387"/>
    <w:rsid w:val="F5AD39DB"/>
    <w:rsid w:val="F5FC7615"/>
    <w:rsid w:val="F67F63F5"/>
    <w:rsid w:val="F6AEFB6E"/>
    <w:rsid w:val="F6DFD942"/>
    <w:rsid w:val="F757433B"/>
    <w:rsid w:val="F7B9B105"/>
    <w:rsid w:val="F7D2C2AB"/>
    <w:rsid w:val="F7D7B0E4"/>
    <w:rsid w:val="F7F7876B"/>
    <w:rsid w:val="F7F88269"/>
    <w:rsid w:val="F7FE2247"/>
    <w:rsid w:val="F7FF6E2A"/>
    <w:rsid w:val="F8970500"/>
    <w:rsid w:val="F8FBE40B"/>
    <w:rsid w:val="F9354664"/>
    <w:rsid w:val="F96BADE1"/>
    <w:rsid w:val="F9FD5C29"/>
    <w:rsid w:val="FA77E01D"/>
    <w:rsid w:val="FACF2864"/>
    <w:rsid w:val="FADFA99D"/>
    <w:rsid w:val="FAF37AB3"/>
    <w:rsid w:val="FB5E1B66"/>
    <w:rsid w:val="FB66ABF9"/>
    <w:rsid w:val="FB73B646"/>
    <w:rsid w:val="FB73DED5"/>
    <w:rsid w:val="FB7F74B4"/>
    <w:rsid w:val="FB97CBF2"/>
    <w:rsid w:val="FBED8ADD"/>
    <w:rsid w:val="FBEDE4F1"/>
    <w:rsid w:val="FBF30317"/>
    <w:rsid w:val="FBF3F5DA"/>
    <w:rsid w:val="FBF7AC1C"/>
    <w:rsid w:val="FBFBF386"/>
    <w:rsid w:val="FBFF6703"/>
    <w:rsid w:val="FBFFA069"/>
    <w:rsid w:val="FBFFA6D0"/>
    <w:rsid w:val="FBFFEFBB"/>
    <w:rsid w:val="FCB26D7C"/>
    <w:rsid w:val="FCBBE3F5"/>
    <w:rsid w:val="FCBFE072"/>
    <w:rsid w:val="FCDF31DC"/>
    <w:rsid w:val="FD7F5D05"/>
    <w:rsid w:val="FDB8A764"/>
    <w:rsid w:val="FDF704B8"/>
    <w:rsid w:val="FE393B9D"/>
    <w:rsid w:val="FE562A2C"/>
    <w:rsid w:val="FEB9AD2E"/>
    <w:rsid w:val="FEBEEF7D"/>
    <w:rsid w:val="FEBFA6F6"/>
    <w:rsid w:val="FED75A06"/>
    <w:rsid w:val="FEFD034D"/>
    <w:rsid w:val="FF376DEC"/>
    <w:rsid w:val="FF57B76A"/>
    <w:rsid w:val="FF5E8BDB"/>
    <w:rsid w:val="FF6DF91B"/>
    <w:rsid w:val="FF6FCF84"/>
    <w:rsid w:val="FF77681A"/>
    <w:rsid w:val="FF7C041C"/>
    <w:rsid w:val="FF7D10B7"/>
    <w:rsid w:val="FF7F6C1D"/>
    <w:rsid w:val="FFAF04A0"/>
    <w:rsid w:val="FFBD3CD5"/>
    <w:rsid w:val="FFDB2EFD"/>
    <w:rsid w:val="FFDCE7B7"/>
    <w:rsid w:val="FFDF6A99"/>
    <w:rsid w:val="FFEA7A76"/>
    <w:rsid w:val="FFEE3EF6"/>
    <w:rsid w:val="FFEFF036"/>
    <w:rsid w:val="FFF3CFBE"/>
    <w:rsid w:val="FFF6F8F2"/>
    <w:rsid w:val="FFF7DD76"/>
    <w:rsid w:val="FFF99F9C"/>
    <w:rsid w:val="FFFAA4A7"/>
    <w:rsid w:val="FFFB5C74"/>
    <w:rsid w:val="FFFB7E4F"/>
    <w:rsid w:val="FFFBCC5F"/>
    <w:rsid w:val="FFFC65F2"/>
    <w:rsid w:val="FFFE124E"/>
    <w:rsid w:val="FFFE34AB"/>
    <w:rsid w:val="FFFEC0A6"/>
    <w:rsid w:val="FFFF189D"/>
    <w:rsid w:val="FFFF506C"/>
    <w:rsid w:val="FFFFBDCD"/>
    <w:rsid w:val="00030FAD"/>
    <w:rsid w:val="000317B5"/>
    <w:rsid w:val="00056F5B"/>
    <w:rsid w:val="000B2CC6"/>
    <w:rsid w:val="000D5A68"/>
    <w:rsid w:val="000E2E86"/>
    <w:rsid w:val="001047E8"/>
    <w:rsid w:val="001227EB"/>
    <w:rsid w:val="001E369A"/>
    <w:rsid w:val="00232BFD"/>
    <w:rsid w:val="00244BD0"/>
    <w:rsid w:val="00271A7A"/>
    <w:rsid w:val="00292A07"/>
    <w:rsid w:val="00293EA2"/>
    <w:rsid w:val="00326F31"/>
    <w:rsid w:val="003E15A4"/>
    <w:rsid w:val="003E31D4"/>
    <w:rsid w:val="00546EF6"/>
    <w:rsid w:val="00684961"/>
    <w:rsid w:val="007109AC"/>
    <w:rsid w:val="00773DA5"/>
    <w:rsid w:val="00792172"/>
    <w:rsid w:val="007C2E67"/>
    <w:rsid w:val="007D565D"/>
    <w:rsid w:val="008803FF"/>
    <w:rsid w:val="00934C4C"/>
    <w:rsid w:val="00953C74"/>
    <w:rsid w:val="00961E4D"/>
    <w:rsid w:val="009B457C"/>
    <w:rsid w:val="00A6507F"/>
    <w:rsid w:val="00AF562B"/>
    <w:rsid w:val="00B00F50"/>
    <w:rsid w:val="00C910E8"/>
    <w:rsid w:val="00CC5A40"/>
    <w:rsid w:val="00D028BB"/>
    <w:rsid w:val="00D13EB3"/>
    <w:rsid w:val="00D84536"/>
    <w:rsid w:val="00DF6F62"/>
    <w:rsid w:val="00EA776F"/>
    <w:rsid w:val="00FF441A"/>
    <w:rsid w:val="0BFEAFF5"/>
    <w:rsid w:val="0DBFAB4C"/>
    <w:rsid w:val="0EFE3F3E"/>
    <w:rsid w:val="0F9AC30F"/>
    <w:rsid w:val="0FF93A6A"/>
    <w:rsid w:val="17D202C6"/>
    <w:rsid w:val="1AEB0226"/>
    <w:rsid w:val="1CFFD703"/>
    <w:rsid w:val="1DEDE3C7"/>
    <w:rsid w:val="1F73564A"/>
    <w:rsid w:val="21BBCF52"/>
    <w:rsid w:val="249B9F20"/>
    <w:rsid w:val="25B7CC3A"/>
    <w:rsid w:val="27CB39ED"/>
    <w:rsid w:val="27D08840"/>
    <w:rsid w:val="27FF3E1E"/>
    <w:rsid w:val="2BFD6AF1"/>
    <w:rsid w:val="2CDE373F"/>
    <w:rsid w:val="2DBAF7F9"/>
    <w:rsid w:val="2DDD0323"/>
    <w:rsid w:val="2DDD05F5"/>
    <w:rsid w:val="2EDFF11F"/>
    <w:rsid w:val="2FC75656"/>
    <w:rsid w:val="2FFF7148"/>
    <w:rsid w:val="33CA3007"/>
    <w:rsid w:val="34F9EA11"/>
    <w:rsid w:val="34FFC860"/>
    <w:rsid w:val="36E33A91"/>
    <w:rsid w:val="374F0069"/>
    <w:rsid w:val="37D7DC54"/>
    <w:rsid w:val="37DE1CB7"/>
    <w:rsid w:val="37F12D78"/>
    <w:rsid w:val="3A7789A7"/>
    <w:rsid w:val="3B966159"/>
    <w:rsid w:val="3DDC937D"/>
    <w:rsid w:val="3DDF69E1"/>
    <w:rsid w:val="3DEFAFBB"/>
    <w:rsid w:val="3E359DE1"/>
    <w:rsid w:val="3E9FE526"/>
    <w:rsid w:val="3EB796C8"/>
    <w:rsid w:val="3EF387C7"/>
    <w:rsid w:val="3EFB0A9A"/>
    <w:rsid w:val="3F1D6ACF"/>
    <w:rsid w:val="3F540458"/>
    <w:rsid w:val="3F6BFD81"/>
    <w:rsid w:val="3F7F33DD"/>
    <w:rsid w:val="3F9D252F"/>
    <w:rsid w:val="3FAFA701"/>
    <w:rsid w:val="3FDCF9AA"/>
    <w:rsid w:val="3FF30473"/>
    <w:rsid w:val="3FFED3C9"/>
    <w:rsid w:val="3FFF9242"/>
    <w:rsid w:val="3FFF9605"/>
    <w:rsid w:val="41FFA0C1"/>
    <w:rsid w:val="457FBA69"/>
    <w:rsid w:val="46AFEB58"/>
    <w:rsid w:val="46D74FE5"/>
    <w:rsid w:val="47DF7A53"/>
    <w:rsid w:val="4AE306DF"/>
    <w:rsid w:val="4B7DE003"/>
    <w:rsid w:val="4BAF0F0D"/>
    <w:rsid w:val="4BDFC084"/>
    <w:rsid w:val="4BF649EB"/>
    <w:rsid w:val="4BF72C21"/>
    <w:rsid w:val="4CFDAA1F"/>
    <w:rsid w:val="4D7CB7E8"/>
    <w:rsid w:val="4DFE487E"/>
    <w:rsid w:val="4EBB567D"/>
    <w:rsid w:val="4F7A5CE7"/>
    <w:rsid w:val="4F7FDA04"/>
    <w:rsid w:val="4FDE19F8"/>
    <w:rsid w:val="4FED7033"/>
    <w:rsid w:val="4FF7808B"/>
    <w:rsid w:val="51AB90F7"/>
    <w:rsid w:val="51F6641A"/>
    <w:rsid w:val="53D80669"/>
    <w:rsid w:val="53FEC69F"/>
    <w:rsid w:val="5622AD81"/>
    <w:rsid w:val="577E8A6A"/>
    <w:rsid w:val="57BE2BE7"/>
    <w:rsid w:val="57BF8A20"/>
    <w:rsid w:val="57DB3534"/>
    <w:rsid w:val="57ED71BC"/>
    <w:rsid w:val="57FF4667"/>
    <w:rsid w:val="59BF6A08"/>
    <w:rsid w:val="59D6D6D1"/>
    <w:rsid w:val="59DCEBC3"/>
    <w:rsid w:val="59F765AD"/>
    <w:rsid w:val="5BBDC6FE"/>
    <w:rsid w:val="5CBF6FF0"/>
    <w:rsid w:val="5D0BA597"/>
    <w:rsid w:val="5DB74861"/>
    <w:rsid w:val="5DBB880E"/>
    <w:rsid w:val="5E16D0A2"/>
    <w:rsid w:val="5EDFB84F"/>
    <w:rsid w:val="5EFE49AA"/>
    <w:rsid w:val="5EFF47EA"/>
    <w:rsid w:val="5F3B604B"/>
    <w:rsid w:val="5F7725BB"/>
    <w:rsid w:val="5F7B6D78"/>
    <w:rsid w:val="5FB239C6"/>
    <w:rsid w:val="5FBFEBAB"/>
    <w:rsid w:val="5FD60BC6"/>
    <w:rsid w:val="5FF7ED0D"/>
    <w:rsid w:val="5FF8632C"/>
    <w:rsid w:val="5FFDA5AA"/>
    <w:rsid w:val="5FFF276C"/>
    <w:rsid w:val="62A5915C"/>
    <w:rsid w:val="63556CDE"/>
    <w:rsid w:val="648BEF52"/>
    <w:rsid w:val="65C74867"/>
    <w:rsid w:val="66BFE71E"/>
    <w:rsid w:val="66D1F683"/>
    <w:rsid w:val="67C72C82"/>
    <w:rsid w:val="67EB1AD4"/>
    <w:rsid w:val="67FC9526"/>
    <w:rsid w:val="67FEEE1E"/>
    <w:rsid w:val="68FBA0CD"/>
    <w:rsid w:val="696D407B"/>
    <w:rsid w:val="697597BA"/>
    <w:rsid w:val="69DD7B42"/>
    <w:rsid w:val="6ABF1A00"/>
    <w:rsid w:val="6B6D660F"/>
    <w:rsid w:val="6BDE754A"/>
    <w:rsid w:val="6BEEB6BD"/>
    <w:rsid w:val="6BFD7D9A"/>
    <w:rsid w:val="6CFEDFF1"/>
    <w:rsid w:val="6E7B6A61"/>
    <w:rsid w:val="6EB6C5C5"/>
    <w:rsid w:val="6EC23050"/>
    <w:rsid w:val="6EFE3AD0"/>
    <w:rsid w:val="6EFFA3D2"/>
    <w:rsid w:val="6F53109B"/>
    <w:rsid w:val="6F5E2D75"/>
    <w:rsid w:val="6F75CB4D"/>
    <w:rsid w:val="6F7FF674"/>
    <w:rsid w:val="6F9F20E6"/>
    <w:rsid w:val="6FBF0F4F"/>
    <w:rsid w:val="6FDF3041"/>
    <w:rsid w:val="6FED6C15"/>
    <w:rsid w:val="6FEDD8F7"/>
    <w:rsid w:val="6FEEEA6E"/>
    <w:rsid w:val="72E7A206"/>
    <w:rsid w:val="73BDC0CF"/>
    <w:rsid w:val="73FF2B0D"/>
    <w:rsid w:val="759F3FDB"/>
    <w:rsid w:val="765FDC22"/>
    <w:rsid w:val="76965E4A"/>
    <w:rsid w:val="76CBE2C9"/>
    <w:rsid w:val="76CBEC17"/>
    <w:rsid w:val="76DB6BEF"/>
    <w:rsid w:val="76ED851E"/>
    <w:rsid w:val="776F1A0C"/>
    <w:rsid w:val="77CF00E6"/>
    <w:rsid w:val="77DBA379"/>
    <w:rsid w:val="77EFD2C8"/>
    <w:rsid w:val="77F7441E"/>
    <w:rsid w:val="77FF733F"/>
    <w:rsid w:val="797FA26E"/>
    <w:rsid w:val="79DBEE6A"/>
    <w:rsid w:val="79EF3307"/>
    <w:rsid w:val="7A2F411F"/>
    <w:rsid w:val="7A7E082F"/>
    <w:rsid w:val="7ABBFFA7"/>
    <w:rsid w:val="7AEF5A73"/>
    <w:rsid w:val="7AFE09D4"/>
    <w:rsid w:val="7B33CBDE"/>
    <w:rsid w:val="7B5EDEB9"/>
    <w:rsid w:val="7B7EDA9F"/>
    <w:rsid w:val="7B9F499F"/>
    <w:rsid w:val="7BAFF9C3"/>
    <w:rsid w:val="7BC2C652"/>
    <w:rsid w:val="7BCE83C5"/>
    <w:rsid w:val="7BFDA390"/>
    <w:rsid w:val="7BFDA7C5"/>
    <w:rsid w:val="7BFF2488"/>
    <w:rsid w:val="7BFFD1CE"/>
    <w:rsid w:val="7C3DDAFA"/>
    <w:rsid w:val="7CB5846D"/>
    <w:rsid w:val="7CE399C0"/>
    <w:rsid w:val="7CFB5D8E"/>
    <w:rsid w:val="7CFF24E0"/>
    <w:rsid w:val="7CFF3F13"/>
    <w:rsid w:val="7CFF9470"/>
    <w:rsid w:val="7D3D8EC9"/>
    <w:rsid w:val="7D55DB28"/>
    <w:rsid w:val="7DA4C521"/>
    <w:rsid w:val="7DBF0B0F"/>
    <w:rsid w:val="7DDF3B41"/>
    <w:rsid w:val="7DEC0FAC"/>
    <w:rsid w:val="7DFEC32E"/>
    <w:rsid w:val="7E2FFEB6"/>
    <w:rsid w:val="7E4E677D"/>
    <w:rsid w:val="7E738D04"/>
    <w:rsid w:val="7E7F7033"/>
    <w:rsid w:val="7EAFC2E8"/>
    <w:rsid w:val="7EC5FE02"/>
    <w:rsid w:val="7EDF5D7C"/>
    <w:rsid w:val="7EE576DF"/>
    <w:rsid w:val="7EEBA80E"/>
    <w:rsid w:val="7EED34E8"/>
    <w:rsid w:val="7F37FFC6"/>
    <w:rsid w:val="7F4F9337"/>
    <w:rsid w:val="7F736CE6"/>
    <w:rsid w:val="7F781968"/>
    <w:rsid w:val="7F7ABDC6"/>
    <w:rsid w:val="7F7D1B1E"/>
    <w:rsid w:val="7F7D7833"/>
    <w:rsid w:val="7F7D7BEA"/>
    <w:rsid w:val="7F7E9AE1"/>
    <w:rsid w:val="7F7FFF03"/>
    <w:rsid w:val="7FA79F35"/>
    <w:rsid w:val="7FAF8188"/>
    <w:rsid w:val="7FB3D37A"/>
    <w:rsid w:val="7FB59F81"/>
    <w:rsid w:val="7FB61DAD"/>
    <w:rsid w:val="7FBB7B65"/>
    <w:rsid w:val="7FBE1E80"/>
    <w:rsid w:val="7FBF008E"/>
    <w:rsid w:val="7FD4633C"/>
    <w:rsid w:val="7FD7BB23"/>
    <w:rsid w:val="7FDEF8E3"/>
    <w:rsid w:val="7FED43D5"/>
    <w:rsid w:val="7FEDBC92"/>
    <w:rsid w:val="7FEE03C8"/>
    <w:rsid w:val="7FEFF66C"/>
    <w:rsid w:val="7FF306A0"/>
    <w:rsid w:val="7FF75835"/>
    <w:rsid w:val="7FF795F9"/>
    <w:rsid w:val="7FF79DE2"/>
    <w:rsid w:val="7FFB112A"/>
    <w:rsid w:val="7FFBA46F"/>
    <w:rsid w:val="7FFE4A00"/>
    <w:rsid w:val="7FFF9DE8"/>
    <w:rsid w:val="87D50DC7"/>
    <w:rsid w:val="8F762B92"/>
    <w:rsid w:val="96FF0205"/>
    <w:rsid w:val="9CFAF7CC"/>
    <w:rsid w:val="9FB9BE3D"/>
    <w:rsid w:val="9FBBB854"/>
    <w:rsid w:val="9FBF5BB0"/>
    <w:rsid w:val="9FFDDEC2"/>
    <w:rsid w:val="A1BE8DB2"/>
    <w:rsid w:val="A7DBF9E3"/>
    <w:rsid w:val="AA21771B"/>
    <w:rsid w:val="AC937B15"/>
    <w:rsid w:val="AD6B044A"/>
    <w:rsid w:val="AD9EE0A5"/>
    <w:rsid w:val="ADFC593C"/>
    <w:rsid w:val="ADFF67E0"/>
    <w:rsid w:val="AF6FAC44"/>
    <w:rsid w:val="AFAF0211"/>
    <w:rsid w:val="AFBD2DA1"/>
    <w:rsid w:val="AFFEBA18"/>
    <w:rsid w:val="B1D7B6F1"/>
    <w:rsid w:val="B38FB84C"/>
    <w:rsid w:val="B3BFDD21"/>
    <w:rsid w:val="B47FED04"/>
    <w:rsid w:val="B5B47557"/>
    <w:rsid w:val="B79F56F8"/>
    <w:rsid w:val="B7AFD1D4"/>
    <w:rsid w:val="B7F973B2"/>
    <w:rsid w:val="B946859B"/>
    <w:rsid w:val="B9F73A64"/>
    <w:rsid w:val="BAFF0DB0"/>
    <w:rsid w:val="BB9A6FE3"/>
    <w:rsid w:val="BBBC4893"/>
    <w:rsid w:val="BBCF6FCF"/>
    <w:rsid w:val="BD7DA8CA"/>
    <w:rsid w:val="BDB52C9C"/>
    <w:rsid w:val="BDD32506"/>
    <w:rsid w:val="BDEB9834"/>
    <w:rsid w:val="BDF86037"/>
    <w:rsid w:val="BEFEBEA6"/>
    <w:rsid w:val="BFB71AAE"/>
    <w:rsid w:val="BFBB3B94"/>
    <w:rsid w:val="BFCFCC73"/>
    <w:rsid w:val="BFDD0AFE"/>
    <w:rsid w:val="BFF31A83"/>
    <w:rsid w:val="BFF3DC14"/>
    <w:rsid w:val="BFF5F587"/>
    <w:rsid w:val="BFFD0BB5"/>
    <w:rsid w:val="C36FC1E5"/>
    <w:rsid w:val="C7BE9958"/>
    <w:rsid w:val="C7F260E6"/>
    <w:rsid w:val="C7FF3421"/>
    <w:rsid w:val="CB7B33A8"/>
    <w:rsid w:val="CBF1105B"/>
    <w:rsid w:val="CC77FAF4"/>
    <w:rsid w:val="CEFA8CFF"/>
    <w:rsid w:val="CFFEAD0B"/>
    <w:rsid w:val="D3B7F9B3"/>
    <w:rsid w:val="D6F71DC1"/>
    <w:rsid w:val="D79CAD9A"/>
    <w:rsid w:val="D87BBD7E"/>
    <w:rsid w:val="D9EF41B1"/>
    <w:rsid w:val="DAF3E663"/>
    <w:rsid w:val="DD1FFA22"/>
    <w:rsid w:val="DDBC9A4B"/>
    <w:rsid w:val="DDF98254"/>
    <w:rsid w:val="DDFDD06D"/>
    <w:rsid w:val="DDFF1BCB"/>
    <w:rsid w:val="DEA33B36"/>
    <w:rsid w:val="DED38A68"/>
    <w:rsid w:val="DEDEC01C"/>
    <w:rsid w:val="DEDFE26E"/>
    <w:rsid w:val="DEFB7DDA"/>
    <w:rsid w:val="DF5D5063"/>
    <w:rsid w:val="DF67511B"/>
    <w:rsid w:val="DF71652E"/>
    <w:rsid w:val="DF76A464"/>
    <w:rsid w:val="DFBFE7DD"/>
    <w:rsid w:val="DFDD6E4E"/>
    <w:rsid w:val="DFE785F2"/>
    <w:rsid w:val="DFFF5236"/>
    <w:rsid w:val="DFFFC69E"/>
    <w:rsid w:val="E0B3EDCE"/>
    <w:rsid w:val="E5BFA2F6"/>
    <w:rsid w:val="E69EF92F"/>
    <w:rsid w:val="E7C2A62B"/>
    <w:rsid w:val="E7DCE4AB"/>
    <w:rsid w:val="E7DF78A2"/>
    <w:rsid w:val="E7FD3624"/>
    <w:rsid w:val="E9E5D359"/>
    <w:rsid w:val="EA0F522F"/>
    <w:rsid w:val="EBA37733"/>
    <w:rsid w:val="EBBE7A14"/>
    <w:rsid w:val="EBC590BB"/>
    <w:rsid w:val="EBFCAF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6AC259"/>
  <w15:docId w15:val="{3A84493E-366E-4413-AABF-012AF851A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qFormat="1"/>
    <w:lsdException w:name="header" w:semiHidden="1" w:unhideWhenUsed="1" w:qFormat="1"/>
    <w:lsdException w:name="footer" w:semiHidden="1"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uiPriority="0"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rPr>
      <w:rFonts w:eastAsia="华文宋体"/>
      <w:kern w:val="2"/>
      <w:sz w:val="21"/>
    </w:rPr>
  </w:style>
  <w:style w:type="paragraph" w:styleId="1">
    <w:name w:val="heading 1"/>
    <w:basedOn w:val="a"/>
    <w:next w:val="a0"/>
    <w:link w:val="10"/>
    <w:qFormat/>
    <w:pPr>
      <w:keepNext/>
      <w:keepLines/>
      <w:suppressAutoHyphens/>
      <w:autoSpaceDE w:val="0"/>
      <w:autoSpaceDN w:val="0"/>
      <w:spacing w:before="240" w:after="120" w:line="300" w:lineRule="auto"/>
      <w:jc w:val="center"/>
      <w:textAlignment w:val="baseline"/>
      <w:outlineLvl w:val="0"/>
    </w:pPr>
    <w:rPr>
      <w:rFonts w:ascii="宋体" w:eastAsia="宋体" w:hAnsi="宋体"/>
      <w:b/>
      <w:kern w:val="3"/>
      <w:sz w:val="32"/>
    </w:rPr>
  </w:style>
  <w:style w:type="paragraph" w:styleId="2">
    <w:name w:val="heading 2"/>
    <w:basedOn w:val="a"/>
    <w:next w:val="a0"/>
    <w:link w:val="20"/>
    <w:uiPriority w:val="9"/>
    <w:qFormat/>
    <w:pPr>
      <w:keepNext/>
      <w:keepLines/>
      <w:suppressAutoHyphens/>
      <w:autoSpaceDE w:val="0"/>
      <w:autoSpaceDN w:val="0"/>
      <w:spacing w:before="120" w:line="300" w:lineRule="auto"/>
      <w:jc w:val="center"/>
      <w:textAlignment w:val="baseline"/>
      <w:outlineLvl w:val="1"/>
    </w:pPr>
    <w:rPr>
      <w:rFonts w:ascii="Arial" w:eastAsia="黑体" w:hAnsi="Arial" w:cstheme="majorBidi"/>
      <w:b/>
      <w:kern w:val="0"/>
      <w:sz w:val="30"/>
    </w:rPr>
  </w:style>
  <w:style w:type="paragraph" w:styleId="3">
    <w:name w:val="heading 3"/>
    <w:basedOn w:val="a"/>
    <w:next w:val="a0"/>
    <w:link w:val="30"/>
    <w:qFormat/>
    <w:pPr>
      <w:keepNext/>
      <w:keepLines/>
      <w:suppressAutoHyphens/>
      <w:autoSpaceDE w:val="0"/>
      <w:autoSpaceDN w:val="0"/>
      <w:spacing w:before="360" w:after="120"/>
      <w:textAlignment w:val="baseline"/>
      <w:outlineLvl w:val="2"/>
    </w:pPr>
    <w:rPr>
      <w:rFonts w:ascii="宋体" w:eastAsia="宋体" w:hAnsi="宋体"/>
      <w:b/>
      <w:kern w:val="0"/>
      <w:sz w:val="24"/>
      <w:u w:val="single"/>
    </w:rPr>
  </w:style>
  <w:style w:type="paragraph" w:styleId="4">
    <w:name w:val="heading 4"/>
    <w:basedOn w:val="a"/>
    <w:next w:val="a"/>
    <w:link w:val="40"/>
    <w:qFormat/>
    <w:pPr>
      <w:keepNext/>
      <w:keepLines/>
      <w:spacing w:before="280" w:after="290" w:line="372" w:lineRule="auto"/>
      <w:jc w:val="both"/>
      <w:outlineLvl w:val="3"/>
    </w:pPr>
    <w:rPr>
      <w:rFonts w:ascii="Arial" w:eastAsia="黑体" w:hAnsi="Arial"/>
      <w:b/>
      <w:bCs/>
      <w:sz w:val="28"/>
      <w:szCs w:val="28"/>
    </w:rPr>
  </w:style>
  <w:style w:type="paragraph" w:styleId="5">
    <w:name w:val="heading 5"/>
    <w:basedOn w:val="a"/>
    <w:next w:val="a"/>
    <w:link w:val="50"/>
    <w:qFormat/>
    <w:pPr>
      <w:keepNext/>
      <w:keepLines/>
      <w:spacing w:before="280" w:after="290" w:line="372" w:lineRule="auto"/>
      <w:jc w:val="both"/>
      <w:outlineLvl w:val="4"/>
    </w:pPr>
    <w:rPr>
      <w:rFonts w:eastAsia="宋体"/>
      <w:b/>
      <w:bCs/>
      <w:sz w:val="28"/>
      <w:szCs w:val="28"/>
    </w:rPr>
  </w:style>
  <w:style w:type="paragraph" w:styleId="6">
    <w:name w:val="heading 6"/>
    <w:basedOn w:val="a"/>
    <w:next w:val="a"/>
    <w:link w:val="60"/>
    <w:qFormat/>
    <w:pPr>
      <w:keepNext/>
      <w:keepLines/>
      <w:spacing w:before="240" w:after="64" w:line="317" w:lineRule="auto"/>
      <w:jc w:val="both"/>
      <w:outlineLvl w:val="5"/>
    </w:pPr>
    <w:rPr>
      <w:rFonts w:ascii="Arial" w:eastAsia="黑体" w:hAnsi="Arial"/>
      <w:b/>
      <w:bCs/>
      <w:sz w:val="24"/>
      <w:szCs w:val="24"/>
    </w:rPr>
  </w:style>
  <w:style w:type="paragraph" w:styleId="7">
    <w:name w:val="heading 7"/>
    <w:basedOn w:val="a"/>
    <w:next w:val="a"/>
    <w:link w:val="70"/>
    <w:qFormat/>
    <w:pPr>
      <w:keepNext/>
      <w:keepLines/>
      <w:spacing w:before="240" w:after="64" w:line="317" w:lineRule="auto"/>
      <w:jc w:val="both"/>
      <w:outlineLvl w:val="6"/>
    </w:pPr>
    <w:rPr>
      <w:rFonts w:eastAsia="宋体"/>
      <w:b/>
      <w:bCs/>
      <w:sz w:val="24"/>
      <w:szCs w:val="24"/>
    </w:rPr>
  </w:style>
  <w:style w:type="paragraph" w:styleId="8">
    <w:name w:val="heading 8"/>
    <w:basedOn w:val="a"/>
    <w:next w:val="a0"/>
    <w:link w:val="80"/>
    <w:qFormat/>
    <w:pPr>
      <w:keepNext/>
      <w:keepLines/>
      <w:spacing w:before="240" w:after="64" w:line="317" w:lineRule="auto"/>
      <w:jc w:val="both"/>
      <w:outlineLvl w:val="7"/>
    </w:pPr>
    <w:rPr>
      <w:rFonts w:ascii="Arial" w:eastAsia="黑体" w:hAnsi="Arial"/>
      <w:sz w:val="24"/>
    </w:rPr>
  </w:style>
  <w:style w:type="paragraph" w:styleId="9">
    <w:name w:val="heading 9"/>
    <w:basedOn w:val="a"/>
    <w:next w:val="a"/>
    <w:link w:val="90"/>
    <w:qFormat/>
    <w:pPr>
      <w:keepNext/>
      <w:keepLines/>
      <w:spacing w:before="240" w:after="64" w:line="317" w:lineRule="auto"/>
      <w:jc w:val="both"/>
      <w:outlineLvl w:val="8"/>
    </w:pPr>
    <w:rPr>
      <w:rFonts w:ascii="Cambria" w:eastAsia="宋体" w:hAnsi="Cambria"/>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suppressAutoHyphens/>
      <w:autoSpaceDE w:val="0"/>
      <w:autoSpaceDN w:val="0"/>
      <w:ind w:firstLine="420"/>
      <w:textAlignment w:val="baseline"/>
    </w:pPr>
    <w:rPr>
      <w:rFonts w:ascii="宋体" w:eastAsia="宋体" w:hAnsi="宋体"/>
      <w:kern w:val="0"/>
      <w:sz w:val="24"/>
    </w:rPr>
  </w:style>
  <w:style w:type="paragraph" w:styleId="a5">
    <w:name w:val="caption"/>
    <w:basedOn w:val="a"/>
    <w:next w:val="a"/>
    <w:qFormat/>
    <w:pPr>
      <w:spacing w:before="152" w:after="160"/>
      <w:jc w:val="both"/>
    </w:pPr>
    <w:rPr>
      <w:rFonts w:ascii="Arial" w:eastAsia="黑体" w:hAnsi="Arial" w:cs="Arial"/>
      <w:sz w:val="20"/>
    </w:rPr>
  </w:style>
  <w:style w:type="paragraph" w:styleId="a6">
    <w:name w:val="Document Map"/>
    <w:basedOn w:val="a"/>
    <w:link w:val="a7"/>
    <w:qFormat/>
    <w:pPr>
      <w:suppressAutoHyphens/>
      <w:autoSpaceDN w:val="0"/>
      <w:jc w:val="both"/>
      <w:textAlignment w:val="baseline"/>
    </w:pPr>
    <w:rPr>
      <w:rFonts w:eastAsia="宋体"/>
      <w:kern w:val="3"/>
      <w:szCs w:val="24"/>
      <w:shd w:val="clear" w:color="auto" w:fill="000080"/>
    </w:rPr>
  </w:style>
  <w:style w:type="paragraph" w:styleId="a8">
    <w:name w:val="annotation text"/>
    <w:basedOn w:val="a"/>
    <w:link w:val="a9"/>
    <w:uiPriority w:val="99"/>
    <w:qFormat/>
    <w:pPr>
      <w:suppressAutoHyphens/>
      <w:autoSpaceDN w:val="0"/>
      <w:textAlignment w:val="baseline"/>
    </w:pPr>
    <w:rPr>
      <w:rFonts w:eastAsia="宋体"/>
      <w:sz w:val="24"/>
    </w:rPr>
  </w:style>
  <w:style w:type="paragraph" w:styleId="aa">
    <w:name w:val="Body Text"/>
    <w:basedOn w:val="a"/>
    <w:link w:val="ab"/>
    <w:uiPriority w:val="99"/>
    <w:unhideWhenUsed/>
    <w:qFormat/>
    <w:pPr>
      <w:spacing w:after="120"/>
    </w:pPr>
    <w:rPr>
      <w:rFonts w:asciiTheme="minorHAnsi" w:eastAsiaTheme="minorEastAsia" w:hAnsiTheme="minorHAnsi" w:cstheme="minorBidi"/>
      <w:szCs w:val="22"/>
    </w:rPr>
  </w:style>
  <w:style w:type="paragraph" w:styleId="ac">
    <w:name w:val="Body Text Indent"/>
    <w:basedOn w:val="a"/>
    <w:link w:val="ad"/>
    <w:uiPriority w:val="99"/>
    <w:semiHidden/>
    <w:unhideWhenUsed/>
    <w:qFormat/>
    <w:pPr>
      <w:suppressAutoHyphens/>
      <w:autoSpaceDN w:val="0"/>
      <w:spacing w:after="120"/>
      <w:ind w:leftChars="200" w:left="420"/>
      <w:jc w:val="both"/>
      <w:textAlignment w:val="baseline"/>
    </w:pPr>
    <w:rPr>
      <w:rFonts w:eastAsia="宋体"/>
      <w:kern w:val="3"/>
      <w:szCs w:val="24"/>
    </w:rPr>
  </w:style>
  <w:style w:type="paragraph" w:styleId="ae">
    <w:name w:val="Plain Text"/>
    <w:basedOn w:val="a"/>
    <w:link w:val="af"/>
    <w:uiPriority w:val="99"/>
    <w:qFormat/>
    <w:pPr>
      <w:suppressAutoHyphens/>
      <w:autoSpaceDN w:val="0"/>
      <w:jc w:val="both"/>
      <w:textAlignment w:val="baseline"/>
    </w:pPr>
    <w:rPr>
      <w:rFonts w:ascii="宋体" w:eastAsia="宋体" w:hAnsi="宋体"/>
      <w:kern w:val="3"/>
    </w:rPr>
  </w:style>
  <w:style w:type="paragraph" w:styleId="af0">
    <w:name w:val="footer"/>
    <w:basedOn w:val="a"/>
    <w:link w:val="af1"/>
    <w:uiPriority w:val="99"/>
    <w:unhideWhenUsed/>
    <w:qFormat/>
    <w:pPr>
      <w:tabs>
        <w:tab w:val="center" w:pos="4153"/>
        <w:tab w:val="right" w:pos="8306"/>
      </w:tabs>
      <w:suppressAutoHyphens/>
      <w:autoSpaceDN w:val="0"/>
      <w:snapToGrid w:val="0"/>
      <w:textAlignment w:val="baseline"/>
    </w:pPr>
    <w:rPr>
      <w:rFonts w:eastAsia="宋体"/>
      <w:kern w:val="3"/>
      <w:sz w:val="18"/>
      <w:szCs w:val="18"/>
    </w:rPr>
  </w:style>
  <w:style w:type="paragraph" w:styleId="af2">
    <w:name w:val="header"/>
    <w:basedOn w:val="a"/>
    <w:link w:val="af3"/>
    <w:uiPriority w:val="99"/>
    <w:unhideWhenUsed/>
    <w:qFormat/>
    <w:pPr>
      <w:pBdr>
        <w:bottom w:val="single" w:sz="6" w:space="1" w:color="auto"/>
      </w:pBdr>
      <w:tabs>
        <w:tab w:val="center" w:pos="4153"/>
        <w:tab w:val="right" w:pos="8306"/>
      </w:tabs>
      <w:suppressAutoHyphens/>
      <w:autoSpaceDN w:val="0"/>
      <w:snapToGrid w:val="0"/>
      <w:jc w:val="center"/>
      <w:textAlignment w:val="baseline"/>
    </w:pPr>
    <w:rPr>
      <w:rFonts w:eastAsia="宋体"/>
      <w:kern w:val="3"/>
      <w:sz w:val="18"/>
      <w:szCs w:val="18"/>
    </w:rPr>
  </w:style>
  <w:style w:type="paragraph" w:styleId="af4">
    <w:name w:val="Subtitle"/>
    <w:basedOn w:val="a"/>
    <w:next w:val="a"/>
    <w:link w:val="af5"/>
    <w:qFormat/>
    <w:pPr>
      <w:spacing w:before="240" w:after="60" w:line="312" w:lineRule="auto"/>
      <w:outlineLvl w:val="1"/>
    </w:pPr>
    <w:rPr>
      <w:rFonts w:ascii="Cambria" w:eastAsia="宋体" w:hAnsi="Cambria"/>
      <w:bCs/>
      <w:kern w:val="28"/>
      <w:sz w:val="32"/>
      <w:szCs w:val="32"/>
    </w:rPr>
  </w:style>
  <w:style w:type="paragraph" w:styleId="31">
    <w:name w:val="Body Text Indent 3"/>
    <w:basedOn w:val="a"/>
    <w:link w:val="32"/>
    <w:qFormat/>
    <w:pPr>
      <w:suppressAutoHyphens/>
      <w:autoSpaceDE w:val="0"/>
      <w:autoSpaceDN w:val="0"/>
      <w:spacing w:before="120" w:line="22" w:lineRule="atLeast"/>
      <w:ind w:left="720" w:firstLine="480"/>
      <w:textAlignment w:val="baseline"/>
    </w:pPr>
    <w:rPr>
      <w:rFonts w:ascii="宋体" w:eastAsia="宋体" w:hAnsi="宋体"/>
      <w:kern w:val="0"/>
      <w:sz w:val="24"/>
    </w:rPr>
  </w:style>
  <w:style w:type="paragraph" w:styleId="af6">
    <w:name w:val="Title"/>
    <w:basedOn w:val="a"/>
    <w:link w:val="af7"/>
    <w:qFormat/>
    <w:pPr>
      <w:tabs>
        <w:tab w:val="left" w:pos="814"/>
      </w:tabs>
      <w:spacing w:before="240" w:after="60"/>
      <w:ind w:left="1440" w:right="210" w:hanging="720"/>
      <w:jc w:val="both"/>
      <w:outlineLvl w:val="0"/>
    </w:pPr>
    <w:rPr>
      <w:rFonts w:ascii="Arial" w:eastAsia="黑体" w:hAnsi="Arial"/>
      <w:b/>
      <w:snapToGrid w:val="0"/>
      <w:sz w:val="32"/>
    </w:rPr>
  </w:style>
  <w:style w:type="paragraph" w:styleId="21">
    <w:name w:val="Body Text First Indent 2"/>
    <w:basedOn w:val="ac"/>
    <w:link w:val="22"/>
    <w:qFormat/>
    <w:pPr>
      <w:suppressAutoHyphens w:val="0"/>
      <w:autoSpaceDN/>
      <w:ind w:firstLineChars="200" w:firstLine="420"/>
      <w:textAlignment w:val="auto"/>
    </w:pPr>
    <w:rPr>
      <w:kern w:val="2"/>
      <w:szCs w:val="20"/>
    </w:rPr>
  </w:style>
  <w:style w:type="character" w:styleId="af8">
    <w:name w:val="Strong"/>
    <w:basedOn w:val="a1"/>
    <w:uiPriority w:val="22"/>
    <w:qFormat/>
    <w:rPr>
      <w:b/>
      <w:bCs/>
    </w:rPr>
  </w:style>
  <w:style w:type="character" w:styleId="af9">
    <w:name w:val="Emphasis"/>
    <w:uiPriority w:val="20"/>
    <w:qFormat/>
    <w:rPr>
      <w:b/>
      <w:i/>
      <w:color w:val="5A5A5A"/>
    </w:rPr>
  </w:style>
  <w:style w:type="character" w:styleId="afa">
    <w:name w:val="Hyperlink"/>
    <w:basedOn w:val="a1"/>
    <w:qFormat/>
    <w:rPr>
      <w:color w:val="0000FF"/>
      <w:u w:val="single"/>
    </w:rPr>
  </w:style>
  <w:style w:type="character" w:styleId="afb">
    <w:name w:val="annotation reference"/>
    <w:uiPriority w:val="99"/>
    <w:qFormat/>
    <w:rPr>
      <w:sz w:val="21"/>
      <w:szCs w:val="21"/>
    </w:rPr>
  </w:style>
  <w:style w:type="character" w:customStyle="1" w:styleId="10">
    <w:name w:val="标题 1 字符"/>
    <w:basedOn w:val="a1"/>
    <w:link w:val="1"/>
    <w:qFormat/>
    <w:rPr>
      <w:rFonts w:ascii="宋体" w:hAnsi="宋体"/>
      <w:b/>
      <w:kern w:val="3"/>
      <w:sz w:val="32"/>
    </w:rPr>
  </w:style>
  <w:style w:type="paragraph" w:customStyle="1" w:styleId="11">
    <w:name w:val="样式1"/>
    <w:basedOn w:val="2"/>
    <w:qFormat/>
    <w:pPr>
      <w:spacing w:line="240" w:lineRule="auto"/>
    </w:pPr>
    <w:rPr>
      <w:sz w:val="28"/>
    </w:rPr>
  </w:style>
  <w:style w:type="character" w:customStyle="1" w:styleId="20">
    <w:name w:val="标题 2 字符"/>
    <w:basedOn w:val="a1"/>
    <w:link w:val="2"/>
    <w:uiPriority w:val="9"/>
    <w:qFormat/>
    <w:rPr>
      <w:rFonts w:ascii="Arial" w:eastAsia="黑体" w:hAnsi="Arial" w:cstheme="majorBidi"/>
      <w:b/>
      <w:sz w:val="30"/>
    </w:rPr>
  </w:style>
  <w:style w:type="character" w:customStyle="1" w:styleId="1Char1">
    <w:name w:val="标题 1 Char1"/>
    <w:qFormat/>
    <w:rPr>
      <w:rFonts w:ascii="宋体" w:hAnsi="宋体"/>
      <w:b/>
      <w:kern w:val="3"/>
      <w:sz w:val="32"/>
    </w:rPr>
  </w:style>
  <w:style w:type="character" w:customStyle="1" w:styleId="2Char2">
    <w:name w:val="标题 2 Char2"/>
    <w:qFormat/>
    <w:rPr>
      <w:rFonts w:ascii="Arial" w:eastAsia="黑体" w:hAnsi="Arial"/>
      <w:b/>
      <w:sz w:val="30"/>
    </w:rPr>
  </w:style>
  <w:style w:type="character" w:customStyle="1" w:styleId="30">
    <w:name w:val="标题 3 字符"/>
    <w:basedOn w:val="a1"/>
    <w:link w:val="3"/>
    <w:qFormat/>
    <w:rPr>
      <w:rFonts w:ascii="宋体" w:hAnsi="宋体"/>
      <w:b/>
      <w:sz w:val="24"/>
      <w:u w:val="single"/>
    </w:rPr>
  </w:style>
  <w:style w:type="character" w:customStyle="1" w:styleId="3Char1">
    <w:name w:val="标题 3 Char1"/>
    <w:qFormat/>
    <w:rPr>
      <w:rFonts w:ascii="宋体" w:hAnsi="宋体"/>
      <w:b/>
      <w:sz w:val="24"/>
      <w:u w:val="single"/>
    </w:rPr>
  </w:style>
  <w:style w:type="character" w:customStyle="1" w:styleId="40">
    <w:name w:val="标题 4 字符"/>
    <w:link w:val="4"/>
    <w:qFormat/>
    <w:rPr>
      <w:rFonts w:ascii="Arial" w:eastAsia="黑体" w:hAnsi="Arial"/>
      <w:b/>
      <w:bCs/>
      <w:kern w:val="2"/>
      <w:sz w:val="28"/>
      <w:szCs w:val="28"/>
    </w:rPr>
  </w:style>
  <w:style w:type="character" w:customStyle="1" w:styleId="50">
    <w:name w:val="标题 5 字符"/>
    <w:link w:val="5"/>
    <w:qFormat/>
    <w:rPr>
      <w:b/>
      <w:bCs/>
      <w:kern w:val="2"/>
      <w:sz w:val="28"/>
      <w:szCs w:val="28"/>
    </w:rPr>
  </w:style>
  <w:style w:type="character" w:customStyle="1" w:styleId="60">
    <w:name w:val="标题 6 字符"/>
    <w:link w:val="6"/>
    <w:qFormat/>
    <w:rPr>
      <w:rFonts w:ascii="Arial" w:eastAsia="黑体" w:hAnsi="Arial"/>
      <w:b/>
      <w:bCs/>
      <w:kern w:val="2"/>
      <w:sz w:val="24"/>
      <w:szCs w:val="24"/>
    </w:rPr>
  </w:style>
  <w:style w:type="character" w:customStyle="1" w:styleId="70">
    <w:name w:val="标题 7 字符"/>
    <w:link w:val="7"/>
    <w:qFormat/>
    <w:rPr>
      <w:b/>
      <w:bCs/>
      <w:kern w:val="2"/>
      <w:sz w:val="24"/>
      <w:szCs w:val="24"/>
    </w:rPr>
  </w:style>
  <w:style w:type="character" w:customStyle="1" w:styleId="80">
    <w:name w:val="标题 8 字符"/>
    <w:link w:val="8"/>
    <w:qFormat/>
    <w:rPr>
      <w:rFonts w:ascii="Arial" w:eastAsia="黑体" w:hAnsi="Arial"/>
      <w:kern w:val="2"/>
      <w:sz w:val="24"/>
    </w:rPr>
  </w:style>
  <w:style w:type="character" w:customStyle="1" w:styleId="90">
    <w:name w:val="标题 9 字符"/>
    <w:link w:val="9"/>
    <w:qFormat/>
    <w:rPr>
      <w:rFonts w:ascii="Cambria" w:hAnsi="Cambria"/>
      <w:kern w:val="2"/>
      <w:sz w:val="21"/>
      <w:szCs w:val="21"/>
    </w:rPr>
  </w:style>
  <w:style w:type="character" w:customStyle="1" w:styleId="a4">
    <w:name w:val="正文缩进 字符"/>
    <w:link w:val="a0"/>
    <w:qFormat/>
    <w:rPr>
      <w:rFonts w:ascii="宋体" w:hAnsi="宋体"/>
      <w:sz w:val="24"/>
    </w:rPr>
  </w:style>
  <w:style w:type="character" w:customStyle="1" w:styleId="a9">
    <w:name w:val="批注文字 字符"/>
    <w:link w:val="a8"/>
    <w:uiPriority w:val="99"/>
    <w:qFormat/>
    <w:rPr>
      <w:kern w:val="2"/>
      <w:sz w:val="24"/>
    </w:rPr>
  </w:style>
  <w:style w:type="character" w:customStyle="1" w:styleId="Char3">
    <w:name w:val="批注文字 Char3"/>
    <w:uiPriority w:val="99"/>
    <w:qFormat/>
    <w:rPr>
      <w:kern w:val="3"/>
      <w:sz w:val="21"/>
      <w:szCs w:val="24"/>
    </w:rPr>
  </w:style>
  <w:style w:type="character" w:customStyle="1" w:styleId="af7">
    <w:name w:val="标题 字符"/>
    <w:link w:val="af6"/>
    <w:qFormat/>
    <w:rPr>
      <w:rFonts w:ascii="Arial" w:eastAsia="黑体" w:hAnsi="Arial"/>
      <w:b/>
      <w:snapToGrid w:val="0"/>
      <w:kern w:val="2"/>
      <w:sz w:val="32"/>
    </w:rPr>
  </w:style>
  <w:style w:type="character" w:customStyle="1" w:styleId="af5">
    <w:name w:val="副标题 字符"/>
    <w:link w:val="af4"/>
    <w:qFormat/>
    <w:rPr>
      <w:rFonts w:ascii="Cambria" w:hAnsi="Cambria"/>
      <w:bCs/>
      <w:kern w:val="28"/>
      <w:sz w:val="32"/>
      <w:szCs w:val="32"/>
    </w:rPr>
  </w:style>
  <w:style w:type="character" w:customStyle="1" w:styleId="ad">
    <w:name w:val="正文文本缩进 字符"/>
    <w:basedOn w:val="a1"/>
    <w:link w:val="ac"/>
    <w:uiPriority w:val="99"/>
    <w:semiHidden/>
    <w:qFormat/>
    <w:rPr>
      <w:kern w:val="3"/>
      <w:sz w:val="21"/>
      <w:szCs w:val="24"/>
    </w:rPr>
  </w:style>
  <w:style w:type="character" w:customStyle="1" w:styleId="22">
    <w:name w:val="正文文本首行缩进 2 字符"/>
    <w:basedOn w:val="ad"/>
    <w:link w:val="21"/>
    <w:qFormat/>
    <w:rPr>
      <w:kern w:val="2"/>
      <w:sz w:val="21"/>
      <w:szCs w:val="24"/>
    </w:rPr>
  </w:style>
  <w:style w:type="character" w:customStyle="1" w:styleId="2Char3">
    <w:name w:val="正文首行缩进 2 Char3"/>
    <w:qFormat/>
    <w:rPr>
      <w:kern w:val="2"/>
      <w:sz w:val="21"/>
    </w:rPr>
  </w:style>
  <w:style w:type="character" w:customStyle="1" w:styleId="32">
    <w:name w:val="正文文本缩进 3 字符"/>
    <w:basedOn w:val="a1"/>
    <w:link w:val="31"/>
    <w:qFormat/>
    <w:rPr>
      <w:rFonts w:ascii="宋体" w:hAnsi="宋体"/>
      <w:sz w:val="24"/>
    </w:rPr>
  </w:style>
  <w:style w:type="character" w:customStyle="1" w:styleId="3Char3">
    <w:name w:val="正文文本缩进 3 Char3"/>
    <w:qFormat/>
    <w:rPr>
      <w:rFonts w:ascii="宋体" w:hAnsi="宋体"/>
      <w:sz w:val="24"/>
    </w:rPr>
  </w:style>
  <w:style w:type="character" w:customStyle="1" w:styleId="a7">
    <w:name w:val="文档结构图 字符"/>
    <w:basedOn w:val="a1"/>
    <w:link w:val="a6"/>
    <w:qFormat/>
    <w:rPr>
      <w:kern w:val="3"/>
      <w:sz w:val="21"/>
      <w:szCs w:val="24"/>
    </w:rPr>
  </w:style>
  <w:style w:type="character" w:customStyle="1" w:styleId="Char1">
    <w:name w:val="文档结构图 Char1"/>
    <w:qFormat/>
    <w:rPr>
      <w:kern w:val="3"/>
      <w:sz w:val="21"/>
      <w:szCs w:val="24"/>
    </w:rPr>
  </w:style>
  <w:style w:type="character" w:customStyle="1" w:styleId="af">
    <w:name w:val="纯文本 字符"/>
    <w:basedOn w:val="a1"/>
    <w:link w:val="ae"/>
    <w:uiPriority w:val="99"/>
    <w:qFormat/>
    <w:rPr>
      <w:rFonts w:ascii="宋体" w:hAnsi="宋体"/>
      <w:kern w:val="3"/>
      <w:sz w:val="21"/>
    </w:rPr>
  </w:style>
  <w:style w:type="character" w:customStyle="1" w:styleId="Char4">
    <w:name w:val="纯文本 Char4"/>
    <w:qFormat/>
    <w:rPr>
      <w:rFonts w:ascii="宋体" w:hAnsi="宋体"/>
      <w:kern w:val="3"/>
      <w:sz w:val="21"/>
    </w:rPr>
  </w:style>
  <w:style w:type="paragraph" w:styleId="afc">
    <w:name w:val="List Paragraph"/>
    <w:basedOn w:val="a"/>
    <w:link w:val="afd"/>
    <w:uiPriority w:val="34"/>
    <w:qFormat/>
    <w:pPr>
      <w:ind w:firstLineChars="200" w:firstLine="420"/>
      <w:jc w:val="both"/>
    </w:pPr>
    <w:rPr>
      <w:rFonts w:ascii="Calibri" w:eastAsia="宋体" w:hAnsi="Calibri"/>
      <w:szCs w:val="22"/>
    </w:rPr>
  </w:style>
  <w:style w:type="character" w:customStyle="1" w:styleId="afd">
    <w:name w:val="列表段落 字符"/>
    <w:link w:val="afc"/>
    <w:uiPriority w:val="34"/>
    <w:qFormat/>
    <w:rPr>
      <w:rFonts w:ascii="Calibri" w:hAnsi="Calibri"/>
      <w:kern w:val="2"/>
      <w:sz w:val="21"/>
      <w:szCs w:val="22"/>
    </w:rPr>
  </w:style>
  <w:style w:type="character" w:customStyle="1" w:styleId="Char10">
    <w:name w:val="批注文字 Char1"/>
    <w:qFormat/>
    <w:rPr>
      <w:kern w:val="2"/>
      <w:sz w:val="21"/>
      <w:szCs w:val="22"/>
    </w:rPr>
  </w:style>
  <w:style w:type="paragraph" w:customStyle="1" w:styleId="23">
    <w:name w:val="列出段落2"/>
    <w:basedOn w:val="a"/>
    <w:uiPriority w:val="99"/>
    <w:qFormat/>
    <w:pPr>
      <w:adjustRightInd w:val="0"/>
      <w:spacing w:line="360" w:lineRule="atLeast"/>
      <w:ind w:firstLineChars="200" w:firstLine="420"/>
      <w:textAlignment w:val="baseline"/>
    </w:pPr>
    <w:rPr>
      <w:rFonts w:eastAsia="宋体"/>
      <w:kern w:val="0"/>
      <w:sz w:val="24"/>
      <w:szCs w:val="24"/>
    </w:rPr>
  </w:style>
  <w:style w:type="paragraph" w:customStyle="1" w:styleId="ListParagraph1">
    <w:name w:val="List Paragraph1"/>
    <w:basedOn w:val="a"/>
    <w:uiPriority w:val="99"/>
    <w:qFormat/>
    <w:pPr>
      <w:ind w:firstLineChars="200" w:firstLine="420"/>
      <w:jc w:val="both"/>
    </w:pPr>
    <w:rPr>
      <w:rFonts w:ascii="Calibri" w:eastAsia="宋体" w:hAnsi="Calibri"/>
    </w:rPr>
  </w:style>
  <w:style w:type="paragraph" w:customStyle="1" w:styleId="12">
    <w:name w:val="列出段落1"/>
    <w:basedOn w:val="a"/>
    <w:qFormat/>
    <w:pPr>
      <w:ind w:firstLineChars="200" w:firstLine="420"/>
      <w:jc w:val="both"/>
    </w:pPr>
    <w:rPr>
      <w:rFonts w:eastAsia="宋体"/>
    </w:rPr>
  </w:style>
  <w:style w:type="paragraph" w:customStyle="1" w:styleId="33">
    <w:name w:val="列出段落3"/>
    <w:basedOn w:val="a"/>
    <w:uiPriority w:val="99"/>
    <w:qFormat/>
    <w:pPr>
      <w:adjustRightInd w:val="0"/>
      <w:spacing w:line="360" w:lineRule="atLeast"/>
      <w:ind w:firstLineChars="200" w:firstLine="420"/>
      <w:textAlignment w:val="baseline"/>
    </w:pPr>
    <w:rPr>
      <w:rFonts w:eastAsia="宋体"/>
      <w:kern w:val="0"/>
      <w:sz w:val="24"/>
      <w:szCs w:val="24"/>
    </w:rPr>
  </w:style>
  <w:style w:type="paragraph" w:customStyle="1" w:styleId="GB231215">
    <w:name w:val="样式 正文文本缩进 + 仿宋_GB2312 加粗 行距: 1.5 倍行距"/>
    <w:basedOn w:val="ac"/>
    <w:qFormat/>
    <w:pPr>
      <w:suppressAutoHyphens w:val="0"/>
      <w:autoSpaceDN/>
      <w:textAlignment w:val="auto"/>
    </w:pPr>
    <w:rPr>
      <w:kern w:val="2"/>
      <w:szCs w:val="20"/>
    </w:rPr>
  </w:style>
  <w:style w:type="paragraph" w:customStyle="1" w:styleId="p0">
    <w:name w:val="p0"/>
    <w:basedOn w:val="a"/>
    <w:qFormat/>
    <w:pPr>
      <w:widowControl/>
      <w:suppressAutoHyphens/>
      <w:autoSpaceDN w:val="0"/>
      <w:spacing w:before="100" w:beforeAutospacing="1" w:after="100" w:afterAutospacing="1"/>
      <w:textAlignment w:val="baseline"/>
    </w:pPr>
    <w:rPr>
      <w:rFonts w:ascii="宋体" w:eastAsia="宋体" w:hAnsi="宋体" w:cs="宋体"/>
      <w:kern w:val="0"/>
      <w:sz w:val="24"/>
      <w:szCs w:val="24"/>
    </w:rPr>
  </w:style>
  <w:style w:type="character" w:customStyle="1" w:styleId="af3">
    <w:name w:val="页眉 字符"/>
    <w:basedOn w:val="a1"/>
    <w:link w:val="af2"/>
    <w:uiPriority w:val="99"/>
    <w:qFormat/>
    <w:rPr>
      <w:kern w:val="3"/>
      <w:sz w:val="18"/>
      <w:szCs w:val="18"/>
    </w:rPr>
  </w:style>
  <w:style w:type="character" w:customStyle="1" w:styleId="af1">
    <w:name w:val="页脚 字符"/>
    <w:basedOn w:val="a1"/>
    <w:link w:val="af0"/>
    <w:uiPriority w:val="99"/>
    <w:qFormat/>
    <w:rPr>
      <w:kern w:val="3"/>
      <w:sz w:val="18"/>
      <w:szCs w:val="18"/>
    </w:rPr>
  </w:style>
  <w:style w:type="character" w:customStyle="1" w:styleId="ab">
    <w:name w:val="正文文本 字符"/>
    <w:basedOn w:val="a1"/>
    <w:link w:val="aa"/>
    <w:uiPriority w:val="99"/>
    <w:qFormat/>
    <w:rPr>
      <w:rFonts w:asciiTheme="minorHAnsi" w:eastAsiaTheme="minorEastAsia" w:hAnsiTheme="minorHAnsi" w:cstheme="minorBidi"/>
      <w:kern w:val="2"/>
      <w:sz w:val="21"/>
      <w:szCs w:val="22"/>
    </w:rPr>
  </w:style>
  <w:style w:type="paragraph" w:styleId="afe">
    <w:name w:val="Balloon Text"/>
    <w:basedOn w:val="a"/>
    <w:link w:val="aff"/>
    <w:uiPriority w:val="99"/>
    <w:semiHidden/>
    <w:unhideWhenUsed/>
    <w:rsid w:val="00D84536"/>
    <w:rPr>
      <w:sz w:val="18"/>
      <w:szCs w:val="18"/>
    </w:rPr>
  </w:style>
  <w:style w:type="character" w:customStyle="1" w:styleId="aff">
    <w:name w:val="批注框文本 字符"/>
    <w:basedOn w:val="a1"/>
    <w:link w:val="afe"/>
    <w:uiPriority w:val="99"/>
    <w:semiHidden/>
    <w:rsid w:val="00D84536"/>
    <w:rPr>
      <w:rFonts w:eastAsia="华文宋体"/>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EDB8A-E79E-4CC1-838B-9A9ECBE74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14</Pages>
  <Words>1451</Words>
  <Characters>8276</Characters>
  <Application>Microsoft Office Word</Application>
  <DocSecurity>0</DocSecurity>
  <Lines>68</Lines>
  <Paragraphs>19</Paragraphs>
  <ScaleCrop>false</ScaleCrop>
  <Company/>
  <LinksUpToDate>false</LinksUpToDate>
  <CharactersWithSpaces>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He</dc:creator>
  <cp:lastModifiedBy>鹏 刘</cp:lastModifiedBy>
  <cp:revision>16</cp:revision>
  <dcterms:created xsi:type="dcterms:W3CDTF">2025-08-01T18:16:00Z</dcterms:created>
  <dcterms:modified xsi:type="dcterms:W3CDTF">2025-08-06T00:58:00Z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2052-12.1.22218.22218</vt:lpwstr>
  </property>
  <property fmtid="{D5CDD505-2E9C-101B-9397-08002B2CF9AE}" pid="3" name="ICV">
    <vt:lpwstr>D5395336C622E18B0BAC8168EA802E86_42</vt:lpwstr>
  </property>
</Properties>
</file>