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B9329" w14:textId="77777777" w:rsidR="00C95800" w:rsidRPr="00205AD9" w:rsidRDefault="00C95800" w:rsidP="00C95800">
      <w:pPr>
        <w:spacing w:line="360" w:lineRule="auto"/>
        <w:jc w:val="center"/>
        <w:rPr>
          <w:b/>
          <w:sz w:val="40"/>
          <w:szCs w:val="40"/>
        </w:rPr>
      </w:pPr>
      <w:r>
        <w:rPr>
          <w:b/>
          <w:sz w:val="40"/>
          <w:szCs w:val="40"/>
        </w:rPr>
        <w:t>清华大学屏蔽实验反应堆</w:t>
      </w:r>
      <w:r>
        <w:rPr>
          <w:rFonts w:hint="eastAsia"/>
          <w:b/>
          <w:sz w:val="40"/>
          <w:szCs w:val="40"/>
        </w:rPr>
        <w:t>（</w:t>
      </w:r>
      <w:r>
        <w:rPr>
          <w:rFonts w:hint="eastAsia"/>
          <w:b/>
          <w:sz w:val="40"/>
          <w:szCs w:val="40"/>
        </w:rPr>
        <w:t>901</w:t>
      </w:r>
      <w:r>
        <w:rPr>
          <w:rFonts w:hint="eastAsia"/>
          <w:b/>
          <w:sz w:val="40"/>
          <w:szCs w:val="40"/>
        </w:rPr>
        <w:t>堆）</w:t>
      </w:r>
      <w:r>
        <w:rPr>
          <w:b/>
          <w:sz w:val="40"/>
          <w:szCs w:val="40"/>
        </w:rPr>
        <w:t>退役</w:t>
      </w:r>
      <w:r>
        <w:rPr>
          <w:rFonts w:hint="eastAsia"/>
          <w:b/>
          <w:sz w:val="40"/>
          <w:szCs w:val="40"/>
        </w:rPr>
        <w:t>项目</w:t>
      </w:r>
    </w:p>
    <w:p w14:paraId="4DF94B95" w14:textId="77777777" w:rsidR="00C95800" w:rsidRDefault="00C95800" w:rsidP="00C95800">
      <w:pPr>
        <w:spacing w:line="360" w:lineRule="auto"/>
        <w:jc w:val="center"/>
        <w:rPr>
          <w:rFonts w:eastAsia="黑体"/>
          <w:b/>
          <w:sz w:val="44"/>
          <w:szCs w:val="44"/>
        </w:rPr>
      </w:pPr>
      <w:r>
        <w:rPr>
          <w:rFonts w:eastAsia="黑体" w:hint="eastAsia"/>
          <w:b/>
          <w:sz w:val="44"/>
          <w:szCs w:val="44"/>
        </w:rPr>
        <w:t>转运小车采购技术规格书</w:t>
      </w:r>
    </w:p>
    <w:p w14:paraId="6FD57C1A" w14:textId="77777777" w:rsidR="00C95800" w:rsidRDefault="00C95800" w:rsidP="00C95800">
      <w:pPr>
        <w:spacing w:line="360" w:lineRule="auto"/>
        <w:jc w:val="center"/>
        <w:rPr>
          <w:b/>
          <w:sz w:val="36"/>
          <w:szCs w:val="36"/>
        </w:rPr>
      </w:pPr>
    </w:p>
    <w:p w14:paraId="6C06DDA4" w14:textId="77777777" w:rsidR="00C95800" w:rsidRDefault="00C95800" w:rsidP="00C95800">
      <w:pPr>
        <w:spacing w:line="360" w:lineRule="auto"/>
        <w:jc w:val="center"/>
        <w:rPr>
          <w:b/>
          <w:sz w:val="36"/>
          <w:szCs w:val="36"/>
        </w:rPr>
      </w:pPr>
    </w:p>
    <w:p w14:paraId="5E71C181" w14:textId="77777777" w:rsidR="00C95800" w:rsidRDefault="00C95800" w:rsidP="00C95800">
      <w:pPr>
        <w:spacing w:line="360" w:lineRule="auto"/>
      </w:pPr>
    </w:p>
    <w:p w14:paraId="4D19657A" w14:textId="77777777" w:rsidR="00C95800" w:rsidRDefault="00C95800" w:rsidP="00C95800">
      <w:pPr>
        <w:spacing w:line="360" w:lineRule="auto"/>
      </w:pPr>
    </w:p>
    <w:p w14:paraId="6256DD93" w14:textId="77777777" w:rsidR="00C95800" w:rsidRDefault="00C95800" w:rsidP="00C95800">
      <w:pPr>
        <w:spacing w:line="360" w:lineRule="auto"/>
      </w:pPr>
    </w:p>
    <w:p w14:paraId="397F2B97" w14:textId="77777777" w:rsidR="00C95800" w:rsidRDefault="00C95800" w:rsidP="00C95800">
      <w:pPr>
        <w:spacing w:line="360" w:lineRule="auto"/>
        <w:rPr>
          <w:rFonts w:eastAsia="仿宋_GB2312"/>
        </w:rPr>
      </w:pPr>
    </w:p>
    <w:p w14:paraId="5EB81BDE" w14:textId="77777777" w:rsidR="00C95800" w:rsidRDefault="00C95800" w:rsidP="00C95800">
      <w:pPr>
        <w:spacing w:line="360" w:lineRule="auto"/>
        <w:rPr>
          <w:rFonts w:eastAsia="仿宋_GB2312"/>
        </w:rPr>
      </w:pPr>
    </w:p>
    <w:p w14:paraId="5811EF96" w14:textId="77777777" w:rsidR="00C95800" w:rsidRDefault="00C95800" w:rsidP="00C95800">
      <w:pPr>
        <w:spacing w:line="360" w:lineRule="auto"/>
        <w:rPr>
          <w:rFonts w:eastAsia="仿宋_GB2312"/>
        </w:rPr>
      </w:pPr>
    </w:p>
    <w:p w14:paraId="43212276" w14:textId="77777777" w:rsidR="00C95800" w:rsidRDefault="00C95800" w:rsidP="00C95800">
      <w:pPr>
        <w:spacing w:line="360" w:lineRule="auto"/>
        <w:rPr>
          <w:rFonts w:eastAsia="仿宋_GB2312"/>
        </w:rPr>
      </w:pPr>
    </w:p>
    <w:p w14:paraId="6933E1F4" w14:textId="77777777" w:rsidR="00C95800" w:rsidRDefault="00C95800" w:rsidP="00C95800">
      <w:pPr>
        <w:spacing w:line="360" w:lineRule="auto"/>
        <w:rPr>
          <w:rFonts w:eastAsia="仿宋_GB2312"/>
        </w:rPr>
      </w:pPr>
    </w:p>
    <w:p w14:paraId="06704CB9" w14:textId="77777777" w:rsidR="00C95800" w:rsidRDefault="00C95800" w:rsidP="00C95800">
      <w:pPr>
        <w:spacing w:line="360" w:lineRule="auto"/>
        <w:rPr>
          <w:rFonts w:eastAsia="仿宋_GB2312"/>
        </w:rPr>
      </w:pPr>
    </w:p>
    <w:p w14:paraId="1D3C0B15" w14:textId="77777777" w:rsidR="00C95800" w:rsidRDefault="00C95800" w:rsidP="00C95800">
      <w:pPr>
        <w:spacing w:line="360" w:lineRule="auto"/>
        <w:jc w:val="center"/>
        <w:rPr>
          <w:rFonts w:eastAsia="仿宋_GB2312"/>
        </w:rPr>
      </w:pPr>
    </w:p>
    <w:p w14:paraId="2381EF1C" w14:textId="77777777" w:rsidR="00C95800" w:rsidRDefault="00C95800" w:rsidP="00C95800">
      <w:pPr>
        <w:spacing w:line="360" w:lineRule="auto"/>
        <w:rPr>
          <w:rFonts w:eastAsia="仿宋_GB2312"/>
        </w:rPr>
      </w:pPr>
    </w:p>
    <w:p w14:paraId="4ABECDC7" w14:textId="77777777" w:rsidR="00C95800" w:rsidRDefault="00C95800" w:rsidP="00C95800">
      <w:pPr>
        <w:spacing w:line="360" w:lineRule="auto"/>
        <w:rPr>
          <w:rFonts w:eastAsia="仿宋_GB2312"/>
        </w:rPr>
      </w:pPr>
    </w:p>
    <w:p w14:paraId="14E92582" w14:textId="77777777" w:rsidR="00C95800" w:rsidRDefault="00C95800" w:rsidP="00C95800">
      <w:pPr>
        <w:spacing w:line="360" w:lineRule="auto"/>
        <w:rPr>
          <w:rFonts w:eastAsia="仿宋_GB2312"/>
        </w:rPr>
      </w:pPr>
    </w:p>
    <w:p w14:paraId="4F50BA60" w14:textId="77777777" w:rsidR="00C95800" w:rsidRDefault="00C95800" w:rsidP="00C95800">
      <w:pPr>
        <w:spacing w:line="360" w:lineRule="auto"/>
        <w:rPr>
          <w:rFonts w:eastAsia="仿宋_GB2312"/>
        </w:rPr>
      </w:pPr>
    </w:p>
    <w:p w14:paraId="670AE005" w14:textId="77777777" w:rsidR="00C95800" w:rsidRDefault="00C95800" w:rsidP="00C95800">
      <w:pPr>
        <w:spacing w:line="360" w:lineRule="auto"/>
        <w:rPr>
          <w:rFonts w:eastAsia="仿宋_GB2312"/>
        </w:rPr>
      </w:pPr>
    </w:p>
    <w:p w14:paraId="27411648" w14:textId="77777777" w:rsidR="00C95800" w:rsidRPr="00205AD9" w:rsidRDefault="00C95800" w:rsidP="00C95800">
      <w:pPr>
        <w:spacing w:line="360" w:lineRule="auto"/>
        <w:rPr>
          <w:rFonts w:eastAsia="仿宋_GB2312"/>
        </w:rPr>
      </w:pPr>
    </w:p>
    <w:p w14:paraId="0700824E" w14:textId="77777777" w:rsidR="00C95800" w:rsidRDefault="00C95800" w:rsidP="00C95800">
      <w:pPr>
        <w:spacing w:line="360" w:lineRule="auto"/>
        <w:jc w:val="center"/>
        <w:rPr>
          <w:rFonts w:eastAsia="仿宋_GB2312"/>
        </w:rPr>
      </w:pPr>
    </w:p>
    <w:p w14:paraId="39939C04" w14:textId="77777777" w:rsidR="00C95800" w:rsidRDefault="00C95800" w:rsidP="00C95800">
      <w:pPr>
        <w:spacing w:line="360" w:lineRule="auto"/>
        <w:jc w:val="center"/>
        <w:rPr>
          <w:rFonts w:eastAsia="仿宋_GB2312"/>
        </w:rPr>
      </w:pPr>
      <w:r>
        <w:rPr>
          <w:rFonts w:eastAsia="仿宋_GB2312"/>
        </w:rPr>
        <w:t>清华大学</w:t>
      </w:r>
      <w:r>
        <w:rPr>
          <w:rFonts w:eastAsia="仿宋_GB2312" w:hint="eastAsia"/>
        </w:rPr>
        <w:t>核能与新能源技术研究研究</w:t>
      </w:r>
    </w:p>
    <w:p w14:paraId="6ED50956" w14:textId="637471B4" w:rsidR="00C95800" w:rsidRDefault="00C95800" w:rsidP="00C95800">
      <w:pPr>
        <w:spacing w:line="360" w:lineRule="auto"/>
        <w:jc w:val="center"/>
        <w:rPr>
          <w:rFonts w:eastAsia="仿宋_GB2312"/>
        </w:rPr>
        <w:sectPr w:rsidR="00C95800" w:rsidSect="00C95800">
          <w:headerReference w:type="even" r:id="rId7"/>
          <w:headerReference w:type="default" r:id="rId8"/>
          <w:footerReference w:type="even" r:id="rId9"/>
          <w:footerReference w:type="default" r:id="rId10"/>
          <w:headerReference w:type="first" r:id="rId11"/>
          <w:footerReference w:type="first" r:id="rId12"/>
          <w:pgSz w:w="11906" w:h="16838"/>
          <w:pgMar w:top="1985" w:right="1134" w:bottom="1418" w:left="1701" w:header="851" w:footer="992" w:gutter="0"/>
          <w:cols w:space="425"/>
          <w:docGrid w:linePitch="312"/>
        </w:sectPr>
      </w:pPr>
      <w:r>
        <w:rPr>
          <w:rFonts w:eastAsia="仿宋_GB2312"/>
        </w:rPr>
        <w:t>202</w:t>
      </w:r>
      <w:r>
        <w:rPr>
          <w:rFonts w:eastAsia="仿宋_GB2312" w:hint="eastAsia"/>
        </w:rPr>
        <w:t>6</w:t>
      </w:r>
      <w:r>
        <w:rPr>
          <w:rFonts w:eastAsia="仿宋_GB2312"/>
        </w:rPr>
        <w:t>年</w:t>
      </w:r>
      <w:r>
        <w:rPr>
          <w:rFonts w:eastAsia="仿宋_GB2312" w:hint="eastAsia"/>
        </w:rPr>
        <w:t>5</w:t>
      </w:r>
      <w:r>
        <w:rPr>
          <w:rFonts w:eastAsia="仿宋_GB2312"/>
        </w:rPr>
        <w:t>月</w:t>
      </w:r>
    </w:p>
    <w:p w14:paraId="7DD417CF" w14:textId="77777777" w:rsidR="00C95800" w:rsidRPr="00CA09F2" w:rsidRDefault="00C95800" w:rsidP="00C95800">
      <w:pPr>
        <w:pStyle w:val="1"/>
        <w:keepNext w:val="0"/>
        <w:keepLines w:val="0"/>
        <w:numPr>
          <w:ilvl w:val="0"/>
          <w:numId w:val="1"/>
        </w:numPr>
        <w:spacing w:before="0" w:after="0" w:line="520" w:lineRule="exact"/>
        <w:ind w:left="340" w:hanging="340"/>
        <w:rPr>
          <w:rFonts w:ascii="Times New Roman" w:eastAsia="黑体" w:hAnsi="Times New Roman" w:cstheme="minorBidi"/>
          <w:b/>
          <w:bCs/>
          <w:sz w:val="32"/>
        </w:rPr>
      </w:pPr>
      <w:r w:rsidRPr="00CA09F2">
        <w:rPr>
          <w:rFonts w:ascii="Times New Roman" w:eastAsia="黑体" w:hAnsi="Times New Roman" w:cstheme="minorBidi" w:hint="eastAsia"/>
          <w:sz w:val="32"/>
        </w:rPr>
        <w:lastRenderedPageBreak/>
        <w:t>项目概况</w:t>
      </w:r>
    </w:p>
    <w:p w14:paraId="4CA24BDF" w14:textId="77777777" w:rsidR="00C95800" w:rsidRDefault="00C95800" w:rsidP="00C95800">
      <w:pPr>
        <w:spacing w:line="360" w:lineRule="auto"/>
        <w:ind w:firstLine="480"/>
        <w:rPr>
          <w:szCs w:val="24"/>
        </w:rPr>
      </w:pPr>
      <w:r>
        <w:rPr>
          <w:rFonts w:hint="eastAsia"/>
          <w:szCs w:val="24"/>
        </w:rPr>
        <w:t>清华大学屏蔽实验反应堆（</w:t>
      </w:r>
      <w:r>
        <w:rPr>
          <w:rFonts w:hint="eastAsia"/>
          <w:szCs w:val="24"/>
        </w:rPr>
        <w:t>901</w:t>
      </w:r>
      <w:r>
        <w:rPr>
          <w:rFonts w:hint="eastAsia"/>
          <w:szCs w:val="24"/>
        </w:rPr>
        <w:t>堆）退役项目即将进入堆本体拆除阶段，堆本体拆除主要包括堆内构件拆除和生物屏蔽体拆除。堆内构件使用堆内构件拆除机械手及远程控制系统（以下简称机械手系统）拆解；拆解后的部件由机械手系统抓取并转移放置在停留在堆内构件拆除操作平台（以下简称钢结构平台）装车工位的</w:t>
      </w:r>
      <w:r>
        <w:rPr>
          <w:rFonts w:hint="eastAsia"/>
          <w:szCs w:val="24"/>
        </w:rPr>
        <w:t>AGV</w:t>
      </w:r>
      <w:r>
        <w:rPr>
          <w:rFonts w:hint="eastAsia"/>
          <w:szCs w:val="24"/>
        </w:rPr>
        <w:t>转运小车（以下简称转运小车）上，转运小车携带拆解部件通过转运小车升降平台（以下简称升降平台）自钢结构平台下降至地面装箱工位进行装箱。转运小车运行环境如图</w:t>
      </w:r>
      <w:r>
        <w:rPr>
          <w:rFonts w:hint="eastAsia"/>
          <w:szCs w:val="24"/>
        </w:rPr>
        <w:t>1</w:t>
      </w:r>
      <w:r>
        <w:rPr>
          <w:rFonts w:hint="eastAsia"/>
          <w:szCs w:val="24"/>
        </w:rPr>
        <w:t>所示。</w:t>
      </w:r>
    </w:p>
    <w:p w14:paraId="0945849B" w14:textId="77777777" w:rsidR="00C95800" w:rsidRDefault="00C95800" w:rsidP="00C95800">
      <w:pPr>
        <w:spacing w:line="360" w:lineRule="auto"/>
        <w:rPr>
          <w:szCs w:val="24"/>
        </w:rPr>
      </w:pPr>
      <w:r>
        <w:rPr>
          <w:rFonts w:hint="eastAsia"/>
          <w:noProof/>
          <w:szCs w:val="24"/>
        </w:rPr>
        <w:drawing>
          <wp:inline distT="0" distB="0" distL="0" distR="0" wp14:anchorId="05313786" wp14:editId="4C2BCBD9">
            <wp:extent cx="5572125" cy="3251200"/>
            <wp:effectExtent l="0" t="0" r="9525" b="6350"/>
            <wp:docPr id="11512781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278137" name="图片 1151278137"/>
                    <pic:cNvPicPr/>
                  </pic:nvPicPr>
                  <pic:blipFill>
                    <a:blip r:embed="rId13">
                      <a:extLst>
                        <a:ext uri="{28A0092B-C50C-407E-A947-70E740481C1C}">
                          <a14:useLocalDpi xmlns:a14="http://schemas.microsoft.com/office/drawing/2010/main" val="0"/>
                        </a:ext>
                      </a:extLst>
                    </a:blip>
                    <a:stretch>
                      <a:fillRect/>
                    </a:stretch>
                  </pic:blipFill>
                  <pic:spPr>
                    <a:xfrm>
                      <a:off x="0" y="0"/>
                      <a:ext cx="5572125" cy="3251200"/>
                    </a:xfrm>
                    <a:prstGeom prst="rect">
                      <a:avLst/>
                    </a:prstGeom>
                  </pic:spPr>
                </pic:pic>
              </a:graphicData>
            </a:graphic>
          </wp:inline>
        </w:drawing>
      </w:r>
    </w:p>
    <w:p w14:paraId="4AFCD293" w14:textId="77777777" w:rsidR="00C95800" w:rsidRDefault="00C95800" w:rsidP="00C95800">
      <w:pPr>
        <w:spacing w:line="360" w:lineRule="auto"/>
        <w:jc w:val="center"/>
        <w:rPr>
          <w:szCs w:val="24"/>
        </w:rPr>
      </w:pPr>
      <w:r>
        <w:rPr>
          <w:rFonts w:hint="eastAsia"/>
          <w:szCs w:val="24"/>
        </w:rPr>
        <w:t>图</w:t>
      </w:r>
      <w:r>
        <w:rPr>
          <w:rFonts w:hint="eastAsia"/>
          <w:szCs w:val="24"/>
        </w:rPr>
        <w:t xml:space="preserve">1  </w:t>
      </w:r>
      <w:r>
        <w:rPr>
          <w:rFonts w:hint="eastAsia"/>
          <w:szCs w:val="24"/>
        </w:rPr>
        <w:t>转运小车运行环境示意图</w:t>
      </w:r>
    </w:p>
    <w:p w14:paraId="602727F1" w14:textId="77777777" w:rsidR="00C95800" w:rsidRPr="00CA09F2" w:rsidRDefault="00C95800" w:rsidP="00C95800">
      <w:pPr>
        <w:pStyle w:val="1"/>
        <w:keepNext w:val="0"/>
        <w:keepLines w:val="0"/>
        <w:numPr>
          <w:ilvl w:val="0"/>
          <w:numId w:val="1"/>
        </w:numPr>
        <w:spacing w:before="0" w:after="0" w:line="520" w:lineRule="exact"/>
        <w:ind w:left="340" w:hanging="340"/>
        <w:rPr>
          <w:rFonts w:ascii="Times New Roman" w:eastAsia="黑体" w:hAnsi="Times New Roman" w:cstheme="minorBidi"/>
          <w:b/>
          <w:bCs/>
          <w:sz w:val="32"/>
        </w:rPr>
      </w:pPr>
      <w:r w:rsidRPr="00CA09F2">
        <w:rPr>
          <w:rFonts w:ascii="Times New Roman" w:eastAsia="黑体" w:hAnsi="Times New Roman" w:cstheme="minorBidi" w:hint="eastAsia"/>
          <w:sz w:val="32"/>
        </w:rPr>
        <w:t>适用范围</w:t>
      </w:r>
    </w:p>
    <w:p w14:paraId="593440E2" w14:textId="77777777" w:rsidR="00C95800" w:rsidRPr="00CA09F2" w:rsidRDefault="00C95800" w:rsidP="00C95800">
      <w:pPr>
        <w:spacing w:line="360" w:lineRule="auto"/>
        <w:ind w:firstLine="480"/>
        <w:rPr>
          <w:szCs w:val="24"/>
        </w:rPr>
      </w:pPr>
      <w:r>
        <w:rPr>
          <w:rFonts w:hint="eastAsia"/>
          <w:szCs w:val="24"/>
        </w:rPr>
        <w:t>1</w:t>
      </w:r>
      <w:r>
        <w:rPr>
          <w:rFonts w:hint="eastAsia"/>
          <w:szCs w:val="24"/>
        </w:rPr>
        <w:t>）</w:t>
      </w:r>
      <w:r w:rsidRPr="00CA09F2">
        <w:rPr>
          <w:szCs w:val="24"/>
        </w:rPr>
        <w:t>本文件适用于</w:t>
      </w:r>
      <w:r w:rsidRPr="00CA09F2">
        <w:rPr>
          <w:szCs w:val="24"/>
        </w:rPr>
        <w:t>901</w:t>
      </w:r>
      <w:r w:rsidRPr="00CA09F2">
        <w:rPr>
          <w:rFonts w:hint="eastAsia"/>
          <w:szCs w:val="24"/>
        </w:rPr>
        <w:t>堆</w:t>
      </w:r>
      <w:r w:rsidRPr="00CA09F2">
        <w:rPr>
          <w:szCs w:val="24"/>
        </w:rPr>
        <w:t>退役</w:t>
      </w:r>
      <w:r w:rsidRPr="00CA09F2">
        <w:rPr>
          <w:rFonts w:hint="eastAsia"/>
          <w:szCs w:val="24"/>
        </w:rPr>
        <w:t>项目转运小车的采购</w:t>
      </w:r>
      <w:r w:rsidRPr="00CA09F2">
        <w:rPr>
          <w:szCs w:val="24"/>
        </w:rPr>
        <w:t>，包括</w:t>
      </w:r>
      <w:r w:rsidRPr="00CA09F2">
        <w:rPr>
          <w:rFonts w:hint="eastAsia"/>
          <w:szCs w:val="24"/>
        </w:rPr>
        <w:t>但不限于</w:t>
      </w:r>
      <w:r w:rsidRPr="00CA09F2">
        <w:rPr>
          <w:szCs w:val="24"/>
        </w:rPr>
        <w:t>该设备的设计、制造、调试</w:t>
      </w:r>
      <w:r w:rsidRPr="00CA09F2">
        <w:rPr>
          <w:rFonts w:hint="eastAsia"/>
          <w:szCs w:val="24"/>
        </w:rPr>
        <w:t>和验收</w:t>
      </w:r>
      <w:r w:rsidRPr="00CA09F2">
        <w:rPr>
          <w:szCs w:val="24"/>
        </w:rPr>
        <w:t>等方面的技术</w:t>
      </w:r>
      <w:r>
        <w:rPr>
          <w:szCs w:val="24"/>
        </w:rPr>
        <w:t>及供货要求。</w:t>
      </w:r>
    </w:p>
    <w:p w14:paraId="44AA135D" w14:textId="4FA77817" w:rsidR="00C95800" w:rsidRDefault="00C95800" w:rsidP="00C95800">
      <w:pPr>
        <w:spacing w:line="360" w:lineRule="auto"/>
        <w:ind w:firstLine="480"/>
        <w:rPr>
          <w:szCs w:val="24"/>
        </w:rPr>
      </w:pPr>
      <w:r>
        <w:rPr>
          <w:rFonts w:hint="eastAsia"/>
          <w:szCs w:val="24"/>
        </w:rPr>
        <w:t>2</w:t>
      </w:r>
      <w:r>
        <w:rPr>
          <w:rFonts w:hint="eastAsia"/>
          <w:szCs w:val="24"/>
        </w:rPr>
        <w:t>）供应商</w:t>
      </w:r>
      <w:r>
        <w:rPr>
          <w:szCs w:val="24"/>
        </w:rPr>
        <w:t>提供的设备符合本文件</w:t>
      </w:r>
      <w:r>
        <w:rPr>
          <w:rFonts w:hint="eastAsia"/>
          <w:szCs w:val="24"/>
        </w:rPr>
        <w:t>要求、</w:t>
      </w:r>
      <w:r>
        <w:rPr>
          <w:szCs w:val="24"/>
        </w:rPr>
        <w:t>相关国家标准以及</w:t>
      </w:r>
      <w:r>
        <w:rPr>
          <w:rFonts w:hint="eastAsia"/>
          <w:szCs w:val="24"/>
        </w:rPr>
        <w:t>相关</w:t>
      </w:r>
      <w:r>
        <w:rPr>
          <w:szCs w:val="24"/>
        </w:rPr>
        <w:t>行业标准的要求</w:t>
      </w:r>
      <w:r>
        <w:rPr>
          <w:rFonts w:hint="eastAsia"/>
          <w:szCs w:val="24"/>
        </w:rPr>
        <w:t>。</w:t>
      </w:r>
    </w:p>
    <w:p w14:paraId="15CF8A15" w14:textId="77777777" w:rsidR="00C95800" w:rsidRPr="00CA09F2" w:rsidRDefault="00C95800" w:rsidP="00C95800">
      <w:pPr>
        <w:pStyle w:val="1"/>
        <w:keepNext w:val="0"/>
        <w:keepLines w:val="0"/>
        <w:numPr>
          <w:ilvl w:val="0"/>
          <w:numId w:val="1"/>
        </w:numPr>
        <w:spacing w:before="0" w:after="0" w:line="520" w:lineRule="exact"/>
        <w:ind w:left="340" w:hanging="340"/>
        <w:rPr>
          <w:rFonts w:ascii="Times New Roman" w:eastAsia="黑体" w:hAnsi="Times New Roman" w:cstheme="minorBidi"/>
          <w:b/>
          <w:bCs/>
          <w:sz w:val="32"/>
        </w:rPr>
      </w:pPr>
      <w:r w:rsidRPr="00CA09F2">
        <w:rPr>
          <w:rFonts w:ascii="Times New Roman" w:eastAsia="黑体" w:hAnsi="Times New Roman" w:cstheme="minorBidi" w:hint="eastAsia"/>
          <w:sz w:val="32"/>
        </w:rPr>
        <w:t>适用标准、规范和文件</w:t>
      </w:r>
    </w:p>
    <w:p w14:paraId="55F10585" w14:textId="77777777" w:rsidR="00C95800" w:rsidRPr="009F6A9B" w:rsidRDefault="00C95800" w:rsidP="00C95800">
      <w:pPr>
        <w:spacing w:line="360" w:lineRule="auto"/>
        <w:ind w:firstLine="480"/>
        <w:rPr>
          <w:szCs w:val="24"/>
        </w:rPr>
      </w:pPr>
      <w:r w:rsidRPr="009F6A9B">
        <w:rPr>
          <w:rFonts w:hint="eastAsia"/>
          <w:szCs w:val="24"/>
        </w:rPr>
        <w:t>1</w:t>
      </w:r>
      <w:r w:rsidRPr="009F6A9B">
        <w:rPr>
          <w:rFonts w:hint="eastAsia"/>
          <w:szCs w:val="24"/>
        </w:rPr>
        <w:t>）《</w:t>
      </w:r>
      <w:r w:rsidRPr="00471A18">
        <w:rPr>
          <w:rFonts w:hint="eastAsia"/>
          <w:szCs w:val="24"/>
        </w:rPr>
        <w:t>工业车辆安全要求和验证</w:t>
      </w:r>
      <w:r w:rsidRPr="009F6A9B">
        <w:rPr>
          <w:rFonts w:hint="eastAsia"/>
          <w:szCs w:val="24"/>
        </w:rPr>
        <w:t>》（</w:t>
      </w:r>
      <w:r w:rsidRPr="00471A18">
        <w:rPr>
          <w:szCs w:val="24"/>
        </w:rPr>
        <w:t>GB10827.1</w:t>
      </w:r>
      <w:r>
        <w:rPr>
          <w:rFonts w:hint="eastAsia"/>
          <w:szCs w:val="24"/>
        </w:rPr>
        <w:t>-2014</w:t>
      </w:r>
      <w:r w:rsidRPr="009F6A9B">
        <w:rPr>
          <w:rFonts w:hint="eastAsia"/>
          <w:szCs w:val="24"/>
        </w:rPr>
        <w:t>）</w:t>
      </w:r>
    </w:p>
    <w:p w14:paraId="1A6D9A82" w14:textId="77777777" w:rsidR="00C95800" w:rsidRPr="009F6A9B" w:rsidRDefault="00C95800" w:rsidP="00C95800">
      <w:pPr>
        <w:spacing w:line="360" w:lineRule="auto"/>
        <w:ind w:firstLine="480"/>
        <w:rPr>
          <w:szCs w:val="24"/>
        </w:rPr>
      </w:pPr>
      <w:r w:rsidRPr="009F6A9B">
        <w:rPr>
          <w:rFonts w:hint="eastAsia"/>
          <w:szCs w:val="24"/>
        </w:rPr>
        <w:t>2</w:t>
      </w:r>
      <w:r w:rsidRPr="009F6A9B">
        <w:rPr>
          <w:rFonts w:hint="eastAsia"/>
          <w:szCs w:val="24"/>
        </w:rPr>
        <w:t>）《机械安全基本要求》（</w:t>
      </w:r>
      <w:r w:rsidRPr="009F6A9B">
        <w:rPr>
          <w:rFonts w:hint="eastAsia"/>
          <w:szCs w:val="24"/>
        </w:rPr>
        <w:t>GB/T 15706-2012</w:t>
      </w:r>
      <w:r w:rsidRPr="009F6A9B">
        <w:rPr>
          <w:rFonts w:hint="eastAsia"/>
          <w:szCs w:val="24"/>
        </w:rPr>
        <w:t>）</w:t>
      </w:r>
    </w:p>
    <w:p w14:paraId="79CD22DF" w14:textId="77777777" w:rsidR="00C95800" w:rsidRPr="009F6A9B" w:rsidRDefault="00C95800" w:rsidP="00C95800">
      <w:pPr>
        <w:spacing w:line="360" w:lineRule="auto"/>
        <w:ind w:firstLine="480"/>
        <w:rPr>
          <w:szCs w:val="24"/>
        </w:rPr>
      </w:pPr>
      <w:r w:rsidRPr="009F6A9B">
        <w:rPr>
          <w:szCs w:val="24"/>
        </w:rPr>
        <w:t>3</w:t>
      </w:r>
      <w:r w:rsidRPr="009F6A9B">
        <w:rPr>
          <w:rFonts w:hint="eastAsia"/>
          <w:szCs w:val="24"/>
        </w:rPr>
        <w:t>）《机械电气安全</w:t>
      </w:r>
      <w:r>
        <w:rPr>
          <w:rFonts w:hint="eastAsia"/>
          <w:szCs w:val="24"/>
        </w:rPr>
        <w:t xml:space="preserve">  </w:t>
      </w:r>
      <w:r>
        <w:rPr>
          <w:rFonts w:hint="eastAsia"/>
          <w:szCs w:val="24"/>
        </w:rPr>
        <w:t>机械电气设备</w:t>
      </w:r>
      <w:r>
        <w:rPr>
          <w:rFonts w:hint="eastAsia"/>
          <w:szCs w:val="24"/>
        </w:rPr>
        <w:t xml:space="preserve"> </w:t>
      </w:r>
      <w:r>
        <w:rPr>
          <w:rFonts w:hint="eastAsia"/>
          <w:szCs w:val="24"/>
        </w:rPr>
        <w:t>第一部分：通用技术条件</w:t>
      </w:r>
      <w:r w:rsidRPr="009F6A9B">
        <w:rPr>
          <w:rFonts w:hint="eastAsia"/>
          <w:szCs w:val="24"/>
        </w:rPr>
        <w:t>》（</w:t>
      </w:r>
      <w:r w:rsidRPr="009F6A9B">
        <w:rPr>
          <w:rFonts w:hint="eastAsia"/>
          <w:szCs w:val="24"/>
        </w:rPr>
        <w:t>GB5226.1-2019</w:t>
      </w:r>
      <w:r w:rsidRPr="009F6A9B">
        <w:rPr>
          <w:rFonts w:hint="eastAsia"/>
          <w:szCs w:val="24"/>
        </w:rPr>
        <w:t>）</w:t>
      </w:r>
    </w:p>
    <w:p w14:paraId="4DBFC750" w14:textId="77777777" w:rsidR="00C95800" w:rsidRDefault="00C95800" w:rsidP="00C95800">
      <w:pPr>
        <w:spacing w:line="360" w:lineRule="auto"/>
        <w:ind w:firstLine="480"/>
        <w:rPr>
          <w:szCs w:val="24"/>
        </w:rPr>
      </w:pPr>
      <w:r w:rsidRPr="009F6A9B">
        <w:rPr>
          <w:szCs w:val="24"/>
        </w:rPr>
        <w:t>4</w:t>
      </w:r>
      <w:r w:rsidRPr="009F6A9B">
        <w:rPr>
          <w:rFonts w:hint="eastAsia"/>
          <w:szCs w:val="24"/>
        </w:rPr>
        <w:t>）《</w:t>
      </w:r>
      <w:r w:rsidRPr="009F6A9B">
        <w:rPr>
          <w:szCs w:val="24"/>
        </w:rPr>
        <w:t>国家电气设备安全技术规范</w:t>
      </w:r>
      <w:r w:rsidRPr="009F6A9B">
        <w:rPr>
          <w:rFonts w:hint="eastAsia"/>
          <w:szCs w:val="24"/>
        </w:rPr>
        <w:t>》（</w:t>
      </w:r>
      <w:r w:rsidRPr="009F6A9B">
        <w:rPr>
          <w:szCs w:val="24"/>
        </w:rPr>
        <w:t>GB19517-2009</w:t>
      </w:r>
      <w:r w:rsidRPr="009F6A9B">
        <w:rPr>
          <w:rFonts w:hint="eastAsia"/>
          <w:szCs w:val="24"/>
        </w:rPr>
        <w:t>）</w:t>
      </w:r>
    </w:p>
    <w:p w14:paraId="514E1D1B" w14:textId="77777777" w:rsidR="00C95800" w:rsidRPr="009F6A9B" w:rsidRDefault="00C95800" w:rsidP="00C95800">
      <w:pPr>
        <w:spacing w:line="360" w:lineRule="auto"/>
        <w:ind w:firstLine="480"/>
        <w:rPr>
          <w:szCs w:val="24"/>
        </w:rPr>
      </w:pPr>
      <w:r>
        <w:rPr>
          <w:rFonts w:hint="eastAsia"/>
          <w:szCs w:val="24"/>
        </w:rPr>
        <w:t>5</w:t>
      </w:r>
      <w:r>
        <w:rPr>
          <w:rFonts w:hint="eastAsia"/>
          <w:szCs w:val="24"/>
        </w:rPr>
        <w:t>）《</w:t>
      </w:r>
      <w:r w:rsidRPr="00BA073B">
        <w:rPr>
          <w:rFonts w:hint="eastAsia"/>
          <w:szCs w:val="24"/>
        </w:rPr>
        <w:t>机械安全</w:t>
      </w:r>
      <w:r>
        <w:rPr>
          <w:rFonts w:hint="eastAsia"/>
          <w:szCs w:val="24"/>
        </w:rPr>
        <w:t xml:space="preserve"> </w:t>
      </w:r>
      <w:r w:rsidRPr="00BA073B">
        <w:rPr>
          <w:rFonts w:hint="eastAsia"/>
          <w:szCs w:val="24"/>
        </w:rPr>
        <w:t>急停</w:t>
      </w:r>
      <w:r>
        <w:rPr>
          <w:rFonts w:hint="eastAsia"/>
          <w:szCs w:val="24"/>
        </w:rPr>
        <w:t>功能</w:t>
      </w:r>
      <w:r>
        <w:rPr>
          <w:rFonts w:hint="eastAsia"/>
          <w:szCs w:val="24"/>
        </w:rPr>
        <w:t xml:space="preserve"> </w:t>
      </w:r>
      <w:r w:rsidRPr="00BA073B">
        <w:rPr>
          <w:rFonts w:hint="eastAsia"/>
          <w:szCs w:val="24"/>
        </w:rPr>
        <w:t>设计原则</w:t>
      </w:r>
      <w:r>
        <w:rPr>
          <w:rFonts w:hint="eastAsia"/>
          <w:szCs w:val="24"/>
        </w:rPr>
        <w:t>》（</w:t>
      </w:r>
      <w:r w:rsidRPr="00BA073B">
        <w:rPr>
          <w:szCs w:val="24"/>
        </w:rPr>
        <w:t>GB/T 16754-2021</w:t>
      </w:r>
      <w:r>
        <w:rPr>
          <w:rFonts w:hint="eastAsia"/>
          <w:szCs w:val="24"/>
        </w:rPr>
        <w:t>）</w:t>
      </w:r>
    </w:p>
    <w:p w14:paraId="3CBF74DE" w14:textId="77777777" w:rsidR="00C95800" w:rsidRDefault="00C95800" w:rsidP="00C95800">
      <w:pPr>
        <w:spacing w:line="360" w:lineRule="auto"/>
        <w:ind w:firstLine="480"/>
        <w:rPr>
          <w:szCs w:val="24"/>
        </w:rPr>
      </w:pPr>
      <w:r>
        <w:rPr>
          <w:rFonts w:hint="eastAsia"/>
          <w:szCs w:val="24"/>
        </w:rPr>
        <w:lastRenderedPageBreak/>
        <w:t>6</w:t>
      </w:r>
      <w:r w:rsidRPr="009F6A9B">
        <w:rPr>
          <w:rFonts w:hint="eastAsia"/>
          <w:szCs w:val="24"/>
        </w:rPr>
        <w:t>）《</w:t>
      </w:r>
      <w:r w:rsidRPr="009F6A9B">
        <w:rPr>
          <w:szCs w:val="24"/>
        </w:rPr>
        <w:t>驱动微电机通用技术要求</w:t>
      </w:r>
      <w:r w:rsidRPr="009F6A9B">
        <w:rPr>
          <w:rFonts w:hint="eastAsia"/>
          <w:szCs w:val="24"/>
        </w:rPr>
        <w:t>》（</w:t>
      </w:r>
      <w:r w:rsidRPr="009F6A9B">
        <w:rPr>
          <w:szCs w:val="24"/>
        </w:rPr>
        <w:t>GB/T 39568-2020</w:t>
      </w:r>
      <w:r w:rsidRPr="009F6A9B">
        <w:rPr>
          <w:rFonts w:hint="eastAsia"/>
          <w:szCs w:val="24"/>
        </w:rPr>
        <w:t>）</w:t>
      </w:r>
    </w:p>
    <w:p w14:paraId="17F33D3F" w14:textId="77777777" w:rsidR="00C95800" w:rsidRPr="009F6A9B" w:rsidRDefault="00C95800" w:rsidP="00C95800">
      <w:pPr>
        <w:spacing w:line="360" w:lineRule="auto"/>
        <w:ind w:firstLine="480"/>
        <w:rPr>
          <w:szCs w:val="24"/>
        </w:rPr>
      </w:pPr>
      <w:r>
        <w:rPr>
          <w:rFonts w:hint="eastAsia"/>
          <w:szCs w:val="24"/>
        </w:rPr>
        <w:t>7</w:t>
      </w:r>
      <w:r>
        <w:rPr>
          <w:rFonts w:hint="eastAsia"/>
          <w:szCs w:val="24"/>
        </w:rPr>
        <w:t>）</w:t>
      </w:r>
      <w:r w:rsidRPr="00471A18">
        <w:rPr>
          <w:rFonts w:hint="eastAsia"/>
          <w:szCs w:val="24"/>
        </w:rPr>
        <w:t>《蓄电池搬运车</w:t>
      </w:r>
      <w:r>
        <w:rPr>
          <w:rFonts w:hint="eastAsia"/>
          <w:szCs w:val="24"/>
        </w:rPr>
        <w:t xml:space="preserve"> </w:t>
      </w:r>
      <w:r w:rsidRPr="00471A18">
        <w:rPr>
          <w:rFonts w:hint="eastAsia"/>
          <w:szCs w:val="24"/>
        </w:rPr>
        <w:t>电气通用技术条件》</w:t>
      </w:r>
      <w:r>
        <w:rPr>
          <w:rFonts w:hint="eastAsia"/>
          <w:szCs w:val="24"/>
        </w:rPr>
        <w:t>（</w:t>
      </w:r>
      <w:r w:rsidRPr="00471A18">
        <w:rPr>
          <w:szCs w:val="24"/>
        </w:rPr>
        <w:t>JB/T5874</w:t>
      </w:r>
      <w:r>
        <w:rPr>
          <w:rFonts w:hint="eastAsia"/>
          <w:szCs w:val="24"/>
        </w:rPr>
        <w:t>-1991</w:t>
      </w:r>
      <w:r>
        <w:rPr>
          <w:rFonts w:hint="eastAsia"/>
          <w:szCs w:val="24"/>
        </w:rPr>
        <w:t>）</w:t>
      </w:r>
    </w:p>
    <w:p w14:paraId="69815022" w14:textId="77777777" w:rsidR="00C95800" w:rsidRPr="00CA09F2" w:rsidRDefault="00C95800" w:rsidP="00C95800">
      <w:pPr>
        <w:pStyle w:val="1"/>
        <w:keepNext w:val="0"/>
        <w:keepLines w:val="0"/>
        <w:numPr>
          <w:ilvl w:val="0"/>
          <w:numId w:val="1"/>
        </w:numPr>
        <w:spacing w:before="0" w:after="0" w:line="520" w:lineRule="exact"/>
        <w:ind w:left="340" w:hanging="340"/>
        <w:rPr>
          <w:rFonts w:ascii="Times New Roman" w:eastAsia="黑体" w:hAnsi="Times New Roman" w:cstheme="minorBidi"/>
          <w:b/>
          <w:bCs/>
          <w:sz w:val="32"/>
        </w:rPr>
      </w:pPr>
      <w:r w:rsidRPr="00CA09F2">
        <w:rPr>
          <w:rFonts w:ascii="Times New Roman" w:eastAsia="黑体" w:hAnsi="Times New Roman" w:cstheme="minorBidi" w:hint="eastAsia"/>
          <w:sz w:val="32"/>
        </w:rPr>
        <w:t>工作条件</w:t>
      </w:r>
    </w:p>
    <w:p w14:paraId="20EC15AD" w14:textId="77777777" w:rsidR="00C95800" w:rsidRPr="00CA09F2" w:rsidRDefault="00C95800" w:rsidP="00C95800">
      <w:pPr>
        <w:pStyle w:val="2"/>
        <w:keepNext w:val="0"/>
        <w:keepLines w:val="0"/>
        <w:spacing w:before="0" w:after="0" w:line="520" w:lineRule="exact"/>
        <w:ind w:left="539" w:hanging="539"/>
        <w:rPr>
          <w:rFonts w:ascii="Times New Roman" w:eastAsia="黑体" w:hAnsi="Times New Roman"/>
          <w:b/>
          <w:bCs/>
          <w:sz w:val="28"/>
        </w:rPr>
      </w:pPr>
      <w:r>
        <w:rPr>
          <w:rFonts w:ascii="Times New Roman" w:eastAsia="黑体" w:hAnsi="Times New Roman" w:hint="eastAsia"/>
          <w:sz w:val="28"/>
        </w:rPr>
        <w:t>4</w:t>
      </w:r>
      <w:r w:rsidRPr="00CA09F2">
        <w:rPr>
          <w:rFonts w:ascii="Times New Roman" w:eastAsia="黑体" w:hAnsi="Times New Roman" w:hint="eastAsia"/>
          <w:sz w:val="28"/>
        </w:rPr>
        <w:t xml:space="preserve">.1 </w:t>
      </w:r>
      <w:r w:rsidRPr="00CA09F2">
        <w:rPr>
          <w:rFonts w:ascii="Times New Roman" w:eastAsia="黑体" w:hAnsi="Times New Roman" w:hint="eastAsia"/>
          <w:sz w:val="28"/>
        </w:rPr>
        <w:t>电力要求</w:t>
      </w:r>
    </w:p>
    <w:p w14:paraId="1C0841DA" w14:textId="77777777" w:rsidR="00C95800" w:rsidRPr="005237C5" w:rsidRDefault="00C95800" w:rsidP="00C95800">
      <w:pPr>
        <w:spacing w:line="360" w:lineRule="auto"/>
        <w:ind w:firstLine="480"/>
        <w:rPr>
          <w:szCs w:val="24"/>
        </w:rPr>
      </w:pPr>
      <w:r>
        <w:rPr>
          <w:rFonts w:hint="eastAsia"/>
          <w:szCs w:val="24"/>
        </w:rPr>
        <w:t>转运小车自带动力电池，</w:t>
      </w:r>
      <w:r w:rsidRPr="005237C5">
        <w:rPr>
          <w:rFonts w:hint="eastAsia"/>
          <w:szCs w:val="24"/>
        </w:rPr>
        <w:t>现场可提供</w:t>
      </w:r>
      <w:r w:rsidRPr="005237C5">
        <w:rPr>
          <w:szCs w:val="24"/>
        </w:rPr>
        <w:t>220/380V</w:t>
      </w:r>
      <w:r w:rsidRPr="005237C5">
        <w:rPr>
          <w:rFonts w:hint="eastAsia"/>
          <w:szCs w:val="24"/>
        </w:rPr>
        <w:t>、</w:t>
      </w:r>
      <w:r w:rsidRPr="005237C5">
        <w:rPr>
          <w:szCs w:val="24"/>
        </w:rPr>
        <w:t>50Hz</w:t>
      </w:r>
      <w:r w:rsidRPr="005237C5">
        <w:rPr>
          <w:rFonts w:hint="eastAsia"/>
          <w:szCs w:val="24"/>
        </w:rPr>
        <w:t>电源</w:t>
      </w:r>
      <w:r>
        <w:rPr>
          <w:rFonts w:hint="eastAsia"/>
          <w:szCs w:val="24"/>
        </w:rPr>
        <w:t>为其充电</w:t>
      </w:r>
      <w:r w:rsidRPr="005237C5">
        <w:rPr>
          <w:rFonts w:hint="eastAsia"/>
          <w:szCs w:val="24"/>
        </w:rPr>
        <w:t>。</w:t>
      </w:r>
    </w:p>
    <w:p w14:paraId="03D2FDEC" w14:textId="77777777" w:rsidR="00C95800" w:rsidRPr="00CA09F2" w:rsidRDefault="00C95800" w:rsidP="00C95800">
      <w:pPr>
        <w:pStyle w:val="2"/>
        <w:keepNext w:val="0"/>
        <w:keepLines w:val="0"/>
        <w:spacing w:before="0" w:after="0" w:line="520" w:lineRule="exact"/>
        <w:ind w:left="539" w:hanging="539"/>
        <w:rPr>
          <w:rFonts w:ascii="Times New Roman" w:eastAsia="黑体" w:hAnsi="Times New Roman"/>
          <w:b/>
          <w:bCs/>
          <w:sz w:val="28"/>
        </w:rPr>
      </w:pPr>
      <w:r>
        <w:rPr>
          <w:rFonts w:ascii="Times New Roman" w:eastAsia="黑体" w:hAnsi="Times New Roman" w:hint="eastAsia"/>
          <w:sz w:val="28"/>
        </w:rPr>
        <w:t>4.</w:t>
      </w:r>
      <w:r w:rsidRPr="00CA09F2">
        <w:rPr>
          <w:rFonts w:ascii="Times New Roman" w:eastAsia="黑体" w:hAnsi="Times New Roman" w:hint="eastAsia"/>
          <w:sz w:val="28"/>
        </w:rPr>
        <w:t>2</w:t>
      </w:r>
      <w:r w:rsidRPr="00CA09F2">
        <w:rPr>
          <w:rFonts w:ascii="Times New Roman" w:eastAsia="黑体" w:hAnsi="Times New Roman" w:hint="eastAsia"/>
          <w:sz w:val="28"/>
        </w:rPr>
        <w:t>现场条件</w:t>
      </w:r>
    </w:p>
    <w:p w14:paraId="50640347" w14:textId="77777777" w:rsidR="00C95800" w:rsidRDefault="00C95800" w:rsidP="00C95800">
      <w:pPr>
        <w:spacing w:line="360" w:lineRule="auto"/>
        <w:ind w:firstLine="480"/>
        <w:rPr>
          <w:szCs w:val="24"/>
        </w:rPr>
      </w:pPr>
      <w:r>
        <w:rPr>
          <w:rFonts w:hint="eastAsia"/>
          <w:szCs w:val="24"/>
        </w:rPr>
        <w:t>转运小车主要在钢结构平台和</w:t>
      </w:r>
      <w:r>
        <w:rPr>
          <w:rFonts w:hint="eastAsia"/>
          <w:szCs w:val="24"/>
        </w:rPr>
        <w:t>901</w:t>
      </w:r>
      <w:r>
        <w:rPr>
          <w:rFonts w:hint="eastAsia"/>
          <w:szCs w:val="24"/>
        </w:rPr>
        <w:t>堆大厅地面间进行堆内构件转运，钢结构平台东北角建设升降平台作为行进通道；升降平台载物平台尺寸南北长</w:t>
      </w:r>
      <w:r>
        <w:rPr>
          <w:rFonts w:hint="eastAsia"/>
          <w:szCs w:val="24"/>
        </w:rPr>
        <w:t>1.5</w:t>
      </w:r>
      <w:r>
        <w:rPr>
          <w:rFonts w:hint="eastAsia"/>
          <w:szCs w:val="24"/>
        </w:rPr>
        <w:t>、东西长</w:t>
      </w:r>
      <w:r>
        <w:rPr>
          <w:rFonts w:hint="eastAsia"/>
          <w:szCs w:val="24"/>
        </w:rPr>
        <w:t>2m</w:t>
      </w:r>
      <w:r>
        <w:rPr>
          <w:rFonts w:hint="eastAsia"/>
          <w:szCs w:val="24"/>
        </w:rPr>
        <w:t>。钢结构平台为花纹钢板结构，其上布置机械手系统，取样平台和转运机械人。转运小车、机械手系统、取样平台和取样机械人均布置在气帐内，气帐东北侧开门，转运小车由此门在钢结构平台上进出气帐。现场设备布置如图</w:t>
      </w:r>
      <w:r>
        <w:rPr>
          <w:rFonts w:hint="eastAsia"/>
          <w:szCs w:val="24"/>
        </w:rPr>
        <w:t>2</w:t>
      </w:r>
      <w:r>
        <w:rPr>
          <w:rFonts w:hint="eastAsia"/>
          <w:szCs w:val="24"/>
        </w:rPr>
        <w:t>所示。</w:t>
      </w:r>
    </w:p>
    <w:p w14:paraId="27DE8BA4" w14:textId="77777777" w:rsidR="00C95800" w:rsidRDefault="00C95800" w:rsidP="00C95800">
      <w:pPr>
        <w:spacing w:line="360" w:lineRule="auto"/>
        <w:jc w:val="center"/>
        <w:rPr>
          <w:szCs w:val="24"/>
        </w:rPr>
      </w:pPr>
      <w:r>
        <w:rPr>
          <w:rFonts w:hint="eastAsia"/>
          <w:noProof/>
          <w:szCs w:val="24"/>
        </w:rPr>
        <w:drawing>
          <wp:inline distT="0" distB="0" distL="0" distR="0" wp14:anchorId="47381834" wp14:editId="4E054A99">
            <wp:extent cx="4929809" cy="3162300"/>
            <wp:effectExtent l="0" t="0" r="4445" b="0"/>
            <wp:docPr id="56656162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561629" name="图片 566561629"/>
                    <pic:cNvPicPr/>
                  </pic:nvPicPr>
                  <pic:blipFill>
                    <a:blip r:embed="rId14">
                      <a:extLst>
                        <a:ext uri="{28A0092B-C50C-407E-A947-70E740481C1C}">
                          <a14:useLocalDpi xmlns:a14="http://schemas.microsoft.com/office/drawing/2010/main" val="0"/>
                        </a:ext>
                      </a:extLst>
                    </a:blip>
                    <a:stretch>
                      <a:fillRect/>
                    </a:stretch>
                  </pic:blipFill>
                  <pic:spPr>
                    <a:xfrm>
                      <a:off x="0" y="0"/>
                      <a:ext cx="4934752" cy="3165471"/>
                    </a:xfrm>
                    <a:prstGeom prst="rect">
                      <a:avLst/>
                    </a:prstGeom>
                  </pic:spPr>
                </pic:pic>
              </a:graphicData>
            </a:graphic>
          </wp:inline>
        </w:drawing>
      </w:r>
    </w:p>
    <w:p w14:paraId="1F9FEC0B" w14:textId="77777777" w:rsidR="00C95800" w:rsidRDefault="00C95800" w:rsidP="00C95800">
      <w:pPr>
        <w:spacing w:line="360" w:lineRule="auto"/>
        <w:jc w:val="center"/>
        <w:rPr>
          <w:szCs w:val="24"/>
        </w:rPr>
      </w:pPr>
      <w:r>
        <w:rPr>
          <w:rFonts w:hint="eastAsia"/>
          <w:szCs w:val="24"/>
        </w:rPr>
        <w:t>图</w:t>
      </w:r>
      <w:r>
        <w:rPr>
          <w:rFonts w:hint="eastAsia"/>
          <w:szCs w:val="24"/>
        </w:rPr>
        <w:t xml:space="preserve">2  </w:t>
      </w:r>
      <w:r>
        <w:rPr>
          <w:rFonts w:hint="eastAsia"/>
          <w:szCs w:val="24"/>
        </w:rPr>
        <w:t>现场设备布置图</w:t>
      </w:r>
    </w:p>
    <w:p w14:paraId="552F3730" w14:textId="77777777" w:rsidR="00C95800" w:rsidRPr="00DC58A9" w:rsidRDefault="00C95800" w:rsidP="00C95800">
      <w:pPr>
        <w:pStyle w:val="2"/>
        <w:keepNext w:val="0"/>
        <w:keepLines w:val="0"/>
        <w:spacing w:before="0" w:after="0" w:line="520" w:lineRule="exact"/>
        <w:ind w:left="539" w:hanging="539"/>
        <w:rPr>
          <w:rFonts w:ascii="Times New Roman" w:eastAsia="黑体" w:hAnsi="Times New Roman"/>
          <w:b/>
          <w:bCs/>
          <w:sz w:val="28"/>
        </w:rPr>
      </w:pPr>
      <w:r>
        <w:rPr>
          <w:rFonts w:ascii="Times New Roman" w:eastAsia="黑体" w:hAnsi="Times New Roman" w:hint="eastAsia"/>
          <w:sz w:val="28"/>
        </w:rPr>
        <w:t>4</w:t>
      </w:r>
      <w:r w:rsidRPr="00DC58A9">
        <w:rPr>
          <w:rFonts w:ascii="Times New Roman" w:eastAsia="黑体" w:hAnsi="Times New Roman" w:hint="eastAsia"/>
          <w:sz w:val="28"/>
        </w:rPr>
        <w:t>.3</w:t>
      </w:r>
      <w:r w:rsidRPr="00DC58A9">
        <w:rPr>
          <w:rFonts w:ascii="Times New Roman" w:eastAsia="黑体" w:hAnsi="Times New Roman" w:hint="eastAsia"/>
          <w:sz w:val="28"/>
        </w:rPr>
        <w:t>运行要求</w:t>
      </w:r>
    </w:p>
    <w:p w14:paraId="0F651A6F" w14:textId="77777777" w:rsidR="00C95800" w:rsidRPr="005237C5" w:rsidRDefault="00C95800" w:rsidP="00C95800">
      <w:pPr>
        <w:spacing w:line="360" w:lineRule="auto"/>
        <w:ind w:firstLine="480"/>
        <w:rPr>
          <w:szCs w:val="24"/>
        </w:rPr>
      </w:pPr>
      <w:r w:rsidRPr="00E80038">
        <w:rPr>
          <w:szCs w:val="24"/>
        </w:rPr>
        <w:t>机械手系统的龙门架上装有一台切割机械手和一台夹持机械手，其中夹持机械手的末端可运动至钢结构平台上方。转运小车初始停放在堆水池北侧的钢结构平台上。夹持机械手将拆解后的部件从堆水池中取出，并放置到转运小车上；随后，转运小车行驶至取样平台侧方驻停，由转运机器人将小车上的部件抓取至取样平台进行取样，之后再放回转运小车。接着，气帐东侧门打开，转运小车行驶至升降平台处，待升降平台闸门开启后，小车进入平台</w:t>
      </w:r>
      <w:r w:rsidRPr="00E80038">
        <w:rPr>
          <w:szCs w:val="24"/>
        </w:rPr>
        <w:lastRenderedPageBreak/>
        <w:t>并驻停。升降平台下降至地面后，转运小车驶离平台，继续行驶至装箱工位驻停。转运小车在到达各驻停点后应能安全停止，只有在接收到下一个运动指令后方可再次行进。行进过程中，小车需保持匀速稳定，并具备障碍物检测及紧急驻停功能。</w:t>
      </w:r>
    </w:p>
    <w:p w14:paraId="34B3E0AD" w14:textId="77777777" w:rsidR="00C95800" w:rsidRPr="00CA09F2" w:rsidRDefault="00C95800" w:rsidP="00C95800">
      <w:pPr>
        <w:pStyle w:val="1"/>
        <w:keepNext w:val="0"/>
        <w:keepLines w:val="0"/>
        <w:numPr>
          <w:ilvl w:val="0"/>
          <w:numId w:val="1"/>
        </w:numPr>
        <w:spacing w:before="0" w:after="0" w:line="520" w:lineRule="exact"/>
        <w:ind w:left="340" w:hanging="340"/>
        <w:rPr>
          <w:rFonts w:ascii="Times New Roman" w:eastAsia="黑体" w:hAnsi="Times New Roman" w:cstheme="minorBidi"/>
          <w:b/>
          <w:bCs/>
          <w:sz w:val="32"/>
        </w:rPr>
      </w:pPr>
      <w:r w:rsidRPr="00CA09F2">
        <w:rPr>
          <w:rFonts w:ascii="Times New Roman" w:eastAsia="黑体" w:hAnsi="Times New Roman" w:cstheme="minorBidi" w:hint="eastAsia"/>
          <w:sz w:val="32"/>
        </w:rPr>
        <w:t>设备功能和技术要求</w:t>
      </w:r>
    </w:p>
    <w:p w14:paraId="73BF2A35" w14:textId="77777777" w:rsidR="00C95800" w:rsidRDefault="00C95800" w:rsidP="00C95800">
      <w:pPr>
        <w:spacing w:line="360" w:lineRule="auto"/>
        <w:ind w:firstLine="480"/>
        <w:rPr>
          <w:szCs w:val="24"/>
        </w:rPr>
      </w:pPr>
      <w:r w:rsidRPr="00E80038">
        <w:rPr>
          <w:szCs w:val="24"/>
        </w:rPr>
        <w:t>转运小车的配置应满足</w:t>
      </w:r>
      <w:r w:rsidRPr="00E80038">
        <w:rPr>
          <w:szCs w:val="24"/>
        </w:rPr>
        <w:t>901</w:t>
      </w:r>
      <w:r w:rsidRPr="00E80038">
        <w:rPr>
          <w:szCs w:val="24"/>
        </w:rPr>
        <w:t>堆堆内构件转运需求，包括但不限于转运小车本体、充电器、无线遥控器及远程调度系统，以实现多种控制方式。</w:t>
      </w:r>
      <w:r>
        <w:rPr>
          <w:rFonts w:hint="eastAsia"/>
          <w:szCs w:val="24"/>
        </w:rPr>
        <w:t>主要功能和技术要求如下：</w:t>
      </w:r>
    </w:p>
    <w:p w14:paraId="07C31989" w14:textId="77777777" w:rsidR="00C95800" w:rsidRDefault="00C95800" w:rsidP="00C95800">
      <w:pPr>
        <w:spacing w:line="360" w:lineRule="auto"/>
        <w:ind w:firstLine="480"/>
        <w:rPr>
          <w:szCs w:val="24"/>
        </w:rPr>
      </w:pPr>
      <w:r>
        <w:rPr>
          <w:rFonts w:hint="eastAsia"/>
          <w:szCs w:val="24"/>
        </w:rPr>
        <w:t>1</w:t>
      </w:r>
      <w:r>
        <w:rPr>
          <w:rFonts w:hint="eastAsia"/>
          <w:szCs w:val="24"/>
        </w:rPr>
        <w:t>）</w:t>
      </w:r>
      <w:r w:rsidRPr="007063A7">
        <w:rPr>
          <w:rFonts w:hint="eastAsia"/>
          <w:szCs w:val="24"/>
        </w:rPr>
        <w:t>转运小车应具备无线遥控</w:t>
      </w:r>
      <w:r>
        <w:rPr>
          <w:rFonts w:hint="eastAsia"/>
          <w:szCs w:val="24"/>
        </w:rPr>
        <w:t>器</w:t>
      </w:r>
      <w:r w:rsidRPr="007063A7">
        <w:rPr>
          <w:rFonts w:hint="eastAsia"/>
          <w:szCs w:val="24"/>
        </w:rPr>
        <w:t>控制和远程调度控制两种控制方式</w:t>
      </w:r>
      <w:r>
        <w:rPr>
          <w:rFonts w:hint="eastAsia"/>
          <w:szCs w:val="24"/>
        </w:rPr>
        <w:t>；</w:t>
      </w:r>
      <w:r w:rsidRPr="00542F74">
        <w:rPr>
          <w:rFonts w:hint="eastAsia"/>
          <w:szCs w:val="24"/>
        </w:rPr>
        <w:t>操作人员可通过无线遥控器或者远程调度系统实现对转运小车包括但不限于行进、驻停、转向功能的控制；</w:t>
      </w:r>
    </w:p>
    <w:p w14:paraId="62B74DFF" w14:textId="77777777" w:rsidR="00C95800" w:rsidRPr="007063A7" w:rsidRDefault="00C95800" w:rsidP="00C95800">
      <w:pPr>
        <w:spacing w:line="360" w:lineRule="auto"/>
        <w:ind w:firstLine="480"/>
        <w:rPr>
          <w:szCs w:val="24"/>
        </w:rPr>
      </w:pPr>
      <w:r>
        <w:rPr>
          <w:rFonts w:hint="eastAsia"/>
          <w:szCs w:val="24"/>
        </w:rPr>
        <w:t>2</w:t>
      </w:r>
      <w:r>
        <w:rPr>
          <w:rFonts w:hint="eastAsia"/>
          <w:szCs w:val="24"/>
        </w:rPr>
        <w:t>）</w:t>
      </w:r>
      <w:r w:rsidRPr="007063A7">
        <w:rPr>
          <w:rFonts w:hint="eastAsia"/>
          <w:szCs w:val="24"/>
        </w:rPr>
        <w:t>使用远程调度系统控制时，转运小车须具备</w:t>
      </w:r>
      <w:r>
        <w:rPr>
          <w:rFonts w:hint="eastAsia"/>
          <w:szCs w:val="24"/>
        </w:rPr>
        <w:t>自动</w:t>
      </w:r>
      <w:r w:rsidRPr="007063A7">
        <w:rPr>
          <w:rFonts w:hint="eastAsia"/>
          <w:szCs w:val="24"/>
        </w:rPr>
        <w:t>壁障</w:t>
      </w:r>
      <w:r>
        <w:rPr>
          <w:rFonts w:hint="eastAsia"/>
          <w:szCs w:val="24"/>
        </w:rPr>
        <w:t>及</w:t>
      </w:r>
      <w:r w:rsidRPr="007063A7">
        <w:rPr>
          <w:rFonts w:hint="eastAsia"/>
          <w:szCs w:val="24"/>
        </w:rPr>
        <w:t>驻停功能</w:t>
      </w:r>
      <w:r>
        <w:rPr>
          <w:rFonts w:hint="eastAsia"/>
          <w:szCs w:val="24"/>
        </w:rPr>
        <w:t>，</w:t>
      </w:r>
      <w:r w:rsidRPr="007063A7">
        <w:rPr>
          <w:rFonts w:hint="eastAsia"/>
          <w:szCs w:val="24"/>
        </w:rPr>
        <w:t>远程调度系统具备根据使用需求规划和切换运动路径的功能</w:t>
      </w:r>
      <w:r>
        <w:rPr>
          <w:rFonts w:hint="eastAsia"/>
          <w:szCs w:val="24"/>
        </w:rPr>
        <w:t>；</w:t>
      </w:r>
    </w:p>
    <w:p w14:paraId="2D381671" w14:textId="77777777" w:rsidR="00C95800" w:rsidRPr="00CA09F2" w:rsidRDefault="00C95800" w:rsidP="00C95800">
      <w:pPr>
        <w:spacing w:line="360" w:lineRule="auto"/>
        <w:ind w:firstLine="480"/>
        <w:rPr>
          <w:szCs w:val="24"/>
        </w:rPr>
      </w:pPr>
      <w:r>
        <w:rPr>
          <w:rFonts w:hint="eastAsia"/>
          <w:szCs w:val="24"/>
        </w:rPr>
        <w:t>3</w:t>
      </w:r>
      <w:r>
        <w:rPr>
          <w:rFonts w:hint="eastAsia"/>
          <w:szCs w:val="24"/>
        </w:rPr>
        <w:t>）</w:t>
      </w:r>
      <w:r w:rsidRPr="00CA09F2">
        <w:rPr>
          <w:rFonts w:hint="eastAsia"/>
          <w:szCs w:val="24"/>
        </w:rPr>
        <w:t>远程调度系统设置在</w:t>
      </w:r>
      <w:r w:rsidRPr="00CA09F2">
        <w:rPr>
          <w:rFonts w:hint="eastAsia"/>
          <w:szCs w:val="24"/>
        </w:rPr>
        <w:t>101</w:t>
      </w:r>
      <w:r w:rsidRPr="00CA09F2">
        <w:rPr>
          <w:rFonts w:hint="eastAsia"/>
          <w:szCs w:val="24"/>
        </w:rPr>
        <w:t>楼</w:t>
      </w:r>
      <w:r w:rsidRPr="00CA09F2">
        <w:rPr>
          <w:rFonts w:hint="eastAsia"/>
          <w:szCs w:val="24"/>
        </w:rPr>
        <w:t>219/221</w:t>
      </w:r>
      <w:r w:rsidRPr="00CA09F2">
        <w:rPr>
          <w:rFonts w:hint="eastAsia"/>
          <w:szCs w:val="24"/>
        </w:rPr>
        <w:t>房间，操作人员可通过视频监控系统配合远程调度系统完成转运小车行进以及驻停控制；</w:t>
      </w:r>
    </w:p>
    <w:p w14:paraId="5BC1A89E" w14:textId="77777777" w:rsidR="00C95800" w:rsidRPr="00CA09F2" w:rsidRDefault="00C95800" w:rsidP="00C95800">
      <w:pPr>
        <w:spacing w:line="360" w:lineRule="auto"/>
        <w:ind w:firstLine="480"/>
        <w:rPr>
          <w:szCs w:val="24"/>
        </w:rPr>
      </w:pPr>
      <w:r>
        <w:rPr>
          <w:rFonts w:hint="eastAsia"/>
          <w:szCs w:val="24"/>
        </w:rPr>
        <w:t>4</w:t>
      </w:r>
      <w:r>
        <w:rPr>
          <w:rFonts w:hint="eastAsia"/>
          <w:szCs w:val="24"/>
        </w:rPr>
        <w:t>）</w:t>
      </w:r>
      <w:r w:rsidRPr="00CA09F2">
        <w:rPr>
          <w:rFonts w:hint="eastAsia"/>
          <w:szCs w:val="24"/>
        </w:rPr>
        <w:t>1000</w:t>
      </w:r>
      <w:r w:rsidRPr="00CA09F2">
        <w:rPr>
          <w:rFonts w:hint="eastAsia"/>
          <w:szCs w:val="24"/>
        </w:rPr>
        <w:t>×</w:t>
      </w:r>
      <w:r w:rsidRPr="00CA09F2">
        <w:rPr>
          <w:rFonts w:hint="eastAsia"/>
          <w:szCs w:val="24"/>
        </w:rPr>
        <w:t>800mm</w:t>
      </w:r>
      <w:r w:rsidRPr="00CA09F2">
        <w:rPr>
          <w:rFonts w:hint="eastAsia"/>
          <w:szCs w:val="24"/>
        </w:rPr>
        <w:t>≤车体长宽尺寸≤</w:t>
      </w:r>
      <w:r w:rsidRPr="00CA09F2">
        <w:rPr>
          <w:rFonts w:hint="eastAsia"/>
          <w:szCs w:val="24"/>
        </w:rPr>
        <w:t>1</w:t>
      </w:r>
      <w:r>
        <w:rPr>
          <w:rFonts w:hint="eastAsia"/>
          <w:szCs w:val="24"/>
        </w:rPr>
        <w:t>200</w:t>
      </w:r>
      <w:r w:rsidRPr="00CA09F2">
        <w:rPr>
          <w:rFonts w:hint="eastAsia"/>
          <w:szCs w:val="24"/>
        </w:rPr>
        <w:t>×</w:t>
      </w:r>
      <w:r w:rsidRPr="00CA09F2">
        <w:rPr>
          <w:rFonts w:hint="eastAsia"/>
          <w:szCs w:val="24"/>
        </w:rPr>
        <w:t>1</w:t>
      </w:r>
      <w:r>
        <w:rPr>
          <w:rFonts w:hint="eastAsia"/>
          <w:szCs w:val="24"/>
        </w:rPr>
        <w:t>0</w:t>
      </w:r>
      <w:r w:rsidRPr="00CA09F2">
        <w:rPr>
          <w:rFonts w:hint="eastAsia"/>
          <w:szCs w:val="24"/>
        </w:rPr>
        <w:t>00mm</w:t>
      </w:r>
      <w:r w:rsidRPr="00CA09F2">
        <w:rPr>
          <w:rFonts w:hint="eastAsia"/>
          <w:szCs w:val="24"/>
        </w:rPr>
        <w:t>，车高≤</w:t>
      </w:r>
      <w:r w:rsidRPr="00CA09F2">
        <w:rPr>
          <w:rFonts w:hint="eastAsia"/>
          <w:szCs w:val="24"/>
        </w:rPr>
        <w:t>400mm</w:t>
      </w:r>
      <w:r w:rsidRPr="00CA09F2">
        <w:rPr>
          <w:rFonts w:hint="eastAsia"/>
          <w:szCs w:val="24"/>
        </w:rPr>
        <w:t>，</w:t>
      </w:r>
      <w:r w:rsidRPr="00CA09F2">
        <w:rPr>
          <w:szCs w:val="24"/>
        </w:rPr>
        <w:t xml:space="preserve"> </w:t>
      </w:r>
      <w:r w:rsidRPr="00CA09F2">
        <w:rPr>
          <w:rFonts w:hint="eastAsia"/>
          <w:szCs w:val="24"/>
        </w:rPr>
        <w:t>载重≥</w:t>
      </w:r>
      <w:r w:rsidRPr="00CA09F2">
        <w:rPr>
          <w:rFonts w:hint="eastAsia"/>
          <w:szCs w:val="24"/>
        </w:rPr>
        <w:t>500kg</w:t>
      </w:r>
      <w:r w:rsidRPr="00CA09F2">
        <w:rPr>
          <w:rFonts w:hint="eastAsia"/>
          <w:szCs w:val="24"/>
        </w:rPr>
        <w:t>；</w:t>
      </w:r>
    </w:p>
    <w:p w14:paraId="2F6E9EC0" w14:textId="77777777" w:rsidR="00C95800" w:rsidRPr="00CA09F2" w:rsidRDefault="00C95800" w:rsidP="00C95800">
      <w:pPr>
        <w:spacing w:line="360" w:lineRule="auto"/>
        <w:ind w:firstLine="480"/>
        <w:rPr>
          <w:szCs w:val="24"/>
        </w:rPr>
      </w:pPr>
      <w:r>
        <w:rPr>
          <w:rFonts w:hint="eastAsia"/>
          <w:szCs w:val="24"/>
        </w:rPr>
        <w:t>5</w:t>
      </w:r>
      <w:r>
        <w:rPr>
          <w:rFonts w:hint="eastAsia"/>
          <w:szCs w:val="24"/>
        </w:rPr>
        <w:t>）</w:t>
      </w:r>
      <w:r w:rsidRPr="00CA09F2">
        <w:rPr>
          <w:rFonts w:hint="eastAsia"/>
          <w:szCs w:val="24"/>
        </w:rPr>
        <w:t>具备于激光</w:t>
      </w:r>
      <w:r>
        <w:rPr>
          <w:rFonts w:hint="eastAsia"/>
          <w:szCs w:val="24"/>
        </w:rPr>
        <w:t>和</w:t>
      </w:r>
      <w:r w:rsidRPr="00CA09F2">
        <w:rPr>
          <w:rFonts w:hint="eastAsia"/>
          <w:szCs w:val="24"/>
        </w:rPr>
        <w:t>二维码导航功能；</w:t>
      </w:r>
    </w:p>
    <w:p w14:paraId="41CCEE10" w14:textId="77777777" w:rsidR="00C95800" w:rsidRPr="00CA09F2" w:rsidRDefault="00C95800" w:rsidP="00C95800">
      <w:pPr>
        <w:spacing w:line="360" w:lineRule="auto"/>
        <w:ind w:firstLine="480"/>
        <w:rPr>
          <w:szCs w:val="24"/>
        </w:rPr>
      </w:pPr>
      <w:r>
        <w:rPr>
          <w:rFonts w:hint="eastAsia"/>
          <w:szCs w:val="24"/>
        </w:rPr>
        <w:t>6</w:t>
      </w:r>
      <w:r>
        <w:rPr>
          <w:rFonts w:hint="eastAsia"/>
          <w:szCs w:val="24"/>
        </w:rPr>
        <w:t>）</w:t>
      </w:r>
      <w:r w:rsidRPr="00CA09F2">
        <w:rPr>
          <w:rFonts w:hint="eastAsia"/>
          <w:szCs w:val="24"/>
        </w:rPr>
        <w:t>最小转向半径</w:t>
      </w:r>
      <w:r w:rsidRPr="00CA09F2">
        <w:rPr>
          <w:rFonts w:hint="eastAsia"/>
          <w:szCs w:val="24"/>
        </w:rPr>
        <w:t>0m</w:t>
      </w:r>
      <w:r w:rsidRPr="00CA09F2">
        <w:rPr>
          <w:rFonts w:hint="eastAsia"/>
          <w:szCs w:val="24"/>
        </w:rPr>
        <w:t>，具备全向（包括但不限于原地不转向实现前进、后退和左右横移）运动能力；</w:t>
      </w:r>
    </w:p>
    <w:p w14:paraId="6DD5AC22" w14:textId="77777777" w:rsidR="00C95800" w:rsidRPr="00CA09F2" w:rsidRDefault="00C95800" w:rsidP="00C95800">
      <w:pPr>
        <w:spacing w:line="360" w:lineRule="auto"/>
        <w:ind w:firstLine="480"/>
        <w:rPr>
          <w:szCs w:val="24"/>
        </w:rPr>
      </w:pPr>
      <w:r>
        <w:rPr>
          <w:rFonts w:hint="eastAsia"/>
          <w:szCs w:val="24"/>
        </w:rPr>
        <w:t>7</w:t>
      </w:r>
      <w:r>
        <w:rPr>
          <w:rFonts w:hint="eastAsia"/>
          <w:szCs w:val="24"/>
        </w:rPr>
        <w:t>）</w:t>
      </w:r>
      <w:r w:rsidRPr="00CA09F2">
        <w:rPr>
          <w:rFonts w:hint="eastAsia"/>
          <w:szCs w:val="24"/>
        </w:rPr>
        <w:t>运动速度在</w:t>
      </w:r>
      <w:r w:rsidRPr="00CA09F2">
        <w:rPr>
          <w:rFonts w:hint="eastAsia"/>
          <w:szCs w:val="24"/>
        </w:rPr>
        <w:t>0~1.2m/s</w:t>
      </w:r>
      <w:r w:rsidRPr="00CA09F2">
        <w:rPr>
          <w:rFonts w:hint="eastAsia"/>
          <w:szCs w:val="24"/>
        </w:rPr>
        <w:t>可调，</w:t>
      </w:r>
      <w:r w:rsidRPr="00CA09F2">
        <w:rPr>
          <w:szCs w:val="24"/>
        </w:rPr>
        <w:t>爬坡能力</w:t>
      </w:r>
      <w:r w:rsidRPr="00D325B3">
        <w:rPr>
          <w:szCs w:val="24"/>
        </w:rPr>
        <w:t>≥1.5°</w:t>
      </w:r>
      <w:r>
        <w:rPr>
          <w:rFonts w:hint="eastAsia"/>
          <w:szCs w:val="24"/>
        </w:rPr>
        <w:t>；</w:t>
      </w:r>
    </w:p>
    <w:p w14:paraId="393989C4" w14:textId="77777777" w:rsidR="00C95800" w:rsidRPr="00CA09F2" w:rsidRDefault="00C95800" w:rsidP="00C95800">
      <w:pPr>
        <w:spacing w:line="360" w:lineRule="auto"/>
        <w:ind w:firstLine="480"/>
        <w:rPr>
          <w:szCs w:val="24"/>
        </w:rPr>
      </w:pPr>
      <w:r>
        <w:rPr>
          <w:rFonts w:hint="eastAsia"/>
          <w:szCs w:val="24"/>
        </w:rPr>
        <w:t>8</w:t>
      </w:r>
      <w:r>
        <w:rPr>
          <w:rFonts w:hint="eastAsia"/>
          <w:szCs w:val="24"/>
        </w:rPr>
        <w:t>）</w:t>
      </w:r>
      <w:r w:rsidRPr="00CA09F2">
        <w:rPr>
          <w:rFonts w:hint="eastAsia"/>
          <w:szCs w:val="24"/>
        </w:rPr>
        <w:t>远程调度系统控制时，平均重复定位精度≤±</w:t>
      </w:r>
      <w:r>
        <w:rPr>
          <w:rFonts w:hint="eastAsia"/>
          <w:szCs w:val="24"/>
        </w:rPr>
        <w:t>5</w:t>
      </w:r>
      <w:r w:rsidRPr="00CA09F2">
        <w:rPr>
          <w:rFonts w:hint="eastAsia"/>
          <w:szCs w:val="24"/>
        </w:rPr>
        <w:t>mm</w:t>
      </w:r>
      <w:r w:rsidRPr="00CA09F2">
        <w:rPr>
          <w:rFonts w:hint="eastAsia"/>
          <w:szCs w:val="24"/>
        </w:rPr>
        <w:t>；</w:t>
      </w:r>
    </w:p>
    <w:p w14:paraId="6F66EFF4" w14:textId="77777777" w:rsidR="00C95800" w:rsidRDefault="00C95800" w:rsidP="00C95800">
      <w:pPr>
        <w:spacing w:line="360" w:lineRule="auto"/>
        <w:ind w:firstLine="480"/>
        <w:rPr>
          <w:szCs w:val="24"/>
        </w:rPr>
      </w:pPr>
      <w:r>
        <w:rPr>
          <w:rFonts w:hint="eastAsia"/>
          <w:szCs w:val="24"/>
        </w:rPr>
        <w:t>9</w:t>
      </w:r>
      <w:r>
        <w:rPr>
          <w:rFonts w:hint="eastAsia"/>
          <w:szCs w:val="24"/>
        </w:rPr>
        <w:t>）配备手动充电桩和自动充电桩；</w:t>
      </w:r>
    </w:p>
    <w:p w14:paraId="5B1055FB" w14:textId="77777777" w:rsidR="00C95800" w:rsidRPr="00CA09F2" w:rsidRDefault="00C95800" w:rsidP="00C95800">
      <w:pPr>
        <w:spacing w:line="360" w:lineRule="auto"/>
        <w:ind w:firstLine="480"/>
        <w:rPr>
          <w:szCs w:val="24"/>
        </w:rPr>
      </w:pPr>
      <w:r>
        <w:rPr>
          <w:rFonts w:hint="eastAsia"/>
          <w:szCs w:val="24"/>
        </w:rPr>
        <w:t>10</w:t>
      </w:r>
      <w:r>
        <w:rPr>
          <w:rFonts w:hint="eastAsia"/>
          <w:szCs w:val="24"/>
        </w:rPr>
        <w:t>）</w:t>
      </w:r>
      <w:r w:rsidRPr="00CA09F2">
        <w:rPr>
          <w:rFonts w:hint="eastAsia"/>
          <w:szCs w:val="24"/>
        </w:rPr>
        <w:t>单次充电续航时长≥</w:t>
      </w:r>
      <w:r w:rsidRPr="00CA09F2">
        <w:rPr>
          <w:rFonts w:hint="eastAsia"/>
          <w:szCs w:val="24"/>
        </w:rPr>
        <w:t>6h</w:t>
      </w:r>
      <w:r w:rsidRPr="00CA09F2">
        <w:rPr>
          <w:rFonts w:hint="eastAsia"/>
          <w:szCs w:val="24"/>
        </w:rPr>
        <w:t>；</w:t>
      </w:r>
    </w:p>
    <w:p w14:paraId="1CBF5F38" w14:textId="77777777" w:rsidR="00C95800" w:rsidRPr="00CA09F2" w:rsidRDefault="00C95800" w:rsidP="00C95800">
      <w:pPr>
        <w:spacing w:line="360" w:lineRule="auto"/>
        <w:ind w:firstLine="480"/>
        <w:rPr>
          <w:szCs w:val="24"/>
        </w:rPr>
      </w:pPr>
      <w:r>
        <w:rPr>
          <w:rFonts w:hint="eastAsia"/>
          <w:szCs w:val="24"/>
        </w:rPr>
        <w:t>10</w:t>
      </w:r>
      <w:r>
        <w:rPr>
          <w:rFonts w:hint="eastAsia"/>
          <w:szCs w:val="24"/>
        </w:rPr>
        <w:t>）</w:t>
      </w:r>
      <w:r w:rsidRPr="00CA09F2">
        <w:rPr>
          <w:rFonts w:hint="eastAsia"/>
          <w:szCs w:val="24"/>
        </w:rPr>
        <w:t>配套可拆卸</w:t>
      </w:r>
      <w:r>
        <w:rPr>
          <w:rFonts w:hint="eastAsia"/>
          <w:szCs w:val="24"/>
        </w:rPr>
        <w:t>的</w:t>
      </w:r>
      <w:r>
        <w:rPr>
          <w:rFonts w:hint="eastAsia"/>
          <w:szCs w:val="24"/>
        </w:rPr>
        <w:t>V</w:t>
      </w:r>
      <w:r>
        <w:rPr>
          <w:rFonts w:hint="eastAsia"/>
          <w:szCs w:val="24"/>
        </w:rPr>
        <w:t>型支架用于运输管道</w:t>
      </w:r>
      <w:r w:rsidRPr="00CA09F2">
        <w:rPr>
          <w:rFonts w:hint="eastAsia"/>
          <w:szCs w:val="24"/>
        </w:rPr>
        <w:t>。</w:t>
      </w:r>
    </w:p>
    <w:p w14:paraId="74B4A36F" w14:textId="77777777" w:rsidR="00C95800" w:rsidRPr="00CA09F2" w:rsidRDefault="00C95800" w:rsidP="00C95800">
      <w:pPr>
        <w:pStyle w:val="1"/>
        <w:keepNext w:val="0"/>
        <w:keepLines w:val="0"/>
        <w:numPr>
          <w:ilvl w:val="0"/>
          <w:numId w:val="1"/>
        </w:numPr>
        <w:spacing w:before="0" w:after="0" w:line="520" w:lineRule="exact"/>
        <w:ind w:left="340" w:hanging="340"/>
        <w:rPr>
          <w:rFonts w:ascii="Times New Roman" w:eastAsia="黑体" w:hAnsi="Times New Roman" w:cstheme="minorBidi"/>
          <w:b/>
          <w:bCs/>
          <w:sz w:val="32"/>
        </w:rPr>
      </w:pPr>
      <w:r w:rsidRPr="00CA09F2">
        <w:rPr>
          <w:rFonts w:ascii="Times New Roman" w:eastAsia="黑体" w:hAnsi="Times New Roman" w:cstheme="minorBidi" w:hint="eastAsia"/>
          <w:sz w:val="32"/>
        </w:rPr>
        <w:t>调试和供货</w:t>
      </w:r>
    </w:p>
    <w:p w14:paraId="50EECD16" w14:textId="77777777" w:rsidR="00C95800" w:rsidRPr="000A4D46" w:rsidRDefault="00C95800" w:rsidP="00C95800">
      <w:pPr>
        <w:spacing w:line="360" w:lineRule="auto"/>
        <w:ind w:firstLine="480"/>
        <w:rPr>
          <w:szCs w:val="24"/>
        </w:rPr>
      </w:pPr>
      <w:r w:rsidRPr="00CE6859">
        <w:rPr>
          <w:rFonts w:hint="eastAsia"/>
          <w:szCs w:val="24"/>
        </w:rPr>
        <w:t>1</w:t>
      </w:r>
      <w:r w:rsidRPr="00CE6859">
        <w:rPr>
          <w:rFonts w:hint="eastAsia"/>
          <w:szCs w:val="24"/>
        </w:rPr>
        <w:t>）供应商负责设备在</w:t>
      </w:r>
      <w:r w:rsidRPr="00CE6859">
        <w:rPr>
          <w:rFonts w:hint="eastAsia"/>
          <w:szCs w:val="24"/>
        </w:rPr>
        <w:t>901</w:t>
      </w:r>
      <w:r w:rsidRPr="00CE6859">
        <w:rPr>
          <w:rFonts w:hint="eastAsia"/>
          <w:szCs w:val="24"/>
        </w:rPr>
        <w:t>堆现场的调试，调试完成后编制调试报告提交采购人；</w:t>
      </w:r>
    </w:p>
    <w:p w14:paraId="743EB741" w14:textId="6FD1C82F" w:rsidR="00C95800" w:rsidRPr="000A4D46" w:rsidRDefault="00C95800" w:rsidP="00C95800">
      <w:pPr>
        <w:spacing w:line="360" w:lineRule="auto"/>
        <w:ind w:firstLine="480"/>
        <w:rPr>
          <w:szCs w:val="24"/>
        </w:rPr>
      </w:pPr>
      <w:r>
        <w:rPr>
          <w:rFonts w:hint="eastAsia"/>
          <w:szCs w:val="24"/>
        </w:rPr>
        <w:t>2</w:t>
      </w:r>
      <w:r>
        <w:rPr>
          <w:rFonts w:hint="eastAsia"/>
          <w:szCs w:val="24"/>
        </w:rPr>
        <w:t>）</w:t>
      </w:r>
      <w:r w:rsidRPr="000A4D46">
        <w:rPr>
          <w:rFonts w:hint="eastAsia"/>
          <w:szCs w:val="24"/>
        </w:rPr>
        <w:t>供应商应在合同签订</w:t>
      </w:r>
      <w:r>
        <w:rPr>
          <w:rFonts w:hint="eastAsia"/>
          <w:szCs w:val="24"/>
        </w:rPr>
        <w:t>4</w:t>
      </w:r>
      <w:r w:rsidR="00996E00">
        <w:rPr>
          <w:rFonts w:hint="eastAsia"/>
          <w:szCs w:val="24"/>
        </w:rPr>
        <w:t>5</w:t>
      </w:r>
      <w:r>
        <w:rPr>
          <w:rFonts w:hint="eastAsia"/>
          <w:szCs w:val="24"/>
        </w:rPr>
        <w:t>个自然日</w:t>
      </w:r>
      <w:r w:rsidRPr="000A4D46">
        <w:rPr>
          <w:rFonts w:hint="eastAsia"/>
          <w:szCs w:val="24"/>
        </w:rPr>
        <w:t>内完成供货。</w:t>
      </w:r>
    </w:p>
    <w:p w14:paraId="250938E4" w14:textId="77777777" w:rsidR="00C95800" w:rsidRPr="00E80038" w:rsidRDefault="00C95800" w:rsidP="00C95800">
      <w:pPr>
        <w:pStyle w:val="1"/>
        <w:keepNext w:val="0"/>
        <w:keepLines w:val="0"/>
        <w:numPr>
          <w:ilvl w:val="0"/>
          <w:numId w:val="1"/>
        </w:numPr>
        <w:spacing w:before="0" w:after="0" w:line="520" w:lineRule="exact"/>
        <w:ind w:left="340" w:hanging="340"/>
        <w:rPr>
          <w:rFonts w:ascii="Times New Roman" w:eastAsia="黑体" w:hAnsi="Times New Roman" w:cstheme="minorBidi"/>
          <w:sz w:val="32"/>
        </w:rPr>
      </w:pPr>
      <w:r w:rsidRPr="00CE6859">
        <w:rPr>
          <w:rFonts w:ascii="Times New Roman" w:eastAsia="黑体" w:hAnsi="Times New Roman" w:cstheme="minorBidi" w:hint="eastAsia"/>
          <w:sz w:val="32"/>
        </w:rPr>
        <w:t>付款方式</w:t>
      </w:r>
      <w:r w:rsidRPr="00E80038">
        <w:rPr>
          <w:rFonts w:ascii="Times New Roman" w:eastAsia="黑体" w:hAnsi="Times New Roman" w:cstheme="minorBidi" w:hint="eastAsia"/>
          <w:sz w:val="32"/>
        </w:rPr>
        <w:t>（</w:t>
      </w:r>
      <w:r w:rsidRPr="00CE6859">
        <w:rPr>
          <w:rFonts w:ascii="Times New Roman" w:eastAsia="黑体" w:hAnsi="Times New Roman" w:cstheme="minorBidi" w:hint="eastAsia"/>
          <w:sz w:val="32"/>
        </w:rPr>
        <w:t>分批支付</w:t>
      </w:r>
      <w:r w:rsidRPr="00E80038">
        <w:rPr>
          <w:rFonts w:ascii="Times New Roman" w:eastAsia="黑体" w:hAnsi="Times New Roman" w:cstheme="minorBidi" w:hint="eastAsia"/>
          <w:sz w:val="32"/>
        </w:rPr>
        <w:t>）：</w:t>
      </w:r>
    </w:p>
    <w:p w14:paraId="6DD85B77" w14:textId="77777777" w:rsidR="00C95800" w:rsidRPr="00CE6859" w:rsidRDefault="00C95800" w:rsidP="00C95800">
      <w:pPr>
        <w:spacing w:line="360" w:lineRule="auto"/>
        <w:ind w:firstLine="480"/>
        <w:rPr>
          <w:szCs w:val="24"/>
        </w:rPr>
      </w:pPr>
      <w:r w:rsidRPr="00CE6859">
        <w:rPr>
          <w:rFonts w:hint="eastAsia"/>
          <w:szCs w:val="24"/>
        </w:rPr>
        <w:t>1</w:t>
      </w:r>
      <w:r w:rsidRPr="00CE6859">
        <w:rPr>
          <w:rFonts w:hint="eastAsia"/>
          <w:szCs w:val="24"/>
        </w:rPr>
        <w:t>）合同生效后，在收到</w:t>
      </w:r>
      <w:r>
        <w:rPr>
          <w:rFonts w:hint="eastAsia"/>
          <w:szCs w:val="24"/>
        </w:rPr>
        <w:t>供应商</w:t>
      </w:r>
      <w:r w:rsidRPr="00CE6859">
        <w:rPr>
          <w:rFonts w:hint="eastAsia"/>
          <w:szCs w:val="24"/>
        </w:rPr>
        <w:t>增值税专用发票原件一份并经审核无误后</w:t>
      </w:r>
      <w:r w:rsidRPr="00CE6859">
        <w:rPr>
          <w:rFonts w:hint="eastAsia"/>
          <w:szCs w:val="24"/>
        </w:rPr>
        <w:t>10</w:t>
      </w:r>
      <w:r w:rsidRPr="00CE6859">
        <w:rPr>
          <w:rFonts w:hint="eastAsia"/>
          <w:szCs w:val="24"/>
        </w:rPr>
        <w:t>个工作日内，</w:t>
      </w:r>
      <w:r>
        <w:rPr>
          <w:rFonts w:hint="eastAsia"/>
          <w:szCs w:val="24"/>
        </w:rPr>
        <w:t>采购人</w:t>
      </w:r>
      <w:r w:rsidRPr="00CE6859">
        <w:rPr>
          <w:rFonts w:hint="eastAsia"/>
          <w:szCs w:val="24"/>
        </w:rPr>
        <w:t>向</w:t>
      </w:r>
      <w:r>
        <w:rPr>
          <w:rFonts w:hint="eastAsia"/>
          <w:szCs w:val="24"/>
        </w:rPr>
        <w:t>供应商</w:t>
      </w:r>
      <w:r w:rsidRPr="00CE6859">
        <w:rPr>
          <w:rFonts w:hint="eastAsia"/>
          <w:szCs w:val="24"/>
        </w:rPr>
        <w:t>支付合同价款的</w:t>
      </w:r>
      <w:r w:rsidRPr="00CE6859">
        <w:rPr>
          <w:rFonts w:hint="eastAsia"/>
          <w:szCs w:val="24"/>
        </w:rPr>
        <w:t>50%</w:t>
      </w:r>
      <w:r w:rsidRPr="00CE6859">
        <w:rPr>
          <w:rFonts w:hint="eastAsia"/>
          <w:szCs w:val="24"/>
        </w:rPr>
        <w:t>；</w:t>
      </w:r>
    </w:p>
    <w:p w14:paraId="2039DFDD" w14:textId="77777777" w:rsidR="00C95800" w:rsidRPr="00CE6859" w:rsidRDefault="00C95800" w:rsidP="00C95800">
      <w:pPr>
        <w:spacing w:line="360" w:lineRule="auto"/>
        <w:ind w:firstLine="480"/>
        <w:rPr>
          <w:szCs w:val="24"/>
        </w:rPr>
      </w:pPr>
      <w:r w:rsidRPr="00CE6859">
        <w:rPr>
          <w:rFonts w:hint="eastAsia"/>
          <w:szCs w:val="24"/>
        </w:rPr>
        <w:t>2</w:t>
      </w:r>
      <w:r w:rsidRPr="00CE6859">
        <w:rPr>
          <w:rFonts w:hint="eastAsia"/>
          <w:szCs w:val="24"/>
        </w:rPr>
        <w:t>）向</w:t>
      </w:r>
      <w:r>
        <w:rPr>
          <w:rFonts w:hint="eastAsia"/>
          <w:szCs w:val="24"/>
        </w:rPr>
        <w:t>供应商</w:t>
      </w:r>
      <w:r w:rsidRPr="00CE6859">
        <w:rPr>
          <w:rFonts w:hint="eastAsia"/>
          <w:szCs w:val="24"/>
        </w:rPr>
        <w:t>完成合同货物设计、制造并在</w:t>
      </w:r>
      <w:r>
        <w:rPr>
          <w:rFonts w:hint="eastAsia"/>
          <w:szCs w:val="24"/>
        </w:rPr>
        <w:t>采购人</w:t>
      </w:r>
      <w:r w:rsidRPr="00CE6859">
        <w:rPr>
          <w:rFonts w:hint="eastAsia"/>
          <w:szCs w:val="24"/>
        </w:rPr>
        <w:t>指定地点完成调试，经</w:t>
      </w:r>
      <w:r>
        <w:rPr>
          <w:rFonts w:hint="eastAsia"/>
          <w:szCs w:val="24"/>
        </w:rPr>
        <w:t>采购人</w:t>
      </w:r>
      <w:r w:rsidRPr="00CE6859">
        <w:rPr>
          <w:rFonts w:hint="eastAsia"/>
          <w:szCs w:val="24"/>
        </w:rPr>
        <w:t>验收合格后，</w:t>
      </w:r>
      <w:r>
        <w:rPr>
          <w:rFonts w:hint="eastAsia"/>
          <w:szCs w:val="24"/>
        </w:rPr>
        <w:t>采购人</w:t>
      </w:r>
      <w:r w:rsidRPr="00CE6859">
        <w:rPr>
          <w:rFonts w:hint="eastAsia"/>
          <w:szCs w:val="24"/>
        </w:rPr>
        <w:t>在收到乙方增值税专用发票原件一份并经审核无误后</w:t>
      </w:r>
      <w:r w:rsidRPr="00CE6859">
        <w:rPr>
          <w:rFonts w:hint="eastAsia"/>
          <w:szCs w:val="24"/>
        </w:rPr>
        <w:t>10</w:t>
      </w:r>
      <w:r w:rsidRPr="00CE6859">
        <w:rPr>
          <w:rFonts w:hint="eastAsia"/>
          <w:szCs w:val="24"/>
        </w:rPr>
        <w:t>个工作日内，</w:t>
      </w:r>
      <w:r>
        <w:rPr>
          <w:rFonts w:hint="eastAsia"/>
          <w:szCs w:val="24"/>
        </w:rPr>
        <w:t>采购人</w:t>
      </w:r>
      <w:r w:rsidRPr="00CE6859">
        <w:rPr>
          <w:rFonts w:hint="eastAsia"/>
          <w:szCs w:val="24"/>
        </w:rPr>
        <w:lastRenderedPageBreak/>
        <w:t>向</w:t>
      </w:r>
      <w:r>
        <w:rPr>
          <w:rFonts w:hint="eastAsia"/>
          <w:szCs w:val="24"/>
        </w:rPr>
        <w:t>供应商</w:t>
      </w:r>
      <w:r w:rsidRPr="00CE6859">
        <w:rPr>
          <w:rFonts w:hint="eastAsia"/>
          <w:szCs w:val="24"/>
        </w:rPr>
        <w:t>支付合同价款的</w:t>
      </w:r>
      <w:r w:rsidRPr="00CE6859">
        <w:rPr>
          <w:rFonts w:hint="eastAsia"/>
          <w:szCs w:val="24"/>
        </w:rPr>
        <w:t>50%</w:t>
      </w:r>
      <w:r w:rsidRPr="00CE6859">
        <w:rPr>
          <w:rFonts w:hint="eastAsia"/>
          <w:szCs w:val="24"/>
        </w:rPr>
        <w:t>。</w:t>
      </w:r>
    </w:p>
    <w:p w14:paraId="674DF008" w14:textId="77777777" w:rsidR="00C95800" w:rsidRPr="00CA09F2" w:rsidRDefault="00C95800" w:rsidP="00C95800">
      <w:pPr>
        <w:pStyle w:val="1"/>
        <w:keepNext w:val="0"/>
        <w:keepLines w:val="0"/>
        <w:numPr>
          <w:ilvl w:val="0"/>
          <w:numId w:val="1"/>
        </w:numPr>
        <w:spacing w:before="0" w:after="0" w:line="520" w:lineRule="exact"/>
        <w:ind w:left="340" w:hanging="340"/>
        <w:rPr>
          <w:rFonts w:ascii="Times New Roman" w:eastAsia="黑体" w:hAnsi="Times New Roman" w:cstheme="minorBidi"/>
          <w:b/>
          <w:bCs/>
          <w:sz w:val="32"/>
        </w:rPr>
      </w:pPr>
      <w:r w:rsidRPr="00CA09F2">
        <w:rPr>
          <w:rFonts w:ascii="Times New Roman" w:eastAsia="黑体" w:hAnsi="Times New Roman" w:cstheme="minorBidi" w:hint="eastAsia"/>
          <w:sz w:val="32"/>
        </w:rPr>
        <w:t>喷涂、包装、储存及运输要求</w:t>
      </w:r>
    </w:p>
    <w:p w14:paraId="33FE5F70" w14:textId="77777777" w:rsidR="00C95800" w:rsidRPr="00DC58A9" w:rsidRDefault="00C95800" w:rsidP="00C95800">
      <w:pPr>
        <w:pStyle w:val="2"/>
        <w:keepNext w:val="0"/>
        <w:keepLines w:val="0"/>
        <w:spacing w:before="0" w:after="0" w:line="520" w:lineRule="exact"/>
        <w:ind w:left="539" w:hanging="539"/>
        <w:rPr>
          <w:rFonts w:ascii="Times New Roman" w:eastAsia="黑体" w:hAnsi="Times New Roman"/>
          <w:b/>
          <w:bCs/>
          <w:sz w:val="28"/>
        </w:rPr>
      </w:pPr>
      <w:r>
        <w:rPr>
          <w:rFonts w:ascii="Times New Roman" w:eastAsia="黑体" w:hAnsi="Times New Roman" w:hint="eastAsia"/>
          <w:sz w:val="28"/>
        </w:rPr>
        <w:t>7.</w:t>
      </w:r>
      <w:r w:rsidRPr="00DC58A9">
        <w:rPr>
          <w:rFonts w:ascii="Times New Roman" w:eastAsia="黑体" w:hAnsi="Times New Roman" w:hint="eastAsia"/>
          <w:sz w:val="28"/>
        </w:rPr>
        <w:t>1</w:t>
      </w:r>
      <w:r w:rsidRPr="00DC58A9">
        <w:rPr>
          <w:rFonts w:ascii="Times New Roman" w:eastAsia="黑体" w:hAnsi="Times New Roman" w:hint="eastAsia"/>
          <w:sz w:val="28"/>
        </w:rPr>
        <w:t>设备标识</w:t>
      </w:r>
    </w:p>
    <w:p w14:paraId="40A0212E" w14:textId="77777777" w:rsidR="00C95800" w:rsidRDefault="00C95800" w:rsidP="00C95800">
      <w:pPr>
        <w:spacing w:line="360" w:lineRule="auto"/>
        <w:ind w:firstLine="480"/>
        <w:rPr>
          <w:szCs w:val="24"/>
        </w:rPr>
      </w:pPr>
      <w:r>
        <w:rPr>
          <w:rFonts w:hint="eastAsia"/>
          <w:szCs w:val="24"/>
        </w:rPr>
        <w:t>1</w:t>
      </w:r>
      <w:r>
        <w:rPr>
          <w:rFonts w:hint="eastAsia"/>
          <w:szCs w:val="24"/>
        </w:rPr>
        <w:t>）供应商应提供设备铭牌。</w:t>
      </w:r>
      <w:r>
        <w:rPr>
          <w:szCs w:val="24"/>
        </w:rPr>
        <w:t>铭牌应不易损坏</w:t>
      </w:r>
      <w:r>
        <w:rPr>
          <w:rFonts w:hint="eastAsia"/>
          <w:szCs w:val="24"/>
        </w:rPr>
        <w:t>，</w:t>
      </w:r>
      <w:r>
        <w:rPr>
          <w:szCs w:val="24"/>
        </w:rPr>
        <w:t>标志应醒目、整齐、美观；</w:t>
      </w:r>
    </w:p>
    <w:p w14:paraId="5A25C537" w14:textId="77777777" w:rsidR="00C95800" w:rsidRDefault="00C95800" w:rsidP="00C95800">
      <w:pPr>
        <w:spacing w:line="360" w:lineRule="auto"/>
        <w:ind w:firstLine="480"/>
        <w:rPr>
          <w:szCs w:val="24"/>
        </w:rPr>
      </w:pPr>
      <w:r>
        <w:rPr>
          <w:szCs w:val="24"/>
        </w:rPr>
        <w:t>2</w:t>
      </w:r>
      <w:r>
        <w:rPr>
          <w:szCs w:val="24"/>
        </w:rPr>
        <w:t>）铭牌上应</w:t>
      </w:r>
      <w:r>
        <w:rPr>
          <w:rFonts w:hint="eastAsia"/>
          <w:szCs w:val="24"/>
        </w:rPr>
        <w:t>至少包含</w:t>
      </w:r>
      <w:r>
        <w:rPr>
          <w:szCs w:val="24"/>
        </w:rPr>
        <w:t>下列内容：</w:t>
      </w:r>
    </w:p>
    <w:p w14:paraId="760BB135" w14:textId="77777777" w:rsidR="00C95800" w:rsidRDefault="00C95800" w:rsidP="00C95800">
      <w:pPr>
        <w:pStyle w:val="11"/>
        <w:numPr>
          <w:ilvl w:val="0"/>
          <w:numId w:val="2"/>
        </w:numPr>
        <w:spacing w:line="360" w:lineRule="auto"/>
        <w:ind w:left="0" w:firstLine="480"/>
        <w:rPr>
          <w:rFonts w:ascii="Times New Roman" w:hAnsi="Times New Roman" w:cstheme="minorBidi"/>
          <w:sz w:val="24"/>
          <w:szCs w:val="24"/>
        </w:rPr>
      </w:pPr>
      <w:r>
        <w:rPr>
          <w:rFonts w:ascii="Times New Roman" w:hAnsi="Times New Roman" w:cstheme="minorBidi"/>
          <w:sz w:val="24"/>
          <w:szCs w:val="24"/>
        </w:rPr>
        <w:t>制造商名称；</w:t>
      </w:r>
    </w:p>
    <w:p w14:paraId="399A437A" w14:textId="77777777" w:rsidR="00C95800" w:rsidRDefault="00C95800" w:rsidP="00C95800">
      <w:pPr>
        <w:pStyle w:val="11"/>
        <w:numPr>
          <w:ilvl w:val="0"/>
          <w:numId w:val="2"/>
        </w:numPr>
        <w:spacing w:line="360" w:lineRule="auto"/>
        <w:ind w:left="0" w:firstLine="480"/>
        <w:rPr>
          <w:rFonts w:ascii="Times New Roman" w:hAnsi="Times New Roman" w:cstheme="minorBidi"/>
          <w:sz w:val="24"/>
          <w:szCs w:val="24"/>
        </w:rPr>
      </w:pPr>
      <w:r>
        <w:rPr>
          <w:rFonts w:ascii="Times New Roman" w:hAnsi="Times New Roman" w:cstheme="minorBidi"/>
          <w:sz w:val="24"/>
          <w:szCs w:val="24"/>
        </w:rPr>
        <w:t>设备名称；</w:t>
      </w:r>
    </w:p>
    <w:p w14:paraId="6E1B77A9" w14:textId="77777777" w:rsidR="00C95800" w:rsidRDefault="00C95800" w:rsidP="00C95800">
      <w:pPr>
        <w:pStyle w:val="11"/>
        <w:numPr>
          <w:ilvl w:val="0"/>
          <w:numId w:val="2"/>
        </w:numPr>
        <w:spacing w:line="360" w:lineRule="auto"/>
        <w:ind w:left="0" w:firstLine="480"/>
        <w:rPr>
          <w:rFonts w:ascii="Times New Roman" w:hAnsi="Times New Roman" w:cstheme="minorBidi"/>
          <w:sz w:val="24"/>
          <w:szCs w:val="24"/>
        </w:rPr>
      </w:pPr>
      <w:r>
        <w:rPr>
          <w:rFonts w:ascii="Times New Roman" w:hAnsi="Times New Roman" w:cstheme="minorBidi"/>
          <w:sz w:val="24"/>
          <w:szCs w:val="24"/>
        </w:rPr>
        <w:t>出厂日期</w:t>
      </w:r>
      <w:r>
        <w:rPr>
          <w:rFonts w:ascii="Times New Roman" w:hAnsi="Times New Roman" w:cstheme="minorBidi" w:hint="eastAsia"/>
          <w:sz w:val="24"/>
          <w:szCs w:val="24"/>
        </w:rPr>
        <w:t>；</w:t>
      </w:r>
    </w:p>
    <w:p w14:paraId="2ECA6E27" w14:textId="77777777" w:rsidR="00C95800" w:rsidRDefault="00C95800" w:rsidP="00C95800">
      <w:pPr>
        <w:pStyle w:val="11"/>
        <w:numPr>
          <w:ilvl w:val="0"/>
          <w:numId w:val="2"/>
        </w:numPr>
        <w:spacing w:line="360" w:lineRule="auto"/>
        <w:ind w:left="0" w:firstLine="480"/>
        <w:rPr>
          <w:rFonts w:ascii="Times New Roman" w:hAnsi="Times New Roman" w:cstheme="minorBidi"/>
          <w:sz w:val="24"/>
          <w:szCs w:val="24"/>
        </w:rPr>
      </w:pPr>
      <w:r>
        <w:rPr>
          <w:rFonts w:ascii="Times New Roman" w:hAnsi="Times New Roman" w:cstheme="minorBidi" w:hint="eastAsia"/>
          <w:sz w:val="24"/>
          <w:szCs w:val="24"/>
        </w:rPr>
        <w:t>出厂编号</w:t>
      </w:r>
      <w:r>
        <w:rPr>
          <w:rFonts w:ascii="Times New Roman" w:hAnsi="Times New Roman" w:cstheme="minorBidi"/>
          <w:sz w:val="24"/>
          <w:szCs w:val="24"/>
        </w:rPr>
        <w:t>；</w:t>
      </w:r>
    </w:p>
    <w:p w14:paraId="26F0AD67" w14:textId="77777777" w:rsidR="00C95800" w:rsidRDefault="00C95800" w:rsidP="00C95800">
      <w:pPr>
        <w:pStyle w:val="11"/>
        <w:numPr>
          <w:ilvl w:val="0"/>
          <w:numId w:val="2"/>
        </w:numPr>
        <w:spacing w:line="360" w:lineRule="auto"/>
        <w:ind w:left="0" w:firstLine="480"/>
        <w:rPr>
          <w:rFonts w:ascii="Times New Roman" w:hAnsi="Times New Roman" w:cstheme="minorBidi"/>
          <w:sz w:val="24"/>
          <w:szCs w:val="24"/>
        </w:rPr>
      </w:pPr>
      <w:r>
        <w:rPr>
          <w:rFonts w:ascii="Times New Roman" w:hAnsi="Times New Roman" w:cstheme="minorBidi"/>
          <w:sz w:val="24"/>
          <w:szCs w:val="24"/>
        </w:rPr>
        <w:t>主要技术参数。</w:t>
      </w:r>
    </w:p>
    <w:p w14:paraId="7A391D15" w14:textId="77777777" w:rsidR="00C95800" w:rsidRPr="00DC58A9" w:rsidRDefault="00C95800" w:rsidP="00C95800">
      <w:pPr>
        <w:pStyle w:val="2"/>
        <w:keepNext w:val="0"/>
        <w:keepLines w:val="0"/>
        <w:spacing w:before="0" w:after="0" w:line="520" w:lineRule="exact"/>
        <w:ind w:left="539" w:hanging="539"/>
        <w:rPr>
          <w:rFonts w:ascii="Times New Roman" w:eastAsia="黑体" w:hAnsi="Times New Roman"/>
          <w:b/>
          <w:bCs/>
          <w:sz w:val="28"/>
        </w:rPr>
      </w:pPr>
      <w:r>
        <w:rPr>
          <w:rFonts w:ascii="Times New Roman" w:eastAsia="黑体" w:hAnsi="Times New Roman" w:hint="eastAsia"/>
          <w:sz w:val="28"/>
        </w:rPr>
        <w:t>7</w:t>
      </w:r>
      <w:r w:rsidRPr="00DC58A9">
        <w:rPr>
          <w:rFonts w:ascii="Times New Roman" w:eastAsia="黑体" w:hAnsi="Times New Roman" w:hint="eastAsia"/>
          <w:sz w:val="28"/>
        </w:rPr>
        <w:t>.2</w:t>
      </w:r>
      <w:r w:rsidRPr="00DC58A9">
        <w:rPr>
          <w:rFonts w:ascii="Times New Roman" w:eastAsia="黑体" w:hAnsi="Times New Roman" w:hint="eastAsia"/>
          <w:sz w:val="28"/>
        </w:rPr>
        <w:t>包装和运输</w:t>
      </w:r>
    </w:p>
    <w:p w14:paraId="7C1DB892" w14:textId="77777777" w:rsidR="00C95800" w:rsidRDefault="00C95800" w:rsidP="00C95800">
      <w:pPr>
        <w:spacing w:line="360" w:lineRule="auto"/>
        <w:ind w:firstLine="480"/>
        <w:rPr>
          <w:szCs w:val="24"/>
        </w:rPr>
      </w:pPr>
      <w:r>
        <w:rPr>
          <w:rFonts w:hint="eastAsia"/>
          <w:szCs w:val="24"/>
        </w:rPr>
        <w:t>1</w:t>
      </w:r>
      <w:r>
        <w:rPr>
          <w:rFonts w:hint="eastAsia"/>
          <w:szCs w:val="24"/>
        </w:rPr>
        <w:t>）供应商负责设备包装、装卸、储存、运输；</w:t>
      </w:r>
    </w:p>
    <w:p w14:paraId="1B3EA251" w14:textId="77777777" w:rsidR="00C95800" w:rsidRDefault="00C95800" w:rsidP="00C95800">
      <w:pPr>
        <w:spacing w:line="360" w:lineRule="auto"/>
        <w:ind w:firstLine="480"/>
        <w:rPr>
          <w:szCs w:val="24"/>
        </w:rPr>
      </w:pPr>
      <w:r>
        <w:rPr>
          <w:rFonts w:hint="eastAsia"/>
          <w:szCs w:val="24"/>
        </w:rPr>
        <w:t>2</w:t>
      </w:r>
      <w:r>
        <w:rPr>
          <w:rFonts w:hint="eastAsia"/>
          <w:szCs w:val="24"/>
        </w:rPr>
        <w:t>）供应商应完全负责设备运输到指定地点，因供货或运输原因造成的设备损坏由供应商负责免费维修或更换；</w:t>
      </w:r>
    </w:p>
    <w:p w14:paraId="4CE5B8D8" w14:textId="77777777" w:rsidR="00C95800" w:rsidRDefault="00C95800" w:rsidP="00C95800">
      <w:pPr>
        <w:spacing w:line="360" w:lineRule="auto"/>
        <w:ind w:firstLine="480"/>
        <w:rPr>
          <w:szCs w:val="24"/>
        </w:rPr>
      </w:pPr>
      <w:r>
        <w:rPr>
          <w:rFonts w:hint="eastAsia"/>
          <w:szCs w:val="24"/>
        </w:rPr>
        <w:t>3</w:t>
      </w:r>
      <w:r>
        <w:rPr>
          <w:rFonts w:hint="eastAsia"/>
          <w:szCs w:val="24"/>
        </w:rPr>
        <w:t>）运输和贮存过程中要采取有效措施进行保护和加固，防止设备有任何损坏或变形；</w:t>
      </w:r>
    </w:p>
    <w:p w14:paraId="23F111E2" w14:textId="77777777" w:rsidR="00C95800" w:rsidRDefault="00C95800" w:rsidP="00C95800">
      <w:pPr>
        <w:spacing w:line="360" w:lineRule="auto"/>
        <w:ind w:firstLine="480"/>
        <w:rPr>
          <w:szCs w:val="24"/>
        </w:rPr>
      </w:pPr>
      <w:r>
        <w:rPr>
          <w:rFonts w:hint="eastAsia"/>
          <w:szCs w:val="24"/>
        </w:rPr>
        <w:t>4</w:t>
      </w:r>
      <w:r>
        <w:rPr>
          <w:rFonts w:hint="eastAsia"/>
          <w:szCs w:val="24"/>
        </w:rPr>
        <w:t>）设备包装应包括设备所有部件、备品备件、消耗品及专用工具，不同品种部件应分类包装，并提供完整的装箱清单和必需的资料，每个包装箱上编制编号，并与装箱清单编号对应。包装箱上应有在运输保管过程中必须注意的事项的明显标志和符号（如小心轻放、向上、防潮、防雨、防震、起吊位置等）。</w:t>
      </w:r>
    </w:p>
    <w:p w14:paraId="7247D5A7" w14:textId="77777777" w:rsidR="00C95800" w:rsidRPr="00CA09F2" w:rsidRDefault="00C95800" w:rsidP="00C95800">
      <w:pPr>
        <w:pStyle w:val="1"/>
        <w:keepNext w:val="0"/>
        <w:keepLines w:val="0"/>
        <w:numPr>
          <w:ilvl w:val="0"/>
          <w:numId w:val="1"/>
        </w:numPr>
        <w:spacing w:before="0" w:after="0" w:line="520" w:lineRule="exact"/>
        <w:ind w:left="340" w:hanging="340"/>
        <w:rPr>
          <w:rFonts w:ascii="Times New Roman" w:eastAsia="黑体" w:hAnsi="Times New Roman" w:cstheme="minorBidi"/>
          <w:b/>
          <w:bCs/>
          <w:sz w:val="32"/>
        </w:rPr>
      </w:pPr>
      <w:bookmarkStart w:id="0" w:name="_Toc94042343"/>
      <w:bookmarkStart w:id="1" w:name="_Toc94043470"/>
      <w:bookmarkStart w:id="2" w:name="_Toc94043429"/>
      <w:bookmarkStart w:id="3" w:name="_Toc102913627"/>
      <w:bookmarkStart w:id="4" w:name="_Toc94043621"/>
      <w:bookmarkStart w:id="5" w:name="_Toc94042219"/>
      <w:r w:rsidRPr="00CA09F2">
        <w:rPr>
          <w:rFonts w:ascii="Times New Roman" w:eastAsia="黑体" w:hAnsi="Times New Roman" w:cstheme="minorBidi" w:hint="eastAsia"/>
          <w:sz w:val="32"/>
        </w:rPr>
        <w:t>文档要求</w:t>
      </w:r>
    </w:p>
    <w:p w14:paraId="48DC5D9B" w14:textId="77777777" w:rsidR="00C95800" w:rsidRPr="00DF7C2F" w:rsidRDefault="00C95800" w:rsidP="00C95800">
      <w:pPr>
        <w:spacing w:line="360" w:lineRule="auto"/>
        <w:ind w:firstLine="480"/>
        <w:rPr>
          <w:szCs w:val="24"/>
        </w:rPr>
      </w:pPr>
      <w:r>
        <w:rPr>
          <w:rFonts w:hint="eastAsia"/>
          <w:szCs w:val="24"/>
        </w:rPr>
        <w:t>AGV</w:t>
      </w:r>
      <w:r>
        <w:rPr>
          <w:rFonts w:hint="eastAsia"/>
          <w:szCs w:val="24"/>
        </w:rPr>
        <w:t>转运小车最终验收时</w:t>
      </w:r>
      <w:r w:rsidRPr="00DF7C2F">
        <w:rPr>
          <w:rFonts w:hint="eastAsia"/>
          <w:szCs w:val="24"/>
        </w:rPr>
        <w:t>应至少需提交以下文档：</w:t>
      </w:r>
      <w:r w:rsidRPr="00DF7C2F">
        <w:rPr>
          <w:rFonts w:hint="eastAsia"/>
          <w:szCs w:val="24"/>
        </w:rPr>
        <w:t xml:space="preserve"> </w:t>
      </w:r>
    </w:p>
    <w:p w14:paraId="48FFD98D" w14:textId="77777777" w:rsidR="00C95800" w:rsidRPr="000A4D46" w:rsidRDefault="00C95800" w:rsidP="00C95800">
      <w:pPr>
        <w:spacing w:line="360" w:lineRule="auto"/>
        <w:ind w:firstLine="480"/>
        <w:rPr>
          <w:szCs w:val="24"/>
        </w:rPr>
      </w:pPr>
      <w:r>
        <w:rPr>
          <w:rFonts w:hint="eastAsia"/>
          <w:szCs w:val="24"/>
        </w:rPr>
        <w:t>1</w:t>
      </w:r>
      <w:r w:rsidRPr="00DF7C2F">
        <w:rPr>
          <w:rFonts w:hint="eastAsia"/>
          <w:szCs w:val="24"/>
        </w:rPr>
        <w:t>)</w:t>
      </w:r>
      <w:r w:rsidRPr="00DF7C2F">
        <w:rPr>
          <w:rFonts w:hint="eastAsia"/>
          <w:szCs w:val="24"/>
        </w:rPr>
        <w:tab/>
      </w:r>
      <w:r w:rsidRPr="00DF7C2F">
        <w:rPr>
          <w:rFonts w:hint="eastAsia"/>
          <w:szCs w:val="24"/>
        </w:rPr>
        <w:t>中文版使用</w:t>
      </w:r>
      <w:r>
        <w:rPr>
          <w:rFonts w:hint="eastAsia"/>
          <w:szCs w:val="24"/>
        </w:rPr>
        <w:t>、维护</w:t>
      </w:r>
      <w:r w:rsidRPr="00DF7C2F">
        <w:rPr>
          <w:rFonts w:hint="eastAsia"/>
          <w:szCs w:val="24"/>
        </w:rPr>
        <w:t>说明</w:t>
      </w:r>
      <w:r>
        <w:rPr>
          <w:rFonts w:hint="eastAsia"/>
          <w:szCs w:val="24"/>
        </w:rPr>
        <w:t>书</w:t>
      </w:r>
      <w:r w:rsidRPr="000A4D46">
        <w:rPr>
          <w:rFonts w:hint="eastAsia"/>
          <w:szCs w:val="24"/>
        </w:rPr>
        <w:t>；</w:t>
      </w:r>
    </w:p>
    <w:p w14:paraId="1A49D2B0" w14:textId="77777777" w:rsidR="00C95800" w:rsidRPr="00DF7C2F" w:rsidRDefault="00C95800" w:rsidP="00C95800">
      <w:pPr>
        <w:spacing w:line="360" w:lineRule="auto"/>
        <w:ind w:firstLine="480"/>
        <w:rPr>
          <w:szCs w:val="24"/>
        </w:rPr>
      </w:pPr>
      <w:r>
        <w:rPr>
          <w:rFonts w:hint="eastAsia"/>
          <w:szCs w:val="24"/>
        </w:rPr>
        <w:t>2</w:t>
      </w:r>
      <w:r w:rsidRPr="00CE6859">
        <w:rPr>
          <w:rFonts w:hint="eastAsia"/>
          <w:szCs w:val="24"/>
        </w:rPr>
        <w:t>)</w:t>
      </w:r>
      <w:r w:rsidRPr="00CE6859">
        <w:rPr>
          <w:rFonts w:hint="eastAsia"/>
          <w:szCs w:val="24"/>
        </w:rPr>
        <w:tab/>
      </w:r>
      <w:r w:rsidRPr="00CE6859">
        <w:rPr>
          <w:rFonts w:hint="eastAsia"/>
          <w:szCs w:val="24"/>
        </w:rPr>
        <w:t>现场调试验收报告；</w:t>
      </w:r>
    </w:p>
    <w:p w14:paraId="1D2462F6" w14:textId="77777777" w:rsidR="00C95800" w:rsidRPr="00DF7C2F" w:rsidRDefault="00C95800" w:rsidP="00C95800">
      <w:pPr>
        <w:spacing w:line="360" w:lineRule="auto"/>
        <w:ind w:firstLine="480"/>
        <w:rPr>
          <w:szCs w:val="24"/>
        </w:rPr>
      </w:pPr>
      <w:r>
        <w:rPr>
          <w:rFonts w:hint="eastAsia"/>
          <w:szCs w:val="24"/>
        </w:rPr>
        <w:t>3</w:t>
      </w:r>
      <w:r w:rsidRPr="00DF7C2F">
        <w:rPr>
          <w:rFonts w:hint="eastAsia"/>
          <w:szCs w:val="24"/>
        </w:rPr>
        <w:tab/>
      </w:r>
      <w:r>
        <w:rPr>
          <w:rFonts w:hint="eastAsia"/>
          <w:szCs w:val="24"/>
        </w:rPr>
        <w:t>合格证（或主要零部件的质量证明文件）</w:t>
      </w:r>
      <w:r w:rsidRPr="00DF7C2F">
        <w:rPr>
          <w:rFonts w:hint="eastAsia"/>
          <w:szCs w:val="24"/>
        </w:rPr>
        <w:t>；</w:t>
      </w:r>
    </w:p>
    <w:p w14:paraId="17F5339D" w14:textId="77777777" w:rsidR="00C95800" w:rsidRPr="002C5FFE" w:rsidRDefault="00C95800" w:rsidP="00C95800">
      <w:pPr>
        <w:spacing w:line="360" w:lineRule="auto"/>
        <w:ind w:firstLine="480"/>
        <w:rPr>
          <w:szCs w:val="24"/>
        </w:rPr>
      </w:pPr>
      <w:r>
        <w:rPr>
          <w:rFonts w:hint="eastAsia"/>
          <w:szCs w:val="24"/>
        </w:rPr>
        <w:t>4</w:t>
      </w:r>
      <w:r w:rsidRPr="00DF7C2F">
        <w:rPr>
          <w:rFonts w:hint="eastAsia"/>
          <w:szCs w:val="24"/>
        </w:rPr>
        <w:t>)</w:t>
      </w:r>
      <w:r w:rsidRPr="00DF7C2F">
        <w:rPr>
          <w:rFonts w:hint="eastAsia"/>
          <w:szCs w:val="24"/>
        </w:rPr>
        <w:tab/>
      </w:r>
      <w:r w:rsidRPr="00DF7C2F">
        <w:rPr>
          <w:rFonts w:hint="eastAsia"/>
          <w:szCs w:val="24"/>
        </w:rPr>
        <w:t>交货清单</w:t>
      </w:r>
      <w:r>
        <w:rPr>
          <w:rFonts w:hint="eastAsia"/>
          <w:szCs w:val="24"/>
        </w:rPr>
        <w:t>。</w:t>
      </w:r>
    </w:p>
    <w:p w14:paraId="34C9C303" w14:textId="77777777" w:rsidR="00C95800" w:rsidRPr="00CA09F2" w:rsidRDefault="00C95800" w:rsidP="00C95800">
      <w:pPr>
        <w:pStyle w:val="1"/>
        <w:keepNext w:val="0"/>
        <w:keepLines w:val="0"/>
        <w:numPr>
          <w:ilvl w:val="0"/>
          <w:numId w:val="1"/>
        </w:numPr>
        <w:spacing w:before="0" w:after="0" w:line="520" w:lineRule="exact"/>
        <w:ind w:left="340" w:hanging="340"/>
        <w:rPr>
          <w:rFonts w:ascii="Times New Roman" w:eastAsia="黑体" w:hAnsi="Times New Roman" w:cstheme="minorBidi"/>
          <w:b/>
          <w:bCs/>
          <w:sz w:val="32"/>
        </w:rPr>
      </w:pPr>
      <w:r w:rsidRPr="00CA09F2">
        <w:rPr>
          <w:rFonts w:ascii="Times New Roman" w:eastAsia="黑体" w:hAnsi="Times New Roman" w:cstheme="minorBidi"/>
          <w:sz w:val="32"/>
        </w:rPr>
        <w:t>验收</w:t>
      </w:r>
      <w:bookmarkEnd w:id="0"/>
      <w:bookmarkEnd w:id="1"/>
      <w:bookmarkEnd w:id="2"/>
      <w:bookmarkEnd w:id="3"/>
      <w:bookmarkEnd w:id="4"/>
      <w:bookmarkEnd w:id="5"/>
      <w:r w:rsidRPr="00CA09F2">
        <w:rPr>
          <w:rFonts w:ascii="Times New Roman" w:eastAsia="黑体" w:hAnsi="Times New Roman" w:cstheme="minorBidi" w:hint="eastAsia"/>
          <w:sz w:val="32"/>
        </w:rPr>
        <w:t>和培训</w:t>
      </w:r>
    </w:p>
    <w:p w14:paraId="3B4B0DAD" w14:textId="77777777" w:rsidR="00C95800" w:rsidRPr="00DC58A9" w:rsidRDefault="00C95800" w:rsidP="00C95800">
      <w:pPr>
        <w:pStyle w:val="2"/>
        <w:keepNext w:val="0"/>
        <w:keepLines w:val="0"/>
        <w:spacing w:before="0" w:after="0" w:line="520" w:lineRule="exact"/>
        <w:ind w:left="539" w:hanging="539"/>
        <w:rPr>
          <w:rFonts w:ascii="Times New Roman" w:eastAsia="黑体" w:hAnsi="Times New Roman"/>
          <w:b/>
          <w:bCs/>
          <w:sz w:val="28"/>
        </w:rPr>
      </w:pPr>
      <w:r>
        <w:rPr>
          <w:rFonts w:ascii="Times New Roman" w:eastAsia="黑体" w:hAnsi="Times New Roman" w:hint="eastAsia"/>
          <w:sz w:val="28"/>
        </w:rPr>
        <w:t>10.1</w:t>
      </w:r>
      <w:r w:rsidRPr="00DC58A9">
        <w:rPr>
          <w:rFonts w:ascii="Times New Roman" w:eastAsia="黑体" w:hAnsi="Times New Roman" w:hint="eastAsia"/>
          <w:sz w:val="28"/>
        </w:rPr>
        <w:t>箱验收</w:t>
      </w:r>
    </w:p>
    <w:p w14:paraId="4958798B" w14:textId="77777777" w:rsidR="00C95800" w:rsidRDefault="00C95800" w:rsidP="00C95800">
      <w:pPr>
        <w:spacing w:line="360" w:lineRule="auto"/>
        <w:ind w:firstLine="480"/>
        <w:rPr>
          <w:szCs w:val="24"/>
        </w:rPr>
      </w:pPr>
      <w:r>
        <w:rPr>
          <w:rFonts w:hint="eastAsia"/>
          <w:szCs w:val="24"/>
        </w:rPr>
        <w:t>1</w:t>
      </w:r>
      <w:r>
        <w:rPr>
          <w:rFonts w:hint="eastAsia"/>
          <w:szCs w:val="24"/>
        </w:rPr>
        <w:t>）合同签订后，供应商按照合同向采购人提供供货清单，合同产品到达交货地点后，采购人负责组织相关人员进行开箱检验，供应商应按采购人通知派代表与采购人共同开箱检</w:t>
      </w:r>
      <w:r>
        <w:rPr>
          <w:rFonts w:hint="eastAsia"/>
          <w:szCs w:val="24"/>
        </w:rPr>
        <w:lastRenderedPageBreak/>
        <w:t>验。供应商接到采购人通知后未按时到场的，采购人可自行开箱检验并进行记录，供应商应无条件承认检验结果和处理意见；</w:t>
      </w:r>
    </w:p>
    <w:p w14:paraId="623B9F36" w14:textId="77777777" w:rsidR="00C95800" w:rsidRDefault="00C95800" w:rsidP="00C95800">
      <w:pPr>
        <w:spacing w:line="360" w:lineRule="auto"/>
        <w:ind w:firstLine="480"/>
        <w:rPr>
          <w:szCs w:val="24"/>
        </w:rPr>
      </w:pPr>
      <w:r>
        <w:rPr>
          <w:rFonts w:hint="eastAsia"/>
          <w:szCs w:val="24"/>
        </w:rPr>
        <w:t>2</w:t>
      </w:r>
      <w:r>
        <w:rPr>
          <w:rFonts w:hint="eastAsia"/>
          <w:szCs w:val="24"/>
        </w:rPr>
        <w:t>）开箱检验时如果采购人发现合同产品不符合合同要求（如损坏，有缺陷、数量缺少或达不到质量标准等），供应商应按采购人要求立即采取措施进行修理或更换以满足合同要求，由此引起的一切费用和责任由供应商承担；</w:t>
      </w:r>
    </w:p>
    <w:p w14:paraId="2457D307" w14:textId="77777777" w:rsidR="00C95800" w:rsidRDefault="00C95800" w:rsidP="00C95800">
      <w:pPr>
        <w:spacing w:line="360" w:lineRule="auto"/>
        <w:ind w:firstLine="480"/>
        <w:rPr>
          <w:szCs w:val="24"/>
        </w:rPr>
      </w:pPr>
      <w:r>
        <w:rPr>
          <w:rFonts w:hint="eastAsia"/>
          <w:szCs w:val="24"/>
        </w:rPr>
        <w:t>3</w:t>
      </w:r>
      <w:r>
        <w:rPr>
          <w:rFonts w:hint="eastAsia"/>
          <w:szCs w:val="24"/>
        </w:rPr>
        <w:t>）合同产品经开箱检验确认符合合同约定，视为开箱验收合格。</w:t>
      </w:r>
    </w:p>
    <w:p w14:paraId="58478969" w14:textId="77777777" w:rsidR="00C95800" w:rsidRPr="00DC58A9" w:rsidRDefault="00C95800" w:rsidP="00C95800">
      <w:pPr>
        <w:pStyle w:val="2"/>
        <w:keepNext w:val="0"/>
        <w:keepLines w:val="0"/>
        <w:spacing w:before="0" w:after="0" w:line="520" w:lineRule="exact"/>
        <w:ind w:left="539" w:hanging="539"/>
        <w:rPr>
          <w:rFonts w:ascii="Times New Roman" w:eastAsia="黑体" w:hAnsi="Times New Roman"/>
          <w:b/>
          <w:bCs/>
          <w:sz w:val="28"/>
        </w:rPr>
      </w:pPr>
      <w:r>
        <w:rPr>
          <w:rFonts w:ascii="Times New Roman" w:eastAsia="黑体" w:hAnsi="Times New Roman" w:hint="eastAsia"/>
          <w:sz w:val="28"/>
        </w:rPr>
        <w:t>10</w:t>
      </w:r>
      <w:r w:rsidRPr="00DC58A9">
        <w:rPr>
          <w:rFonts w:ascii="Times New Roman" w:eastAsia="黑体" w:hAnsi="Times New Roman" w:hint="eastAsia"/>
          <w:sz w:val="28"/>
        </w:rPr>
        <w:t>2</w:t>
      </w:r>
      <w:r w:rsidRPr="00DC58A9">
        <w:rPr>
          <w:rFonts w:ascii="Times New Roman" w:eastAsia="黑体" w:hAnsi="Times New Roman" w:hint="eastAsia"/>
          <w:sz w:val="28"/>
        </w:rPr>
        <w:t>最终验收</w:t>
      </w:r>
    </w:p>
    <w:p w14:paraId="4B6F6121" w14:textId="77777777" w:rsidR="00C95800" w:rsidRDefault="00C95800" w:rsidP="00C95800">
      <w:pPr>
        <w:spacing w:line="360" w:lineRule="auto"/>
        <w:ind w:firstLine="480"/>
        <w:rPr>
          <w:szCs w:val="24"/>
        </w:rPr>
      </w:pPr>
      <w:r>
        <w:rPr>
          <w:rFonts w:hint="eastAsia"/>
          <w:szCs w:val="24"/>
        </w:rPr>
        <w:t>供应商完成转运小车在</w:t>
      </w:r>
      <w:r>
        <w:rPr>
          <w:rFonts w:hint="eastAsia"/>
          <w:szCs w:val="24"/>
        </w:rPr>
        <w:t>901</w:t>
      </w:r>
      <w:r>
        <w:rPr>
          <w:rFonts w:hint="eastAsia"/>
          <w:szCs w:val="24"/>
        </w:rPr>
        <w:t>堆现场的调试后会同采购人对转运小车各项性能指标逐一核验，所有指标核验通过后，供应商编制现场调试验收报告提交采购人，采购人签署验收意见视为验收合格。</w:t>
      </w:r>
    </w:p>
    <w:p w14:paraId="0AEDFC9E" w14:textId="77777777" w:rsidR="00C95800" w:rsidRPr="00E02444" w:rsidRDefault="00C95800" w:rsidP="00C95800">
      <w:pPr>
        <w:pStyle w:val="2"/>
        <w:keepNext w:val="0"/>
        <w:keepLines w:val="0"/>
        <w:spacing w:before="0" w:after="0" w:line="520" w:lineRule="exact"/>
        <w:ind w:left="539" w:hanging="539"/>
        <w:rPr>
          <w:rFonts w:ascii="Times New Roman" w:eastAsia="黑体" w:hAnsi="Times New Roman"/>
          <w:sz w:val="28"/>
        </w:rPr>
      </w:pPr>
      <w:r>
        <w:rPr>
          <w:rFonts w:ascii="Times New Roman" w:eastAsia="黑体" w:hAnsi="Times New Roman" w:hint="eastAsia"/>
          <w:sz w:val="28"/>
        </w:rPr>
        <w:t>10.3</w:t>
      </w:r>
      <w:r>
        <w:rPr>
          <w:rFonts w:ascii="Times New Roman" w:eastAsia="黑体" w:hAnsi="Times New Roman" w:hint="eastAsia"/>
          <w:sz w:val="28"/>
        </w:rPr>
        <w:t>培训</w:t>
      </w:r>
    </w:p>
    <w:p w14:paraId="6700F3C4" w14:textId="77777777" w:rsidR="00C95800" w:rsidRPr="0021582F" w:rsidRDefault="00C95800" w:rsidP="00C95800">
      <w:pPr>
        <w:spacing w:line="360" w:lineRule="auto"/>
        <w:ind w:firstLine="480"/>
        <w:rPr>
          <w:szCs w:val="24"/>
        </w:rPr>
      </w:pPr>
      <w:r w:rsidRPr="00CE6859">
        <w:rPr>
          <w:rFonts w:hint="eastAsia"/>
          <w:szCs w:val="24"/>
        </w:rPr>
        <w:t>免费提供原厂技术人员对采购人及相关操作人员的技术培训不少于</w:t>
      </w:r>
      <w:r w:rsidRPr="00CE6859">
        <w:rPr>
          <w:rFonts w:hint="eastAsia"/>
          <w:szCs w:val="24"/>
        </w:rPr>
        <w:t>5</w:t>
      </w:r>
      <w:r w:rsidRPr="00CE6859">
        <w:rPr>
          <w:rFonts w:hint="eastAsia"/>
          <w:szCs w:val="24"/>
        </w:rPr>
        <w:t>个课时，乙方提供的培训内容至少包括：设备的日常操作、维护等说明。</w:t>
      </w:r>
    </w:p>
    <w:p w14:paraId="2A949327" w14:textId="77777777" w:rsidR="00C95800" w:rsidRPr="00CA09F2" w:rsidRDefault="00C95800" w:rsidP="00C95800">
      <w:pPr>
        <w:pStyle w:val="1"/>
        <w:keepNext w:val="0"/>
        <w:keepLines w:val="0"/>
        <w:numPr>
          <w:ilvl w:val="0"/>
          <w:numId w:val="1"/>
        </w:numPr>
        <w:spacing w:before="0" w:after="0" w:line="520" w:lineRule="exact"/>
        <w:ind w:left="340" w:hanging="340"/>
        <w:rPr>
          <w:rFonts w:ascii="Times New Roman" w:eastAsia="黑体" w:hAnsi="Times New Roman" w:cstheme="minorBidi"/>
          <w:b/>
          <w:bCs/>
          <w:sz w:val="32"/>
        </w:rPr>
      </w:pPr>
      <w:r w:rsidRPr="00CA09F2">
        <w:rPr>
          <w:rFonts w:ascii="Times New Roman" w:eastAsia="黑体" w:hAnsi="Times New Roman" w:cstheme="minorBidi" w:hint="eastAsia"/>
          <w:sz w:val="32"/>
        </w:rPr>
        <w:t>知识产权</w:t>
      </w:r>
    </w:p>
    <w:p w14:paraId="20DDF6B1" w14:textId="77777777" w:rsidR="00C95800" w:rsidRPr="00C73EAA" w:rsidRDefault="00C95800" w:rsidP="00C95800">
      <w:pPr>
        <w:spacing w:line="360" w:lineRule="auto"/>
        <w:ind w:firstLine="480"/>
        <w:rPr>
          <w:szCs w:val="24"/>
        </w:rPr>
      </w:pPr>
      <w:r>
        <w:rPr>
          <w:rFonts w:hint="eastAsia"/>
          <w:szCs w:val="24"/>
        </w:rPr>
        <w:t>1</w:t>
      </w:r>
      <w:r>
        <w:rPr>
          <w:rFonts w:hint="eastAsia"/>
          <w:szCs w:val="24"/>
        </w:rPr>
        <w:t>）</w:t>
      </w:r>
      <w:r w:rsidRPr="00C73EAA">
        <w:rPr>
          <w:rFonts w:hint="eastAsia"/>
          <w:szCs w:val="24"/>
        </w:rPr>
        <w:t>如</w:t>
      </w:r>
      <w:r>
        <w:rPr>
          <w:rFonts w:hint="eastAsia"/>
          <w:szCs w:val="24"/>
        </w:rPr>
        <w:t>采购</w:t>
      </w:r>
      <w:r w:rsidRPr="00C73EAA">
        <w:rPr>
          <w:rFonts w:hint="eastAsia"/>
          <w:szCs w:val="24"/>
        </w:rPr>
        <w:t>货物涉及知识产权，则</w:t>
      </w:r>
      <w:r>
        <w:rPr>
          <w:rFonts w:hint="eastAsia"/>
          <w:szCs w:val="24"/>
        </w:rPr>
        <w:t>供应商</w:t>
      </w:r>
      <w:r w:rsidRPr="00C73EAA">
        <w:rPr>
          <w:rFonts w:hint="eastAsia"/>
          <w:szCs w:val="24"/>
        </w:rPr>
        <w:t>保证</w:t>
      </w:r>
      <w:r>
        <w:rPr>
          <w:rFonts w:hint="eastAsia"/>
          <w:szCs w:val="24"/>
        </w:rPr>
        <w:t>采购人</w:t>
      </w:r>
      <w:r w:rsidRPr="00C73EAA">
        <w:rPr>
          <w:rFonts w:hint="eastAsia"/>
          <w:szCs w:val="24"/>
        </w:rPr>
        <w:t>在使用</w:t>
      </w:r>
      <w:r>
        <w:rPr>
          <w:rFonts w:hint="eastAsia"/>
          <w:szCs w:val="24"/>
        </w:rPr>
        <w:t>采购</w:t>
      </w:r>
      <w:r w:rsidRPr="00C73EAA">
        <w:rPr>
          <w:rFonts w:hint="eastAsia"/>
          <w:szCs w:val="24"/>
        </w:rPr>
        <w:t>货物的过程中免于受到第三方提出的有关知识产权侵权的主张、索赔或诉讼的损失</w:t>
      </w:r>
      <w:r>
        <w:rPr>
          <w:rFonts w:hint="eastAsia"/>
          <w:szCs w:val="24"/>
        </w:rPr>
        <w:t>；</w:t>
      </w:r>
    </w:p>
    <w:p w14:paraId="7E4DAEA0" w14:textId="77777777" w:rsidR="00C95800" w:rsidRPr="00C73EAA" w:rsidRDefault="00C95800" w:rsidP="00C95800">
      <w:pPr>
        <w:spacing w:line="360" w:lineRule="auto"/>
        <w:ind w:firstLine="480"/>
        <w:rPr>
          <w:szCs w:val="24"/>
        </w:rPr>
      </w:pPr>
      <w:r>
        <w:rPr>
          <w:rFonts w:hint="eastAsia"/>
          <w:szCs w:val="24"/>
        </w:rPr>
        <w:t>2</w:t>
      </w:r>
      <w:r>
        <w:rPr>
          <w:rFonts w:hint="eastAsia"/>
          <w:szCs w:val="24"/>
        </w:rPr>
        <w:t>）</w:t>
      </w:r>
      <w:r w:rsidRPr="00C73EAA">
        <w:rPr>
          <w:rFonts w:hint="eastAsia"/>
          <w:szCs w:val="24"/>
        </w:rPr>
        <w:t>如果</w:t>
      </w:r>
      <w:r>
        <w:rPr>
          <w:rFonts w:hint="eastAsia"/>
          <w:szCs w:val="24"/>
        </w:rPr>
        <w:t>采购人</w:t>
      </w:r>
      <w:r w:rsidRPr="00C73EAA">
        <w:rPr>
          <w:rFonts w:hint="eastAsia"/>
          <w:szCs w:val="24"/>
        </w:rPr>
        <w:t>收到任何第三方有关知识产权的主张、索赔或诉讼，</w:t>
      </w:r>
      <w:r>
        <w:rPr>
          <w:rFonts w:hint="eastAsia"/>
          <w:szCs w:val="24"/>
        </w:rPr>
        <w:t>供应商</w:t>
      </w:r>
      <w:r w:rsidRPr="00C73EAA">
        <w:rPr>
          <w:rFonts w:hint="eastAsia"/>
          <w:szCs w:val="24"/>
        </w:rPr>
        <w:t>应自</w:t>
      </w:r>
      <w:r>
        <w:rPr>
          <w:rFonts w:hint="eastAsia"/>
          <w:szCs w:val="24"/>
        </w:rPr>
        <w:t>付</w:t>
      </w:r>
      <w:r w:rsidRPr="00C73EAA">
        <w:rPr>
          <w:rFonts w:hint="eastAsia"/>
          <w:szCs w:val="24"/>
        </w:rPr>
        <w:t>费用处理与第三方的索赔或诉讼，并赔偿</w:t>
      </w:r>
      <w:r>
        <w:rPr>
          <w:rFonts w:hint="eastAsia"/>
          <w:szCs w:val="24"/>
        </w:rPr>
        <w:t>采购人</w:t>
      </w:r>
      <w:r w:rsidRPr="00C73EAA">
        <w:rPr>
          <w:rFonts w:hint="eastAsia"/>
          <w:szCs w:val="24"/>
        </w:rPr>
        <w:t>因此发生的费用和遭受的损失。如果</w:t>
      </w:r>
      <w:r>
        <w:rPr>
          <w:rFonts w:hint="eastAsia"/>
          <w:szCs w:val="24"/>
        </w:rPr>
        <w:t>供应商</w:t>
      </w:r>
      <w:r w:rsidRPr="00C73EAA">
        <w:rPr>
          <w:rFonts w:hint="eastAsia"/>
          <w:szCs w:val="24"/>
        </w:rPr>
        <w:t>拒绝处理前述索赔或诉讼，</w:t>
      </w:r>
      <w:r>
        <w:rPr>
          <w:rFonts w:hint="eastAsia"/>
          <w:szCs w:val="24"/>
        </w:rPr>
        <w:t>采购人</w:t>
      </w:r>
      <w:r w:rsidRPr="00C73EAA">
        <w:rPr>
          <w:rFonts w:hint="eastAsia"/>
          <w:szCs w:val="24"/>
        </w:rPr>
        <w:t>以自己的名义进行这些索赔或诉讼，因此发生的费用和遭受的损失均由</w:t>
      </w:r>
      <w:r>
        <w:rPr>
          <w:rFonts w:hint="eastAsia"/>
          <w:szCs w:val="24"/>
        </w:rPr>
        <w:t>供应商</w:t>
      </w:r>
      <w:r w:rsidRPr="00C73EAA">
        <w:rPr>
          <w:rFonts w:hint="eastAsia"/>
          <w:szCs w:val="24"/>
        </w:rPr>
        <w:t>承担。</w:t>
      </w:r>
    </w:p>
    <w:p w14:paraId="11002FCE" w14:textId="77777777" w:rsidR="00592D7F" w:rsidRPr="00C95800" w:rsidRDefault="00592D7F"/>
    <w:sectPr w:rsidR="00592D7F" w:rsidRPr="00C9580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7F380" w14:textId="77777777" w:rsidR="001E2EF7" w:rsidRDefault="001E2EF7" w:rsidP="00C95800">
      <w:r>
        <w:separator/>
      </w:r>
    </w:p>
  </w:endnote>
  <w:endnote w:type="continuationSeparator" w:id="0">
    <w:p w14:paraId="31DB62B6" w14:textId="77777777" w:rsidR="001E2EF7" w:rsidRDefault="001E2EF7" w:rsidP="00C95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2AD02" w14:textId="77777777" w:rsidR="00C95800" w:rsidRDefault="00C95800">
    <w:pPr>
      <w:pStyle w:val="af0"/>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
    </w:sdtPr>
    <w:sdtContent>
      <w:p w14:paraId="1828E5AB" w14:textId="77777777" w:rsidR="00C95800" w:rsidRDefault="00000000">
        <w:pPr>
          <w:pStyle w:val="af0"/>
          <w:ind w:firstLine="360"/>
          <w:jc w:val="center"/>
        </w:pPr>
      </w:p>
    </w:sdtContent>
  </w:sdt>
  <w:p w14:paraId="73FF88A4" w14:textId="77777777" w:rsidR="00C95800" w:rsidRDefault="00C95800">
    <w:pPr>
      <w:pStyle w:val="af0"/>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A2F99" w14:textId="77777777" w:rsidR="00C95800" w:rsidRDefault="00C95800">
    <w:pPr>
      <w:pStyle w:val="af0"/>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4FA18" w14:textId="77777777" w:rsidR="001E2EF7" w:rsidRDefault="001E2EF7" w:rsidP="00C95800">
      <w:r>
        <w:separator/>
      </w:r>
    </w:p>
  </w:footnote>
  <w:footnote w:type="continuationSeparator" w:id="0">
    <w:p w14:paraId="460C593D" w14:textId="77777777" w:rsidR="001E2EF7" w:rsidRDefault="001E2EF7" w:rsidP="00C958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55129" w14:textId="00092FCE" w:rsidR="00C95800" w:rsidRDefault="00C95800">
    <w:pPr>
      <w:pStyle w:val="ae"/>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A6120" w14:textId="77777777" w:rsidR="00C95800" w:rsidRDefault="00C95800" w:rsidP="00205AD9">
    <w:pPr>
      <w:jc w:val="left"/>
      <w:rPr>
        <w:b/>
        <w:szCs w:val="21"/>
      </w:rPr>
    </w:pPr>
    <w:r>
      <w:rPr>
        <w:b/>
        <w:noProof/>
        <w:szCs w:val="21"/>
      </w:rPr>
      <mc:AlternateContent>
        <mc:Choice Requires="wps">
          <w:drawing>
            <wp:anchor distT="0" distB="0" distL="114300" distR="114300" simplePos="0" relativeHeight="251659264" behindDoc="0" locked="0" layoutInCell="1" allowOverlap="1" wp14:anchorId="3B5318AD" wp14:editId="7DE684D4">
              <wp:simplePos x="0" y="0"/>
              <wp:positionH relativeFrom="column">
                <wp:posOffset>-209550</wp:posOffset>
              </wp:positionH>
              <wp:positionV relativeFrom="paragraph">
                <wp:posOffset>127635</wp:posOffset>
              </wp:positionV>
              <wp:extent cx="5844540" cy="0"/>
              <wp:effectExtent l="0" t="0" r="22860" b="19050"/>
              <wp:wrapNone/>
              <wp:docPr id="196669309" name="直接连接符 196669309"/>
              <wp:cNvGraphicFramePr/>
              <a:graphic xmlns:a="http://schemas.openxmlformats.org/drawingml/2006/main">
                <a:graphicData uri="http://schemas.microsoft.com/office/word/2010/wordprocessingShape">
                  <wps:wsp>
                    <wps:cNvCnPr/>
                    <wps:spPr>
                      <a:xfrm>
                        <a:off x="0" y="0"/>
                        <a:ext cx="58445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3CC11D" id="直接连接符 196669309"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5pt,10.05pt" to="443.7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" strokecolor="black [3213]" strokeweight=".5pt">
              <v:stroke joinstyle="miter"/>
            </v:line>
          </w:pict>
        </mc:Fallback>
      </mc:AlternateContent>
    </w:r>
  </w:p>
  <w:p w14:paraId="43AD065B" w14:textId="7B7B9220" w:rsidR="00C95800" w:rsidRDefault="00C95800">
    <w:pPr>
      <w:pStyle w:val="ae"/>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64589" w14:textId="19D44935" w:rsidR="00C95800" w:rsidRDefault="00C95800">
    <w:pPr>
      <w:pStyle w:val="ae"/>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84FFD"/>
    <w:multiLevelType w:val="multilevel"/>
    <w:tmpl w:val="16B84FFD"/>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3A3C3C95"/>
    <w:multiLevelType w:val="multilevel"/>
    <w:tmpl w:val="3A3C3C95"/>
    <w:lvl w:ilvl="0">
      <w:start w:val="1"/>
      <w:numFmt w:val="bullet"/>
      <w:lvlText w:val=""/>
      <w:lvlJc w:val="left"/>
      <w:pPr>
        <w:ind w:left="980" w:hanging="420"/>
      </w:pPr>
      <w:rPr>
        <w:rFonts w:ascii="Wingdings" w:hAnsi="Wingdings" w:hint="default"/>
      </w:rPr>
    </w:lvl>
    <w:lvl w:ilvl="1">
      <w:start w:val="1"/>
      <w:numFmt w:val="lowerLetter"/>
      <w:lvlText w:val="%2)"/>
      <w:lvlJc w:val="left"/>
      <w:pPr>
        <w:ind w:left="1400" w:hanging="420"/>
      </w:pPr>
      <w:rPr>
        <w:rFonts w:cs="Times New Roman"/>
      </w:rPr>
    </w:lvl>
    <w:lvl w:ilvl="2">
      <w:start w:val="1"/>
      <w:numFmt w:val="lowerRoman"/>
      <w:lvlText w:val="%3."/>
      <w:lvlJc w:val="right"/>
      <w:pPr>
        <w:ind w:left="1820" w:hanging="420"/>
      </w:pPr>
      <w:rPr>
        <w:rFonts w:cs="Times New Roman"/>
      </w:rPr>
    </w:lvl>
    <w:lvl w:ilvl="3">
      <w:start w:val="1"/>
      <w:numFmt w:val="decimal"/>
      <w:lvlText w:val="%4."/>
      <w:lvlJc w:val="left"/>
      <w:pPr>
        <w:ind w:left="2240" w:hanging="420"/>
      </w:pPr>
      <w:rPr>
        <w:rFonts w:cs="Times New Roman"/>
      </w:rPr>
    </w:lvl>
    <w:lvl w:ilvl="4">
      <w:start w:val="1"/>
      <w:numFmt w:val="lowerLetter"/>
      <w:lvlText w:val="%5)"/>
      <w:lvlJc w:val="left"/>
      <w:pPr>
        <w:ind w:left="2660" w:hanging="420"/>
      </w:pPr>
      <w:rPr>
        <w:rFonts w:cs="Times New Roman"/>
      </w:rPr>
    </w:lvl>
    <w:lvl w:ilvl="5">
      <w:start w:val="1"/>
      <w:numFmt w:val="lowerRoman"/>
      <w:lvlText w:val="%6."/>
      <w:lvlJc w:val="right"/>
      <w:pPr>
        <w:ind w:left="3080" w:hanging="420"/>
      </w:pPr>
      <w:rPr>
        <w:rFonts w:cs="Times New Roman"/>
      </w:rPr>
    </w:lvl>
    <w:lvl w:ilvl="6">
      <w:start w:val="1"/>
      <w:numFmt w:val="decimal"/>
      <w:lvlText w:val="%7."/>
      <w:lvlJc w:val="left"/>
      <w:pPr>
        <w:ind w:left="3500" w:hanging="420"/>
      </w:pPr>
      <w:rPr>
        <w:rFonts w:cs="Times New Roman"/>
      </w:rPr>
    </w:lvl>
    <w:lvl w:ilvl="7">
      <w:start w:val="1"/>
      <w:numFmt w:val="lowerLetter"/>
      <w:lvlText w:val="%8)"/>
      <w:lvlJc w:val="left"/>
      <w:pPr>
        <w:ind w:left="3920" w:hanging="420"/>
      </w:pPr>
      <w:rPr>
        <w:rFonts w:cs="Times New Roman"/>
      </w:rPr>
    </w:lvl>
    <w:lvl w:ilvl="8">
      <w:start w:val="1"/>
      <w:numFmt w:val="lowerRoman"/>
      <w:lvlText w:val="%9."/>
      <w:lvlJc w:val="right"/>
      <w:pPr>
        <w:ind w:left="4340" w:hanging="420"/>
      </w:pPr>
      <w:rPr>
        <w:rFonts w:cs="Times New Roman"/>
      </w:rPr>
    </w:lvl>
  </w:abstractNum>
  <w:num w:numId="1" w16cid:durableId="946690538">
    <w:abstractNumId w:val="0"/>
  </w:num>
  <w:num w:numId="2" w16cid:durableId="19021315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D7F"/>
    <w:rsid w:val="001E2EF7"/>
    <w:rsid w:val="0023297E"/>
    <w:rsid w:val="00457F36"/>
    <w:rsid w:val="00592D7F"/>
    <w:rsid w:val="00996E00"/>
    <w:rsid w:val="00AB13E3"/>
    <w:rsid w:val="00C9580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6AE0B5"/>
  <w15:chartTrackingRefBased/>
  <w15:docId w15:val="{889D10B6-BBD9-4436-842D-F3A2955A2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5800"/>
    <w:pPr>
      <w:widowControl w:val="0"/>
      <w:spacing w:after="0" w:line="240" w:lineRule="auto"/>
      <w:jc w:val="both"/>
    </w:pPr>
    <w:rPr>
      <w:rFonts w:ascii="Times New Roman" w:eastAsia="宋体" w:hAnsi="Times New Roman" w:cs="Times New Roman"/>
      <w:sz w:val="21"/>
      <w:szCs w:val="20"/>
      <w14:ligatures w14:val="none"/>
    </w:rPr>
  </w:style>
  <w:style w:type="paragraph" w:styleId="1">
    <w:name w:val="heading 1"/>
    <w:basedOn w:val="a"/>
    <w:next w:val="a"/>
    <w:link w:val="10"/>
    <w:uiPriority w:val="9"/>
    <w:qFormat/>
    <w:rsid w:val="00592D7F"/>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592D7F"/>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592D7F"/>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592D7F"/>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592D7F"/>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592D7F"/>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592D7F"/>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92D7F"/>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592D7F"/>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qFormat/>
    <w:rsid w:val="00592D7F"/>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592D7F"/>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592D7F"/>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592D7F"/>
    <w:rPr>
      <w:rFonts w:cstheme="majorBidi"/>
      <w:color w:val="2F5496" w:themeColor="accent1" w:themeShade="BF"/>
      <w:sz w:val="28"/>
      <w:szCs w:val="28"/>
    </w:rPr>
  </w:style>
  <w:style w:type="character" w:customStyle="1" w:styleId="50">
    <w:name w:val="标题 5 字符"/>
    <w:basedOn w:val="a0"/>
    <w:link w:val="5"/>
    <w:uiPriority w:val="9"/>
    <w:semiHidden/>
    <w:rsid w:val="00592D7F"/>
    <w:rPr>
      <w:rFonts w:cstheme="majorBidi"/>
      <w:color w:val="2F5496" w:themeColor="accent1" w:themeShade="BF"/>
      <w:sz w:val="24"/>
    </w:rPr>
  </w:style>
  <w:style w:type="character" w:customStyle="1" w:styleId="60">
    <w:name w:val="标题 6 字符"/>
    <w:basedOn w:val="a0"/>
    <w:link w:val="6"/>
    <w:uiPriority w:val="9"/>
    <w:semiHidden/>
    <w:rsid w:val="00592D7F"/>
    <w:rPr>
      <w:rFonts w:cstheme="majorBidi"/>
      <w:b/>
      <w:bCs/>
      <w:color w:val="2F5496" w:themeColor="accent1" w:themeShade="BF"/>
    </w:rPr>
  </w:style>
  <w:style w:type="character" w:customStyle="1" w:styleId="70">
    <w:name w:val="标题 7 字符"/>
    <w:basedOn w:val="a0"/>
    <w:link w:val="7"/>
    <w:uiPriority w:val="9"/>
    <w:semiHidden/>
    <w:rsid w:val="00592D7F"/>
    <w:rPr>
      <w:rFonts w:cstheme="majorBidi"/>
      <w:b/>
      <w:bCs/>
      <w:color w:val="595959" w:themeColor="text1" w:themeTint="A6"/>
    </w:rPr>
  </w:style>
  <w:style w:type="character" w:customStyle="1" w:styleId="80">
    <w:name w:val="标题 8 字符"/>
    <w:basedOn w:val="a0"/>
    <w:link w:val="8"/>
    <w:uiPriority w:val="9"/>
    <w:semiHidden/>
    <w:rsid w:val="00592D7F"/>
    <w:rPr>
      <w:rFonts w:cstheme="majorBidi"/>
      <w:color w:val="595959" w:themeColor="text1" w:themeTint="A6"/>
    </w:rPr>
  </w:style>
  <w:style w:type="character" w:customStyle="1" w:styleId="90">
    <w:name w:val="标题 9 字符"/>
    <w:basedOn w:val="a0"/>
    <w:link w:val="9"/>
    <w:uiPriority w:val="9"/>
    <w:semiHidden/>
    <w:rsid w:val="00592D7F"/>
    <w:rPr>
      <w:rFonts w:eastAsiaTheme="majorEastAsia" w:cstheme="majorBidi"/>
      <w:color w:val="595959" w:themeColor="text1" w:themeTint="A6"/>
    </w:rPr>
  </w:style>
  <w:style w:type="paragraph" w:styleId="a3">
    <w:name w:val="Title"/>
    <w:basedOn w:val="a"/>
    <w:next w:val="a"/>
    <w:link w:val="a4"/>
    <w:uiPriority w:val="10"/>
    <w:qFormat/>
    <w:rsid w:val="00592D7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92D7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92D7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92D7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92D7F"/>
    <w:pPr>
      <w:spacing w:before="160"/>
      <w:jc w:val="center"/>
    </w:pPr>
    <w:rPr>
      <w:i/>
      <w:iCs/>
      <w:color w:val="404040" w:themeColor="text1" w:themeTint="BF"/>
    </w:rPr>
  </w:style>
  <w:style w:type="character" w:customStyle="1" w:styleId="a8">
    <w:name w:val="引用 字符"/>
    <w:basedOn w:val="a0"/>
    <w:link w:val="a7"/>
    <w:uiPriority w:val="29"/>
    <w:rsid w:val="00592D7F"/>
    <w:rPr>
      <w:i/>
      <w:iCs/>
      <w:color w:val="404040" w:themeColor="text1" w:themeTint="BF"/>
    </w:rPr>
  </w:style>
  <w:style w:type="paragraph" w:styleId="a9">
    <w:name w:val="List Paragraph"/>
    <w:basedOn w:val="a"/>
    <w:uiPriority w:val="34"/>
    <w:qFormat/>
    <w:rsid w:val="00592D7F"/>
    <w:pPr>
      <w:ind w:left="720"/>
      <w:contextualSpacing/>
    </w:pPr>
  </w:style>
  <w:style w:type="character" w:styleId="aa">
    <w:name w:val="Intense Emphasis"/>
    <w:basedOn w:val="a0"/>
    <w:uiPriority w:val="21"/>
    <w:qFormat/>
    <w:rsid w:val="00592D7F"/>
    <w:rPr>
      <w:i/>
      <w:iCs/>
      <w:color w:val="2F5496" w:themeColor="accent1" w:themeShade="BF"/>
    </w:rPr>
  </w:style>
  <w:style w:type="paragraph" w:styleId="ab">
    <w:name w:val="Intense Quote"/>
    <w:basedOn w:val="a"/>
    <w:next w:val="a"/>
    <w:link w:val="ac"/>
    <w:uiPriority w:val="30"/>
    <w:qFormat/>
    <w:rsid w:val="00592D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592D7F"/>
    <w:rPr>
      <w:i/>
      <w:iCs/>
      <w:color w:val="2F5496" w:themeColor="accent1" w:themeShade="BF"/>
    </w:rPr>
  </w:style>
  <w:style w:type="character" w:styleId="ad">
    <w:name w:val="Intense Reference"/>
    <w:basedOn w:val="a0"/>
    <w:uiPriority w:val="32"/>
    <w:qFormat/>
    <w:rsid w:val="00592D7F"/>
    <w:rPr>
      <w:b/>
      <w:bCs/>
      <w:smallCaps/>
      <w:color w:val="2F5496" w:themeColor="accent1" w:themeShade="BF"/>
      <w:spacing w:val="5"/>
    </w:rPr>
  </w:style>
  <w:style w:type="paragraph" w:styleId="ae">
    <w:name w:val="header"/>
    <w:basedOn w:val="a"/>
    <w:link w:val="af"/>
    <w:uiPriority w:val="99"/>
    <w:unhideWhenUsed/>
    <w:qFormat/>
    <w:rsid w:val="00C95800"/>
    <w:pPr>
      <w:tabs>
        <w:tab w:val="center" w:pos="4153"/>
        <w:tab w:val="right" w:pos="8306"/>
      </w:tabs>
      <w:snapToGrid w:val="0"/>
      <w:jc w:val="center"/>
    </w:pPr>
    <w:rPr>
      <w:sz w:val="18"/>
      <w:szCs w:val="18"/>
    </w:rPr>
  </w:style>
  <w:style w:type="character" w:customStyle="1" w:styleId="af">
    <w:name w:val="页眉 字符"/>
    <w:basedOn w:val="a0"/>
    <w:link w:val="ae"/>
    <w:uiPriority w:val="99"/>
    <w:qFormat/>
    <w:rsid w:val="00C95800"/>
    <w:rPr>
      <w:sz w:val="18"/>
      <w:szCs w:val="18"/>
    </w:rPr>
  </w:style>
  <w:style w:type="paragraph" w:styleId="af0">
    <w:name w:val="footer"/>
    <w:basedOn w:val="a"/>
    <w:link w:val="af1"/>
    <w:uiPriority w:val="99"/>
    <w:unhideWhenUsed/>
    <w:qFormat/>
    <w:rsid w:val="00C95800"/>
    <w:pPr>
      <w:tabs>
        <w:tab w:val="center" w:pos="4153"/>
        <w:tab w:val="right" w:pos="8306"/>
      </w:tabs>
      <w:snapToGrid w:val="0"/>
    </w:pPr>
    <w:rPr>
      <w:sz w:val="18"/>
      <w:szCs w:val="18"/>
    </w:rPr>
  </w:style>
  <w:style w:type="character" w:customStyle="1" w:styleId="af1">
    <w:name w:val="页脚 字符"/>
    <w:basedOn w:val="a0"/>
    <w:link w:val="af0"/>
    <w:uiPriority w:val="99"/>
    <w:qFormat/>
    <w:rsid w:val="00C95800"/>
    <w:rPr>
      <w:sz w:val="18"/>
      <w:szCs w:val="18"/>
    </w:rPr>
  </w:style>
  <w:style w:type="paragraph" w:customStyle="1" w:styleId="11">
    <w:name w:val="列出段落1"/>
    <w:basedOn w:val="a"/>
    <w:uiPriority w:val="34"/>
    <w:qFormat/>
    <w:rsid w:val="00C95800"/>
    <w:pPr>
      <w:ind w:firstLineChars="200" w:firstLine="420"/>
    </w:pPr>
    <w:rPr>
      <w:rFonts w:ascii="Calibri" w:hAnsi="Calibri"/>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1490</Words>
  <Characters>1595</Characters>
  <Application>Microsoft Office Word</Application>
  <DocSecurity>0</DocSecurity>
  <Lines>75</Lines>
  <Paragraphs>79</Paragraphs>
  <ScaleCrop>false</ScaleCrop>
  <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sx y</dc:creator>
  <cp:keywords/>
  <dc:description/>
  <cp:lastModifiedBy>sx y</cp:lastModifiedBy>
  <cp:revision>3</cp:revision>
  <dcterms:created xsi:type="dcterms:W3CDTF">2026-05-29T02:44:00Z</dcterms:created>
  <dcterms:modified xsi:type="dcterms:W3CDTF">2026-05-29T09:10:00Z</dcterms:modified>
</cp:coreProperties>
</file>