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362E05">
      <w:pPr>
        <w:widowControl w:val="0"/>
        <w:ind w:firstLine="0" w:firstLineChars="0"/>
        <w:jc w:val="center"/>
        <w:rPr>
          <w:rFonts w:eastAsia="微软雅黑"/>
          <w:sz w:val="32"/>
          <w:szCs w:val="32"/>
        </w:rPr>
      </w:pPr>
    </w:p>
    <w:p w14:paraId="48B67E4E">
      <w:pPr>
        <w:widowControl w:val="0"/>
        <w:ind w:firstLine="0" w:firstLineChars="0"/>
        <w:jc w:val="center"/>
        <w:rPr>
          <w:rFonts w:eastAsia="微软雅黑"/>
          <w:sz w:val="32"/>
          <w:szCs w:val="32"/>
        </w:rPr>
      </w:pPr>
    </w:p>
    <w:p w14:paraId="176A82D3">
      <w:pPr>
        <w:widowControl w:val="0"/>
        <w:ind w:firstLine="0" w:firstLineChars="0"/>
        <w:jc w:val="center"/>
        <w:rPr>
          <w:rFonts w:eastAsia="微软雅黑"/>
          <w:sz w:val="32"/>
          <w:szCs w:val="32"/>
        </w:rPr>
      </w:pPr>
    </w:p>
    <w:p w14:paraId="09902387">
      <w:pPr>
        <w:widowControl w:val="0"/>
        <w:ind w:firstLine="0" w:firstLineChars="0"/>
        <w:jc w:val="center"/>
        <w:rPr>
          <w:rFonts w:ascii="微软雅黑" w:hAnsi="宋体" w:eastAsia="微软雅黑" w:cs="宋体"/>
          <w:sz w:val="52"/>
          <w:szCs w:val="44"/>
        </w:rPr>
      </w:pPr>
      <w:r>
        <w:rPr>
          <w:rFonts w:hint="eastAsia" w:ascii="微软雅黑" w:hAnsi="宋体" w:eastAsia="微软雅黑" w:cs="宋体"/>
          <w:sz w:val="52"/>
          <w:szCs w:val="44"/>
        </w:rPr>
        <w:t>多通道锁相放大测量系统</w:t>
      </w:r>
    </w:p>
    <w:p w14:paraId="79AF9DDF">
      <w:pPr>
        <w:widowControl w:val="0"/>
        <w:ind w:firstLine="0" w:firstLineChars="0"/>
        <w:jc w:val="center"/>
        <w:rPr>
          <w:rFonts w:ascii="微软雅黑" w:hAnsi="宋体" w:eastAsia="微软雅黑" w:cs="宋体"/>
          <w:sz w:val="52"/>
          <w:szCs w:val="44"/>
        </w:rPr>
      </w:pPr>
      <w:r>
        <w:rPr>
          <w:rFonts w:hint="eastAsia" w:ascii="微软雅黑" w:hAnsi="宋体" w:eastAsia="微软雅黑" w:cs="宋体"/>
          <w:sz w:val="52"/>
          <w:szCs w:val="44"/>
        </w:rPr>
        <w:t>比选要求</w:t>
      </w:r>
    </w:p>
    <w:p w14:paraId="61487E2E">
      <w:pPr>
        <w:widowControl w:val="0"/>
        <w:ind w:firstLine="0" w:firstLineChars="0"/>
        <w:jc w:val="center"/>
        <w:rPr>
          <w:rFonts w:ascii="Times New Roman" w:hAnsi="Times New Roman" w:eastAsia="宋体" w:cs="Times New Roman"/>
          <w:sz w:val="36"/>
          <w:szCs w:val="36"/>
        </w:rPr>
      </w:pPr>
    </w:p>
    <w:p w14:paraId="351D8274">
      <w:pPr>
        <w:widowControl w:val="0"/>
        <w:ind w:firstLine="0" w:firstLineChars="0"/>
        <w:jc w:val="center"/>
        <w:rPr>
          <w:rFonts w:ascii="Times New Roman" w:hAnsi="Times New Roman" w:cs="Times New Roman"/>
          <w:sz w:val="36"/>
          <w:szCs w:val="36"/>
        </w:rPr>
      </w:pPr>
    </w:p>
    <w:p w14:paraId="48226A84">
      <w:pPr>
        <w:widowControl w:val="0"/>
        <w:ind w:firstLine="0" w:firstLineChars="0"/>
        <w:jc w:val="center"/>
        <w:rPr>
          <w:rFonts w:ascii="Times New Roman" w:hAnsi="Times New Roman" w:eastAsia="宋体" w:cs="Times New Roman"/>
          <w:sz w:val="36"/>
          <w:szCs w:val="36"/>
        </w:rPr>
      </w:pPr>
    </w:p>
    <w:p w14:paraId="6B5D23A4">
      <w:pPr>
        <w:widowControl w:val="0"/>
        <w:ind w:firstLine="0" w:firstLineChars="0"/>
        <w:jc w:val="center"/>
        <w:rPr>
          <w:rFonts w:ascii="Times New Roman" w:hAnsi="Times New Roman" w:eastAsia="宋体" w:cs="Times New Roman"/>
          <w:sz w:val="36"/>
          <w:szCs w:val="36"/>
        </w:rPr>
      </w:pPr>
    </w:p>
    <w:p w14:paraId="6F2D34AD">
      <w:pPr>
        <w:widowControl w:val="0"/>
        <w:ind w:firstLine="0" w:firstLineChars="0"/>
        <w:jc w:val="center"/>
        <w:rPr>
          <w:rFonts w:ascii="Times New Roman" w:hAnsi="Times New Roman" w:eastAsia="宋体" w:cs="Times New Roman"/>
          <w:sz w:val="36"/>
          <w:szCs w:val="36"/>
        </w:rPr>
      </w:pPr>
    </w:p>
    <w:p w14:paraId="344AB27B">
      <w:pPr>
        <w:widowControl w:val="0"/>
        <w:ind w:firstLine="0" w:firstLineChars="0"/>
        <w:jc w:val="center"/>
        <w:rPr>
          <w:rFonts w:ascii="Times New Roman" w:hAnsi="Times New Roman" w:eastAsia="宋体" w:cs="Times New Roman"/>
          <w:sz w:val="36"/>
          <w:szCs w:val="36"/>
        </w:rPr>
      </w:pPr>
    </w:p>
    <w:p w14:paraId="30ADE63C">
      <w:pPr>
        <w:widowControl w:val="0"/>
        <w:ind w:firstLine="0" w:firstLineChars="0"/>
        <w:jc w:val="center"/>
        <w:rPr>
          <w:rFonts w:ascii="Times New Roman" w:hAnsi="Times New Roman" w:eastAsia="宋体" w:cs="Times New Roman"/>
          <w:sz w:val="36"/>
          <w:szCs w:val="36"/>
        </w:rPr>
      </w:pPr>
    </w:p>
    <w:p w14:paraId="0260FD22">
      <w:pPr>
        <w:widowControl w:val="0"/>
        <w:ind w:firstLine="0" w:firstLineChars="0"/>
        <w:jc w:val="center"/>
        <w:rPr>
          <w:rFonts w:ascii="Times New Roman" w:hAnsi="Times New Roman" w:eastAsia="宋体" w:cs="Times New Roman"/>
          <w:sz w:val="36"/>
          <w:szCs w:val="36"/>
        </w:rPr>
      </w:pPr>
    </w:p>
    <w:p w14:paraId="1D4AE44B">
      <w:pPr>
        <w:widowControl w:val="0"/>
        <w:ind w:firstLine="0" w:firstLineChars="0"/>
        <w:rPr>
          <w:rFonts w:ascii="Times New Roman" w:hAnsi="Times New Roman" w:eastAsia="宋体" w:cs="Times New Roman"/>
          <w:sz w:val="36"/>
          <w:szCs w:val="36"/>
        </w:rPr>
      </w:pPr>
    </w:p>
    <w:p w14:paraId="3E9A46F7">
      <w:pPr>
        <w:widowControl w:val="0"/>
        <w:ind w:firstLine="0" w:firstLineChars="0"/>
        <w:jc w:val="center"/>
        <w:rPr>
          <w:rFonts w:ascii="Times New Roman" w:hAnsi="Times New Roman" w:eastAsia="宋体" w:cs="Times New Roman"/>
          <w:b/>
          <w:bCs/>
          <w:sz w:val="32"/>
          <w:szCs w:val="32"/>
        </w:rPr>
      </w:pPr>
      <w:r>
        <w:rPr>
          <w:rFonts w:ascii="Times New Roman" w:hAnsi="Times New Roman" w:eastAsia="宋体" w:cs="Times New Roman"/>
          <w:b/>
          <w:bCs/>
          <w:sz w:val="32"/>
          <w:szCs w:val="42"/>
        </w:rPr>
        <w:t>202</w:t>
      </w:r>
      <w:r>
        <w:rPr>
          <w:rFonts w:hint="eastAsia" w:ascii="Times New Roman" w:hAnsi="Times New Roman" w:eastAsia="宋体" w:cs="Times New Roman"/>
          <w:b/>
          <w:bCs/>
          <w:sz w:val="32"/>
          <w:szCs w:val="42"/>
        </w:rPr>
        <w:t>6</w:t>
      </w:r>
      <w:r>
        <w:rPr>
          <w:rFonts w:ascii="Times New Roman" w:hAnsi="Times New Roman" w:eastAsia="宋体" w:cs="Times New Roman"/>
          <w:b/>
          <w:bCs/>
          <w:sz w:val="32"/>
          <w:szCs w:val="42"/>
        </w:rPr>
        <w:t>年7月</w:t>
      </w:r>
    </w:p>
    <w:p w14:paraId="3FA13F95">
      <w:pPr>
        <w:widowControl w:val="0"/>
        <w:adjustRightInd w:val="0"/>
        <w:snapToGrid w:val="0"/>
        <w:spacing w:before="480" w:after="360"/>
        <w:ind w:firstLine="0" w:firstLineChars="0"/>
        <w:jc w:val="both"/>
        <w:rPr>
          <w:rFonts w:ascii="Times New Roman" w:hAnsi="Times New Roman" w:eastAsia="黑体" w:cs="Times New Roman"/>
          <w:kern w:val="0"/>
          <w:sz w:val="32"/>
          <w:szCs w:val="24"/>
        </w:rPr>
        <w:sectPr>
          <w:headerReference r:id="rId7" w:type="first"/>
          <w:footerReference r:id="rId10" w:type="first"/>
          <w:headerReference r:id="rId5" w:type="default"/>
          <w:footerReference r:id="rId8" w:type="default"/>
          <w:headerReference r:id="rId6" w:type="even"/>
          <w:footerReference r:id="rId9" w:type="even"/>
          <w:pgSz w:w="11907" w:h="16840"/>
          <w:pgMar w:top="1440" w:right="1800" w:bottom="1440" w:left="1800" w:header="851" w:footer="992" w:gutter="0"/>
          <w:paperSrc w:first="15" w:other="15"/>
          <w:pgNumType w:fmt="lowerRoman"/>
          <w:cols w:space="720" w:num="1"/>
          <w:docGrid w:type="lines" w:linePitch="381" w:charSpace="0"/>
        </w:sectPr>
      </w:pPr>
      <w:bookmarkStart w:id="0" w:name="封2"/>
      <w:bookmarkEnd w:id="0"/>
    </w:p>
    <w:p w14:paraId="60319456">
      <w:pPr>
        <w:ind w:firstLine="0" w:firstLineChars="0"/>
        <w:jc w:val="both"/>
        <w:rPr>
          <w:rFonts w:ascii="Times New Roman" w:hAnsi="Times New Roman" w:eastAsia="宋体" w:cs="Times New Roman"/>
          <w:sz w:val="22"/>
        </w:rPr>
      </w:pPr>
    </w:p>
    <w:p w14:paraId="4D5FAC01">
      <w:pPr>
        <w:widowControl w:val="0"/>
        <w:adjustRightInd w:val="0"/>
        <w:snapToGrid w:val="0"/>
        <w:spacing w:before="120" w:after="240"/>
        <w:ind w:firstLine="0" w:firstLineChars="0"/>
        <w:jc w:val="center"/>
        <w:rPr>
          <w:rFonts w:ascii="Times New Roman" w:hAnsi="Times New Roman" w:eastAsia="黑体" w:cs="Times New Roman"/>
          <w:kern w:val="0"/>
          <w:sz w:val="32"/>
          <w:szCs w:val="24"/>
        </w:rPr>
      </w:pPr>
      <w:r>
        <w:rPr>
          <w:rFonts w:ascii="Times New Roman" w:hAnsi="Times New Roman" w:eastAsia="黑体" w:cs="Times New Roman"/>
          <w:kern w:val="0"/>
          <w:sz w:val="32"/>
          <w:szCs w:val="24"/>
        </w:rPr>
        <w:t>目 录</w:t>
      </w:r>
    </w:p>
    <w:p w14:paraId="13E41B8C">
      <w:pPr>
        <w:pStyle w:val="14"/>
        <w:rPr>
          <w:rFonts w:asciiTheme="minorHAnsi" w:hAnsiTheme="minorHAnsi" w:eastAsiaTheme="minorEastAsia" w:cstheme="minorBidi"/>
          <w:sz w:val="21"/>
          <w:szCs w:val="22"/>
        </w:rPr>
      </w:pPr>
      <w:r>
        <w:rPr>
          <w:rFonts w:cs="Times New Roman"/>
          <w:bCs/>
          <w:caps/>
          <w:szCs w:val="24"/>
        </w:rPr>
        <w:fldChar w:fldCharType="begin"/>
      </w:r>
      <w:r>
        <w:rPr>
          <w:rFonts w:cs="Times New Roman"/>
          <w:bCs/>
          <w:caps/>
          <w:szCs w:val="24"/>
        </w:rPr>
        <w:instrText xml:space="preserve"> TOC \o "1-3" \h \z \u </w:instrText>
      </w:r>
      <w:r>
        <w:rPr>
          <w:rFonts w:cs="Times New Roman"/>
          <w:bCs/>
          <w:caps/>
          <w:szCs w:val="24"/>
        </w:rPr>
        <w:fldChar w:fldCharType="separate"/>
      </w:r>
      <w:r>
        <w:fldChar w:fldCharType="begin"/>
      </w:r>
      <w:r>
        <w:instrText xml:space="preserve"> HYPERLINK \l "_Toc234514187" </w:instrText>
      </w:r>
      <w:r>
        <w:fldChar w:fldCharType="separate"/>
      </w:r>
      <w:r>
        <w:rPr>
          <w:rStyle w:val="25"/>
          <w:rFonts w:ascii="Times New Roman" w:hAnsi="Times New Roman" w:eastAsia="宋体" w:cs="Times New Roman"/>
        </w:rPr>
        <w:t>一、</w:t>
      </w:r>
      <w:r>
        <w:rPr>
          <w:rFonts w:asciiTheme="minorHAnsi" w:hAnsiTheme="minorHAnsi" w:eastAsiaTheme="minorEastAsia" w:cstheme="minorBidi"/>
          <w:sz w:val="21"/>
          <w:szCs w:val="22"/>
        </w:rPr>
        <w:tab/>
      </w:r>
      <w:r>
        <w:rPr>
          <w:rStyle w:val="25"/>
          <w:rFonts w:ascii="Times New Roman" w:hAnsi="Times New Roman" w:eastAsia="宋体" w:cs="Times New Roman"/>
        </w:rPr>
        <w:t>概述</w:t>
      </w:r>
      <w:r>
        <w:tab/>
      </w:r>
      <w:r>
        <w:fldChar w:fldCharType="begin"/>
      </w:r>
      <w:r>
        <w:instrText xml:space="preserve"> PAGEREF _Toc234514187 \h </w:instrText>
      </w:r>
      <w:r>
        <w:fldChar w:fldCharType="separate"/>
      </w:r>
      <w:r>
        <w:t>1</w:t>
      </w:r>
      <w:r>
        <w:fldChar w:fldCharType="end"/>
      </w:r>
      <w:r>
        <w:fldChar w:fldCharType="end"/>
      </w:r>
    </w:p>
    <w:p w14:paraId="310195FD">
      <w:pPr>
        <w:pStyle w:val="14"/>
        <w:rPr>
          <w:rFonts w:asciiTheme="minorHAnsi" w:hAnsiTheme="minorHAnsi" w:eastAsiaTheme="minorEastAsia" w:cstheme="minorBidi"/>
          <w:sz w:val="21"/>
          <w:szCs w:val="22"/>
        </w:rPr>
      </w:pPr>
      <w:r>
        <w:fldChar w:fldCharType="begin"/>
      </w:r>
      <w:r>
        <w:instrText xml:space="preserve"> HYPERLINK \l "_Toc234514188" </w:instrText>
      </w:r>
      <w:r>
        <w:fldChar w:fldCharType="separate"/>
      </w:r>
      <w:r>
        <w:rPr>
          <w:rStyle w:val="25"/>
          <w:rFonts w:ascii="Times New Roman" w:hAnsi="Times New Roman" w:eastAsia="宋体" w:cs="Times New Roman"/>
        </w:rPr>
        <w:t>二、</w:t>
      </w:r>
      <w:r>
        <w:rPr>
          <w:rFonts w:asciiTheme="minorHAnsi" w:hAnsiTheme="minorHAnsi" w:eastAsiaTheme="minorEastAsia" w:cstheme="minorBidi"/>
          <w:sz w:val="21"/>
          <w:szCs w:val="22"/>
        </w:rPr>
        <w:tab/>
      </w:r>
      <w:r>
        <w:rPr>
          <w:rStyle w:val="25"/>
          <w:rFonts w:ascii="Times New Roman" w:hAnsi="Times New Roman" w:eastAsia="宋体" w:cs="Times New Roman"/>
        </w:rPr>
        <w:t>货物需求一览表</w:t>
      </w:r>
      <w:r>
        <w:tab/>
      </w:r>
      <w:r>
        <w:fldChar w:fldCharType="begin"/>
      </w:r>
      <w:r>
        <w:instrText xml:space="preserve"> PAGEREF _Toc234514188 \h </w:instrText>
      </w:r>
      <w:r>
        <w:fldChar w:fldCharType="separate"/>
      </w:r>
      <w:r>
        <w:t>1</w:t>
      </w:r>
      <w:r>
        <w:fldChar w:fldCharType="end"/>
      </w:r>
      <w:r>
        <w:fldChar w:fldCharType="end"/>
      </w:r>
    </w:p>
    <w:p w14:paraId="24E3D35E">
      <w:pPr>
        <w:pStyle w:val="14"/>
        <w:rPr>
          <w:rFonts w:asciiTheme="minorHAnsi" w:hAnsiTheme="minorHAnsi" w:eastAsiaTheme="minorEastAsia" w:cstheme="minorBidi"/>
          <w:sz w:val="21"/>
          <w:szCs w:val="22"/>
        </w:rPr>
      </w:pPr>
      <w:r>
        <w:fldChar w:fldCharType="begin"/>
      </w:r>
      <w:r>
        <w:instrText xml:space="preserve"> HYPERLINK \l "_Toc234514189" </w:instrText>
      </w:r>
      <w:r>
        <w:fldChar w:fldCharType="separate"/>
      </w:r>
      <w:r>
        <w:rPr>
          <w:rStyle w:val="25"/>
          <w:rFonts w:ascii="Times New Roman" w:hAnsi="Times New Roman" w:eastAsia="宋体" w:cs="Times New Roman"/>
        </w:rPr>
        <w:t>三、</w:t>
      </w:r>
      <w:r>
        <w:rPr>
          <w:rFonts w:asciiTheme="minorHAnsi" w:hAnsiTheme="minorHAnsi" w:eastAsiaTheme="minorEastAsia" w:cstheme="minorBidi"/>
          <w:sz w:val="21"/>
          <w:szCs w:val="22"/>
        </w:rPr>
        <w:tab/>
      </w:r>
      <w:r>
        <w:rPr>
          <w:rStyle w:val="25"/>
          <w:rFonts w:ascii="Times New Roman" w:hAnsi="Times New Roman" w:eastAsia="宋体" w:cs="Times New Roman"/>
        </w:rPr>
        <w:t>设备及主要部件构成</w:t>
      </w:r>
      <w:r>
        <w:tab/>
      </w:r>
      <w:r>
        <w:fldChar w:fldCharType="begin"/>
      </w:r>
      <w:r>
        <w:instrText xml:space="preserve"> PAGEREF _Toc234514189 \h </w:instrText>
      </w:r>
      <w:r>
        <w:fldChar w:fldCharType="separate"/>
      </w:r>
      <w:r>
        <w:t>1</w:t>
      </w:r>
      <w:r>
        <w:fldChar w:fldCharType="end"/>
      </w:r>
      <w:r>
        <w:fldChar w:fldCharType="end"/>
      </w:r>
    </w:p>
    <w:p w14:paraId="5330896D">
      <w:pPr>
        <w:pStyle w:val="14"/>
        <w:rPr>
          <w:rFonts w:asciiTheme="minorHAnsi" w:hAnsiTheme="minorHAnsi" w:eastAsiaTheme="minorEastAsia" w:cstheme="minorBidi"/>
          <w:sz w:val="21"/>
          <w:szCs w:val="22"/>
        </w:rPr>
      </w:pPr>
      <w:r>
        <w:fldChar w:fldCharType="begin"/>
      </w:r>
      <w:r>
        <w:instrText xml:space="preserve"> HYPERLINK \l "_Toc234514191" </w:instrText>
      </w:r>
      <w:r>
        <w:fldChar w:fldCharType="separate"/>
      </w:r>
      <w:r>
        <w:rPr>
          <w:rStyle w:val="25"/>
          <w:rFonts w:ascii="Times New Roman" w:hAnsi="Times New Roman" w:eastAsia="宋体" w:cs="Times New Roman"/>
        </w:rPr>
        <w:t>四、</w:t>
      </w:r>
      <w:r>
        <w:rPr>
          <w:rFonts w:asciiTheme="minorHAnsi" w:hAnsiTheme="minorHAnsi" w:eastAsiaTheme="minorEastAsia" w:cstheme="minorBidi"/>
          <w:sz w:val="21"/>
          <w:szCs w:val="22"/>
        </w:rPr>
        <w:tab/>
      </w:r>
      <w:r>
        <w:rPr>
          <w:rStyle w:val="25"/>
          <w:rFonts w:ascii="Times New Roman" w:hAnsi="Times New Roman" w:eastAsia="宋体" w:cs="Times New Roman"/>
        </w:rPr>
        <w:t>设计和制造依据的标准和技术文件</w:t>
      </w:r>
      <w:r>
        <w:tab/>
      </w:r>
      <w:r>
        <w:fldChar w:fldCharType="begin"/>
      </w:r>
      <w:r>
        <w:instrText xml:space="preserve"> PAGEREF _Toc234514191 \h </w:instrText>
      </w:r>
      <w:r>
        <w:fldChar w:fldCharType="separate"/>
      </w:r>
      <w:r>
        <w:t>1</w:t>
      </w:r>
      <w:r>
        <w:fldChar w:fldCharType="end"/>
      </w:r>
      <w:r>
        <w:fldChar w:fldCharType="end"/>
      </w:r>
    </w:p>
    <w:p w14:paraId="0814F0FE">
      <w:pPr>
        <w:pStyle w:val="14"/>
        <w:rPr>
          <w:rFonts w:asciiTheme="minorHAnsi" w:hAnsiTheme="minorHAnsi" w:eastAsiaTheme="minorEastAsia" w:cstheme="minorBidi"/>
          <w:sz w:val="21"/>
          <w:szCs w:val="22"/>
        </w:rPr>
      </w:pPr>
      <w:r>
        <w:fldChar w:fldCharType="begin"/>
      </w:r>
      <w:r>
        <w:instrText xml:space="preserve"> HYPERLINK \l "_Toc234514192" </w:instrText>
      </w:r>
      <w:r>
        <w:fldChar w:fldCharType="separate"/>
      </w:r>
      <w:r>
        <w:rPr>
          <w:rStyle w:val="25"/>
          <w:rFonts w:ascii="Times New Roman" w:hAnsi="Times New Roman" w:eastAsia="宋体" w:cs="Times New Roman"/>
        </w:rPr>
        <w:t>五、</w:t>
      </w:r>
      <w:r>
        <w:rPr>
          <w:rFonts w:asciiTheme="minorHAnsi" w:hAnsiTheme="minorHAnsi" w:eastAsiaTheme="minorEastAsia" w:cstheme="minorBidi"/>
          <w:sz w:val="21"/>
          <w:szCs w:val="22"/>
        </w:rPr>
        <w:tab/>
      </w:r>
      <w:r>
        <w:rPr>
          <w:rStyle w:val="25"/>
          <w:rFonts w:ascii="Times New Roman" w:hAnsi="Times New Roman" w:eastAsia="宋体" w:cs="Times New Roman"/>
        </w:rPr>
        <w:t>详细技术规格要求（标</w:t>
      </w:r>
      <w:r>
        <w:rPr>
          <w:rStyle w:val="25"/>
          <w:rFonts w:ascii="Segoe UI Symbol" w:hAnsi="Segoe UI Symbol" w:eastAsia="宋体" w:cs="Segoe UI Symbol"/>
        </w:rPr>
        <w:t>★</w:t>
      </w:r>
      <w:r>
        <w:rPr>
          <w:rStyle w:val="25"/>
          <w:rFonts w:ascii="Times New Roman" w:hAnsi="Times New Roman" w:eastAsia="宋体" w:cs="Times New Roman"/>
        </w:rPr>
        <w:t>项需完全响应）</w:t>
      </w:r>
      <w:r>
        <w:tab/>
      </w:r>
      <w:r>
        <w:fldChar w:fldCharType="begin"/>
      </w:r>
      <w:r>
        <w:instrText xml:space="preserve"> PAGEREF _Toc234514192 \h </w:instrText>
      </w:r>
      <w:r>
        <w:fldChar w:fldCharType="separate"/>
      </w:r>
      <w:r>
        <w:t>2</w:t>
      </w:r>
      <w:r>
        <w:fldChar w:fldCharType="end"/>
      </w:r>
      <w:r>
        <w:fldChar w:fldCharType="end"/>
      </w:r>
    </w:p>
    <w:p w14:paraId="266E044F">
      <w:pPr>
        <w:pStyle w:val="14"/>
        <w:rPr>
          <w:rFonts w:asciiTheme="minorHAnsi" w:hAnsiTheme="minorHAnsi" w:eastAsiaTheme="minorEastAsia" w:cstheme="minorBidi"/>
          <w:sz w:val="21"/>
          <w:szCs w:val="22"/>
        </w:rPr>
      </w:pPr>
      <w:r>
        <w:fldChar w:fldCharType="begin"/>
      </w:r>
      <w:r>
        <w:instrText xml:space="preserve"> HYPERLINK \l "_Toc234514193" </w:instrText>
      </w:r>
      <w:r>
        <w:fldChar w:fldCharType="separate"/>
      </w:r>
      <w:r>
        <w:rPr>
          <w:rStyle w:val="25"/>
          <w:rFonts w:ascii="Times New Roman" w:hAnsi="Times New Roman" w:eastAsia="宋体" w:cs="Times New Roman"/>
        </w:rPr>
        <w:t>六、</w:t>
      </w:r>
      <w:r>
        <w:rPr>
          <w:rFonts w:asciiTheme="minorHAnsi" w:hAnsiTheme="minorHAnsi" w:eastAsiaTheme="minorEastAsia" w:cstheme="minorBidi"/>
          <w:sz w:val="21"/>
          <w:szCs w:val="22"/>
        </w:rPr>
        <w:tab/>
      </w:r>
      <w:r>
        <w:rPr>
          <w:rStyle w:val="25"/>
          <w:rFonts w:ascii="Times New Roman" w:hAnsi="Times New Roman" w:eastAsia="宋体" w:cs="Times New Roman"/>
        </w:rPr>
        <w:t>安装技术条件</w:t>
      </w:r>
      <w:r>
        <w:tab/>
      </w:r>
      <w:r>
        <w:fldChar w:fldCharType="begin"/>
      </w:r>
      <w:r>
        <w:instrText xml:space="preserve"> PAGEREF _Toc234514193 \h </w:instrText>
      </w:r>
      <w:r>
        <w:fldChar w:fldCharType="separate"/>
      </w:r>
      <w:r>
        <w:t>3</w:t>
      </w:r>
      <w:r>
        <w:fldChar w:fldCharType="end"/>
      </w:r>
      <w:r>
        <w:fldChar w:fldCharType="end"/>
      </w:r>
    </w:p>
    <w:p w14:paraId="65A821D7">
      <w:pPr>
        <w:pStyle w:val="15"/>
        <w:rPr>
          <w:rFonts w:asciiTheme="minorHAnsi" w:hAnsiTheme="minorHAnsi" w:eastAsiaTheme="minorEastAsia" w:cstheme="minorBidi"/>
          <w:sz w:val="21"/>
          <w:szCs w:val="22"/>
        </w:rPr>
      </w:pPr>
      <w:r>
        <w:fldChar w:fldCharType="begin"/>
      </w:r>
      <w:r>
        <w:instrText xml:space="preserve"> HYPERLINK \l "_Toc234514194" </w:instrText>
      </w:r>
      <w:r>
        <w:fldChar w:fldCharType="separate"/>
      </w:r>
      <w:r>
        <w:rPr>
          <w:rStyle w:val="25"/>
          <w:rFonts w:ascii="Times New Roman" w:hAnsi="Times New Roman" w:eastAsia="黑体" w:cs="Times New Roman"/>
          <w:bCs/>
        </w:rPr>
        <w:t xml:space="preserve">6.1 </w:t>
      </w:r>
      <w:r>
        <w:rPr>
          <w:rStyle w:val="25"/>
          <w:rFonts w:ascii="宋体" w:hAnsi="宋体" w:eastAsia="宋体" w:cs="Times New Roman"/>
          <w:bCs/>
        </w:rPr>
        <w:t>安装地点</w:t>
      </w:r>
      <w:r>
        <w:tab/>
      </w:r>
      <w:r>
        <w:fldChar w:fldCharType="begin"/>
      </w:r>
      <w:r>
        <w:instrText xml:space="preserve"> PAGEREF _Toc234514194 \h </w:instrText>
      </w:r>
      <w:r>
        <w:fldChar w:fldCharType="separate"/>
      </w:r>
      <w:r>
        <w:t>3</w:t>
      </w:r>
      <w:r>
        <w:fldChar w:fldCharType="end"/>
      </w:r>
      <w:r>
        <w:fldChar w:fldCharType="end"/>
      </w:r>
    </w:p>
    <w:p w14:paraId="7E271875">
      <w:pPr>
        <w:pStyle w:val="15"/>
        <w:rPr>
          <w:rFonts w:asciiTheme="minorHAnsi" w:hAnsiTheme="minorHAnsi" w:eastAsiaTheme="minorEastAsia" w:cstheme="minorBidi"/>
          <w:sz w:val="21"/>
          <w:szCs w:val="22"/>
        </w:rPr>
      </w:pPr>
      <w:r>
        <w:fldChar w:fldCharType="begin"/>
      </w:r>
      <w:r>
        <w:instrText xml:space="preserve"> HYPERLINK \l "_Toc234514195" </w:instrText>
      </w:r>
      <w:r>
        <w:fldChar w:fldCharType="separate"/>
      </w:r>
      <w:r>
        <w:rPr>
          <w:rStyle w:val="25"/>
          <w:rFonts w:ascii="Times New Roman" w:hAnsi="Times New Roman" w:eastAsia="黑体" w:cs="Times New Roman"/>
          <w:bCs/>
        </w:rPr>
        <w:t xml:space="preserve">6.2 </w:t>
      </w:r>
      <w:r>
        <w:rPr>
          <w:rStyle w:val="25"/>
          <w:rFonts w:ascii="宋体" w:hAnsi="宋体" w:eastAsia="宋体" w:cs="Times New Roman"/>
          <w:bCs/>
        </w:rPr>
        <w:t>运输条件</w:t>
      </w:r>
      <w:r>
        <w:tab/>
      </w:r>
      <w:r>
        <w:fldChar w:fldCharType="begin"/>
      </w:r>
      <w:r>
        <w:instrText xml:space="preserve"> PAGEREF _Toc234514195 \h </w:instrText>
      </w:r>
      <w:r>
        <w:fldChar w:fldCharType="separate"/>
      </w:r>
      <w:r>
        <w:t>3</w:t>
      </w:r>
      <w:r>
        <w:fldChar w:fldCharType="end"/>
      </w:r>
      <w:r>
        <w:fldChar w:fldCharType="end"/>
      </w:r>
    </w:p>
    <w:p w14:paraId="3CE23B29">
      <w:pPr>
        <w:pStyle w:val="14"/>
        <w:rPr>
          <w:rFonts w:asciiTheme="minorHAnsi" w:hAnsiTheme="minorHAnsi" w:eastAsiaTheme="minorEastAsia" w:cstheme="minorBidi"/>
          <w:sz w:val="21"/>
          <w:szCs w:val="22"/>
        </w:rPr>
      </w:pPr>
      <w:r>
        <w:fldChar w:fldCharType="begin"/>
      </w:r>
      <w:r>
        <w:instrText xml:space="preserve"> HYPERLINK \l "_Toc234514196" </w:instrText>
      </w:r>
      <w:r>
        <w:fldChar w:fldCharType="separate"/>
      </w:r>
      <w:r>
        <w:rPr>
          <w:rStyle w:val="25"/>
          <w:rFonts w:ascii="Times New Roman" w:hAnsi="Times New Roman" w:eastAsia="宋体" w:cs="Times New Roman"/>
        </w:rPr>
        <w:t>七、</w:t>
      </w:r>
      <w:r>
        <w:rPr>
          <w:rFonts w:asciiTheme="minorHAnsi" w:hAnsiTheme="minorHAnsi" w:eastAsiaTheme="minorEastAsia" w:cstheme="minorBidi"/>
          <w:sz w:val="21"/>
          <w:szCs w:val="22"/>
        </w:rPr>
        <w:tab/>
      </w:r>
      <w:r>
        <w:rPr>
          <w:rStyle w:val="25"/>
          <w:rFonts w:ascii="Times New Roman" w:hAnsi="Times New Roman" w:eastAsia="宋体" w:cs="Times New Roman"/>
        </w:rPr>
        <w:t>备品备件、专用工具和仪器仪表清单</w:t>
      </w:r>
      <w:r>
        <w:tab/>
      </w:r>
      <w:r>
        <w:fldChar w:fldCharType="begin"/>
      </w:r>
      <w:r>
        <w:instrText xml:space="preserve"> PAGEREF _Toc234514196 \h </w:instrText>
      </w:r>
      <w:r>
        <w:fldChar w:fldCharType="separate"/>
      </w:r>
      <w:r>
        <w:t>4</w:t>
      </w:r>
      <w:r>
        <w:fldChar w:fldCharType="end"/>
      </w:r>
      <w:r>
        <w:fldChar w:fldCharType="end"/>
      </w:r>
    </w:p>
    <w:p w14:paraId="4E047B12">
      <w:pPr>
        <w:pStyle w:val="14"/>
        <w:rPr>
          <w:rFonts w:asciiTheme="minorHAnsi" w:hAnsiTheme="minorHAnsi" w:eastAsiaTheme="minorEastAsia" w:cstheme="minorBidi"/>
          <w:sz w:val="21"/>
          <w:szCs w:val="22"/>
        </w:rPr>
      </w:pPr>
      <w:r>
        <w:fldChar w:fldCharType="begin"/>
      </w:r>
      <w:r>
        <w:instrText xml:space="preserve"> HYPERLINK \l "_Toc234514197" </w:instrText>
      </w:r>
      <w:r>
        <w:fldChar w:fldCharType="separate"/>
      </w:r>
      <w:r>
        <w:rPr>
          <w:rStyle w:val="25"/>
          <w:rFonts w:ascii="Times New Roman" w:hAnsi="Times New Roman" w:eastAsia="宋体" w:cs="Times New Roman"/>
        </w:rPr>
        <w:t>八、</w:t>
      </w:r>
      <w:r>
        <w:rPr>
          <w:rFonts w:asciiTheme="minorHAnsi" w:hAnsiTheme="minorHAnsi" w:eastAsiaTheme="minorEastAsia" w:cstheme="minorBidi"/>
          <w:sz w:val="21"/>
          <w:szCs w:val="22"/>
        </w:rPr>
        <w:tab/>
      </w:r>
      <w:r>
        <w:rPr>
          <w:rStyle w:val="25"/>
          <w:rFonts w:ascii="Times New Roman" w:hAnsi="Times New Roman" w:eastAsia="宋体" w:cs="Times New Roman"/>
        </w:rPr>
        <w:t>有关耗材的说明</w:t>
      </w:r>
      <w:r>
        <w:tab/>
      </w:r>
      <w:r>
        <w:fldChar w:fldCharType="begin"/>
      </w:r>
      <w:r>
        <w:instrText xml:space="preserve"> PAGEREF _Toc234514197 \h </w:instrText>
      </w:r>
      <w:r>
        <w:fldChar w:fldCharType="separate"/>
      </w:r>
      <w:r>
        <w:t>4</w:t>
      </w:r>
      <w:r>
        <w:fldChar w:fldCharType="end"/>
      </w:r>
      <w:r>
        <w:fldChar w:fldCharType="end"/>
      </w:r>
    </w:p>
    <w:p w14:paraId="1CF23FF4">
      <w:pPr>
        <w:pStyle w:val="14"/>
        <w:rPr>
          <w:rFonts w:asciiTheme="minorHAnsi" w:hAnsiTheme="minorHAnsi" w:eastAsiaTheme="minorEastAsia" w:cstheme="minorBidi"/>
          <w:sz w:val="21"/>
          <w:szCs w:val="22"/>
        </w:rPr>
      </w:pPr>
      <w:r>
        <w:fldChar w:fldCharType="begin"/>
      </w:r>
      <w:r>
        <w:instrText xml:space="preserve"> HYPERLINK \l "_Toc234514198" </w:instrText>
      </w:r>
      <w:r>
        <w:fldChar w:fldCharType="separate"/>
      </w:r>
      <w:r>
        <w:rPr>
          <w:rStyle w:val="25"/>
          <w:rFonts w:ascii="Times New Roman" w:hAnsi="Times New Roman" w:eastAsia="宋体"/>
        </w:rPr>
        <w:t>九、</w:t>
      </w:r>
      <w:r>
        <w:rPr>
          <w:rFonts w:asciiTheme="minorHAnsi" w:hAnsiTheme="minorHAnsi" w:eastAsiaTheme="minorEastAsia" w:cstheme="minorBidi"/>
          <w:sz w:val="21"/>
          <w:szCs w:val="22"/>
        </w:rPr>
        <w:tab/>
      </w:r>
      <w:r>
        <w:rPr>
          <w:rStyle w:val="25"/>
          <w:rFonts w:ascii="Times New Roman" w:hAnsi="Times New Roman" w:eastAsia="宋体"/>
        </w:rPr>
        <w:t>有关安全、质量、环境保护的说明</w:t>
      </w:r>
      <w:r>
        <w:tab/>
      </w:r>
      <w:r>
        <w:fldChar w:fldCharType="begin"/>
      </w:r>
      <w:r>
        <w:instrText xml:space="preserve"> PAGEREF _Toc234514198 \h </w:instrText>
      </w:r>
      <w:r>
        <w:fldChar w:fldCharType="separate"/>
      </w:r>
      <w:r>
        <w:t>4</w:t>
      </w:r>
      <w:r>
        <w:fldChar w:fldCharType="end"/>
      </w:r>
      <w:r>
        <w:fldChar w:fldCharType="end"/>
      </w:r>
    </w:p>
    <w:p w14:paraId="148C2206">
      <w:pPr>
        <w:pStyle w:val="15"/>
        <w:rPr>
          <w:rFonts w:asciiTheme="minorHAnsi" w:hAnsiTheme="minorHAnsi" w:eastAsiaTheme="minorEastAsia" w:cstheme="minorBidi"/>
          <w:sz w:val="21"/>
          <w:szCs w:val="22"/>
        </w:rPr>
      </w:pPr>
      <w:r>
        <w:fldChar w:fldCharType="begin"/>
      </w:r>
      <w:r>
        <w:instrText xml:space="preserve"> HYPERLINK \l "_Toc234514199" </w:instrText>
      </w:r>
      <w:r>
        <w:fldChar w:fldCharType="separate"/>
      </w:r>
      <w:r>
        <w:rPr>
          <w:rStyle w:val="25"/>
          <w:rFonts w:ascii="Times New Roman" w:hAnsi="Times New Roman" w:eastAsia="黑体" w:cs="Times New Roman"/>
          <w:bCs/>
        </w:rPr>
        <w:t>9.1</w:t>
      </w:r>
      <w:r>
        <w:rPr>
          <w:rStyle w:val="25"/>
          <w:rFonts w:ascii="Times New Roman" w:hAnsi="Times New Roman" w:eastAsia="宋体" w:cs="Times New Roman"/>
          <w:bCs/>
        </w:rPr>
        <w:t>使用的危化材料</w:t>
      </w:r>
      <w:r>
        <w:tab/>
      </w:r>
      <w:r>
        <w:fldChar w:fldCharType="begin"/>
      </w:r>
      <w:r>
        <w:instrText xml:space="preserve"> PAGEREF _Toc234514199 \h </w:instrText>
      </w:r>
      <w:r>
        <w:fldChar w:fldCharType="separate"/>
      </w:r>
      <w:r>
        <w:t>4</w:t>
      </w:r>
      <w:r>
        <w:fldChar w:fldCharType="end"/>
      </w:r>
      <w:r>
        <w:fldChar w:fldCharType="end"/>
      </w:r>
    </w:p>
    <w:p w14:paraId="5F02045D">
      <w:pPr>
        <w:pStyle w:val="15"/>
        <w:rPr>
          <w:rFonts w:asciiTheme="minorHAnsi" w:hAnsiTheme="minorHAnsi" w:eastAsiaTheme="minorEastAsia" w:cstheme="minorBidi"/>
          <w:sz w:val="21"/>
          <w:szCs w:val="22"/>
        </w:rPr>
      </w:pPr>
      <w:r>
        <w:fldChar w:fldCharType="begin"/>
      </w:r>
      <w:r>
        <w:instrText xml:space="preserve"> HYPERLINK \l "_Toc234514200" </w:instrText>
      </w:r>
      <w:r>
        <w:fldChar w:fldCharType="separate"/>
      </w:r>
      <w:r>
        <w:rPr>
          <w:rStyle w:val="25"/>
          <w:rFonts w:ascii="Times New Roman" w:hAnsi="Times New Roman" w:eastAsia="黑体" w:cs="Times New Roman"/>
          <w:bCs/>
        </w:rPr>
        <w:t>9.2</w:t>
      </w:r>
      <w:r>
        <w:rPr>
          <w:rStyle w:val="25"/>
          <w:rFonts w:ascii="Times New Roman" w:hAnsi="Times New Roman" w:eastAsia="宋体" w:cs="Times New Roman"/>
          <w:bCs/>
        </w:rPr>
        <w:t>加工过程中的危化排放</w:t>
      </w:r>
      <w:r>
        <w:tab/>
      </w:r>
      <w:r>
        <w:fldChar w:fldCharType="begin"/>
      </w:r>
      <w:r>
        <w:instrText xml:space="preserve"> PAGEREF _Toc234514200 \h </w:instrText>
      </w:r>
      <w:r>
        <w:fldChar w:fldCharType="separate"/>
      </w:r>
      <w:r>
        <w:t>4</w:t>
      </w:r>
      <w:r>
        <w:fldChar w:fldCharType="end"/>
      </w:r>
      <w:r>
        <w:fldChar w:fldCharType="end"/>
      </w:r>
    </w:p>
    <w:p w14:paraId="6B6E48DC">
      <w:pPr>
        <w:pStyle w:val="14"/>
        <w:rPr>
          <w:rFonts w:asciiTheme="minorHAnsi" w:hAnsiTheme="minorHAnsi" w:eastAsiaTheme="minorEastAsia" w:cstheme="minorBidi"/>
          <w:sz w:val="21"/>
          <w:szCs w:val="22"/>
        </w:rPr>
      </w:pPr>
      <w:r>
        <w:fldChar w:fldCharType="begin"/>
      </w:r>
      <w:r>
        <w:instrText xml:space="preserve"> HYPERLINK \l "_Toc234514201" </w:instrText>
      </w:r>
      <w:r>
        <w:fldChar w:fldCharType="separate"/>
      </w:r>
      <w:r>
        <w:rPr>
          <w:rStyle w:val="25"/>
          <w:rFonts w:ascii="Times New Roman" w:hAnsi="Times New Roman" w:eastAsia="宋体" w:cs="Times New Roman"/>
        </w:rPr>
        <w:t>十、</w:t>
      </w:r>
      <w:r>
        <w:rPr>
          <w:rFonts w:asciiTheme="minorHAnsi" w:hAnsiTheme="minorHAnsi" w:eastAsiaTheme="minorEastAsia" w:cstheme="minorBidi"/>
          <w:sz w:val="21"/>
          <w:szCs w:val="22"/>
        </w:rPr>
        <w:tab/>
      </w:r>
      <w:r>
        <w:rPr>
          <w:rStyle w:val="25"/>
          <w:rFonts w:ascii="Times New Roman" w:hAnsi="Times New Roman" w:eastAsia="宋体" w:cs="Times New Roman"/>
        </w:rPr>
        <w:t>检验、试验和验收</w:t>
      </w:r>
      <w:r>
        <w:tab/>
      </w:r>
      <w:r>
        <w:fldChar w:fldCharType="begin"/>
      </w:r>
      <w:r>
        <w:instrText xml:space="preserve"> PAGEREF _Toc234514201 \h </w:instrText>
      </w:r>
      <w:r>
        <w:fldChar w:fldCharType="separate"/>
      </w:r>
      <w:r>
        <w:t>4</w:t>
      </w:r>
      <w:r>
        <w:fldChar w:fldCharType="end"/>
      </w:r>
      <w:r>
        <w:fldChar w:fldCharType="end"/>
      </w:r>
    </w:p>
    <w:p w14:paraId="00EE2167">
      <w:pPr>
        <w:pStyle w:val="14"/>
        <w:rPr>
          <w:rFonts w:asciiTheme="minorHAnsi" w:hAnsiTheme="minorHAnsi" w:eastAsiaTheme="minorEastAsia" w:cstheme="minorBidi"/>
          <w:sz w:val="21"/>
          <w:szCs w:val="22"/>
        </w:rPr>
      </w:pPr>
      <w:r>
        <w:fldChar w:fldCharType="begin"/>
      </w:r>
      <w:r>
        <w:instrText xml:space="preserve"> HYPERLINK \l "_Toc234514202" </w:instrText>
      </w:r>
      <w:r>
        <w:fldChar w:fldCharType="separate"/>
      </w:r>
      <w:r>
        <w:rPr>
          <w:rStyle w:val="25"/>
          <w:rFonts w:ascii="Times New Roman" w:hAnsi="Times New Roman" w:eastAsia="宋体" w:cs="Times New Roman"/>
        </w:rPr>
        <w:t>十一、</w:t>
      </w:r>
      <w:r>
        <w:rPr>
          <w:rFonts w:asciiTheme="minorHAnsi" w:hAnsiTheme="minorHAnsi" w:eastAsiaTheme="minorEastAsia" w:cstheme="minorBidi"/>
          <w:sz w:val="21"/>
          <w:szCs w:val="22"/>
        </w:rPr>
        <w:tab/>
      </w:r>
      <w:r>
        <w:rPr>
          <w:rStyle w:val="25"/>
          <w:rFonts w:ascii="Times New Roman" w:hAnsi="Times New Roman" w:eastAsia="宋体" w:cs="Times New Roman"/>
        </w:rPr>
        <w:t>图纸</w:t>
      </w:r>
      <w:r>
        <w:tab/>
      </w:r>
      <w:r>
        <w:fldChar w:fldCharType="begin"/>
      </w:r>
      <w:r>
        <w:instrText xml:space="preserve"> PAGEREF _Toc234514202 \h </w:instrText>
      </w:r>
      <w:r>
        <w:fldChar w:fldCharType="separate"/>
      </w:r>
      <w:r>
        <w:t>5</w:t>
      </w:r>
      <w:r>
        <w:fldChar w:fldCharType="end"/>
      </w:r>
      <w:r>
        <w:fldChar w:fldCharType="end"/>
      </w:r>
    </w:p>
    <w:p w14:paraId="4A841B19">
      <w:pPr>
        <w:pStyle w:val="14"/>
        <w:rPr>
          <w:rFonts w:asciiTheme="minorHAnsi" w:hAnsiTheme="minorHAnsi" w:eastAsiaTheme="minorEastAsia" w:cstheme="minorBidi"/>
          <w:sz w:val="21"/>
          <w:szCs w:val="22"/>
        </w:rPr>
      </w:pPr>
      <w:r>
        <w:fldChar w:fldCharType="begin"/>
      </w:r>
      <w:r>
        <w:instrText xml:space="preserve"> HYPERLINK \l "_Toc234514203" </w:instrText>
      </w:r>
      <w:r>
        <w:fldChar w:fldCharType="separate"/>
      </w:r>
      <w:r>
        <w:rPr>
          <w:rStyle w:val="25"/>
          <w:rFonts w:ascii="Times New Roman" w:hAnsi="Times New Roman" w:eastAsia="宋体" w:cs="Times New Roman"/>
        </w:rPr>
        <w:t>十二、</w:t>
      </w:r>
      <w:r>
        <w:rPr>
          <w:rFonts w:asciiTheme="minorHAnsi" w:hAnsiTheme="minorHAnsi" w:eastAsiaTheme="minorEastAsia" w:cstheme="minorBidi"/>
          <w:sz w:val="21"/>
          <w:szCs w:val="22"/>
        </w:rPr>
        <w:tab/>
      </w:r>
      <w:r>
        <w:rPr>
          <w:rStyle w:val="25"/>
          <w:rFonts w:ascii="Times New Roman" w:hAnsi="Times New Roman" w:eastAsia="宋体" w:cs="Times New Roman"/>
        </w:rPr>
        <w:t>产品交付技术文件清单（合格证、检测报告等）</w:t>
      </w:r>
      <w:r>
        <w:tab/>
      </w:r>
      <w:r>
        <w:fldChar w:fldCharType="begin"/>
      </w:r>
      <w:r>
        <w:instrText xml:space="preserve"> PAGEREF _Toc234514203 \h </w:instrText>
      </w:r>
      <w:r>
        <w:fldChar w:fldCharType="separate"/>
      </w:r>
      <w:r>
        <w:t>5</w:t>
      </w:r>
      <w:r>
        <w:fldChar w:fldCharType="end"/>
      </w:r>
      <w:r>
        <w:fldChar w:fldCharType="end"/>
      </w:r>
    </w:p>
    <w:p w14:paraId="49106E24">
      <w:pPr>
        <w:pStyle w:val="14"/>
        <w:rPr>
          <w:rFonts w:asciiTheme="minorHAnsi" w:hAnsiTheme="minorHAnsi" w:eastAsiaTheme="minorEastAsia" w:cstheme="minorBidi"/>
          <w:sz w:val="21"/>
          <w:szCs w:val="22"/>
        </w:rPr>
      </w:pPr>
      <w:r>
        <w:fldChar w:fldCharType="begin"/>
      </w:r>
      <w:r>
        <w:instrText xml:space="preserve"> HYPERLINK \l "_Toc234514204" </w:instrText>
      </w:r>
      <w:r>
        <w:fldChar w:fldCharType="separate"/>
      </w:r>
      <w:r>
        <w:rPr>
          <w:rStyle w:val="25"/>
          <w:rFonts w:ascii="Times New Roman" w:hAnsi="Times New Roman" w:eastAsia="宋体" w:cs="Times New Roman"/>
        </w:rPr>
        <w:t>十三、</w:t>
      </w:r>
      <w:r>
        <w:rPr>
          <w:rFonts w:asciiTheme="minorHAnsi" w:hAnsiTheme="minorHAnsi" w:eastAsiaTheme="minorEastAsia" w:cstheme="minorBidi"/>
          <w:sz w:val="21"/>
          <w:szCs w:val="22"/>
        </w:rPr>
        <w:tab/>
      </w:r>
      <w:r>
        <w:rPr>
          <w:rStyle w:val="25"/>
          <w:rFonts w:ascii="Times New Roman" w:hAnsi="Times New Roman" w:eastAsia="宋体" w:cs="Times New Roman"/>
        </w:rPr>
        <w:t>厂家提供的服务</w:t>
      </w:r>
      <w:r>
        <w:tab/>
      </w:r>
      <w:r>
        <w:fldChar w:fldCharType="begin"/>
      </w:r>
      <w:r>
        <w:instrText xml:space="preserve"> PAGEREF _Toc234514204 \h </w:instrText>
      </w:r>
      <w:r>
        <w:fldChar w:fldCharType="separate"/>
      </w:r>
      <w:r>
        <w:t>5</w:t>
      </w:r>
      <w:r>
        <w:fldChar w:fldCharType="end"/>
      </w:r>
      <w:r>
        <w:fldChar w:fldCharType="end"/>
      </w:r>
    </w:p>
    <w:p w14:paraId="165E3B24">
      <w:pPr>
        <w:pStyle w:val="15"/>
        <w:rPr>
          <w:rFonts w:asciiTheme="minorHAnsi" w:hAnsiTheme="minorHAnsi" w:eastAsiaTheme="minorEastAsia" w:cstheme="minorBidi"/>
          <w:sz w:val="21"/>
          <w:szCs w:val="22"/>
        </w:rPr>
      </w:pPr>
      <w:r>
        <w:fldChar w:fldCharType="begin"/>
      </w:r>
      <w:r>
        <w:instrText xml:space="preserve"> HYPERLINK \l "_Toc234514205" </w:instrText>
      </w:r>
      <w:r>
        <w:fldChar w:fldCharType="separate"/>
      </w:r>
      <w:r>
        <w:rPr>
          <w:rStyle w:val="25"/>
          <w:rFonts w:ascii="Times New Roman" w:hAnsi="Times New Roman" w:eastAsia="宋体" w:cs="Times New Roman"/>
          <w:bCs/>
        </w:rPr>
        <w:t>13.1 售后服务</w:t>
      </w:r>
      <w:r>
        <w:tab/>
      </w:r>
      <w:r>
        <w:fldChar w:fldCharType="begin"/>
      </w:r>
      <w:r>
        <w:instrText xml:space="preserve"> PAGEREF _Toc234514205 \h </w:instrText>
      </w:r>
      <w:r>
        <w:fldChar w:fldCharType="separate"/>
      </w:r>
      <w:r>
        <w:t>5</w:t>
      </w:r>
      <w:r>
        <w:fldChar w:fldCharType="end"/>
      </w:r>
      <w:r>
        <w:fldChar w:fldCharType="end"/>
      </w:r>
    </w:p>
    <w:p w14:paraId="380F824F">
      <w:pPr>
        <w:pStyle w:val="15"/>
        <w:rPr>
          <w:rFonts w:asciiTheme="minorHAnsi" w:hAnsiTheme="minorHAnsi" w:eastAsiaTheme="minorEastAsia" w:cstheme="minorBidi"/>
          <w:sz w:val="21"/>
          <w:szCs w:val="22"/>
        </w:rPr>
      </w:pPr>
      <w:r>
        <w:fldChar w:fldCharType="begin"/>
      </w:r>
      <w:r>
        <w:instrText xml:space="preserve"> HYPERLINK \l "_Toc234514206" </w:instrText>
      </w:r>
      <w:r>
        <w:fldChar w:fldCharType="separate"/>
      </w:r>
      <w:r>
        <w:rPr>
          <w:rStyle w:val="25"/>
          <w:rFonts w:ascii="Times New Roman" w:hAnsi="Times New Roman" w:eastAsia="宋体" w:cs="Times New Roman"/>
          <w:bCs/>
        </w:rPr>
        <w:t>13.2 驻场服务</w:t>
      </w:r>
      <w:r>
        <w:tab/>
      </w:r>
      <w:r>
        <w:fldChar w:fldCharType="begin"/>
      </w:r>
      <w:r>
        <w:instrText xml:space="preserve"> PAGEREF _Toc234514206 \h </w:instrText>
      </w:r>
      <w:r>
        <w:fldChar w:fldCharType="separate"/>
      </w:r>
      <w:r>
        <w:t>7</w:t>
      </w:r>
      <w:r>
        <w:fldChar w:fldCharType="end"/>
      </w:r>
      <w:r>
        <w:fldChar w:fldCharType="end"/>
      </w:r>
    </w:p>
    <w:p w14:paraId="4606ED4F">
      <w:pPr>
        <w:pStyle w:val="15"/>
        <w:rPr>
          <w:rFonts w:asciiTheme="minorHAnsi" w:hAnsiTheme="minorHAnsi" w:eastAsiaTheme="minorEastAsia" w:cstheme="minorBidi"/>
          <w:sz w:val="21"/>
          <w:szCs w:val="22"/>
        </w:rPr>
      </w:pPr>
      <w:r>
        <w:fldChar w:fldCharType="begin"/>
      </w:r>
      <w:r>
        <w:instrText xml:space="preserve"> HYPERLINK \l "_Toc234514207" </w:instrText>
      </w:r>
      <w:r>
        <w:fldChar w:fldCharType="separate"/>
      </w:r>
      <w:r>
        <w:rPr>
          <w:rStyle w:val="25"/>
          <w:rFonts w:ascii="Times New Roman" w:hAnsi="Times New Roman" w:eastAsia="宋体" w:cs="Times New Roman"/>
          <w:bCs/>
        </w:rPr>
        <w:t>13.3 培训</w:t>
      </w:r>
      <w:r>
        <w:tab/>
      </w:r>
      <w:r>
        <w:fldChar w:fldCharType="begin"/>
      </w:r>
      <w:r>
        <w:instrText xml:space="preserve"> PAGEREF _Toc234514207 \h </w:instrText>
      </w:r>
      <w:r>
        <w:fldChar w:fldCharType="separate"/>
      </w:r>
      <w:r>
        <w:t>7</w:t>
      </w:r>
      <w:r>
        <w:fldChar w:fldCharType="end"/>
      </w:r>
      <w:r>
        <w:fldChar w:fldCharType="end"/>
      </w:r>
    </w:p>
    <w:p w14:paraId="12CADD06">
      <w:pPr>
        <w:pStyle w:val="15"/>
        <w:rPr>
          <w:rFonts w:asciiTheme="minorHAnsi" w:hAnsiTheme="minorHAnsi" w:eastAsiaTheme="minorEastAsia" w:cstheme="minorBidi"/>
          <w:sz w:val="21"/>
          <w:szCs w:val="22"/>
        </w:rPr>
      </w:pPr>
      <w:r>
        <w:fldChar w:fldCharType="begin"/>
      </w:r>
      <w:r>
        <w:instrText xml:space="preserve"> HYPERLINK \l "_Toc234514208" </w:instrText>
      </w:r>
      <w:r>
        <w:fldChar w:fldCharType="separate"/>
      </w:r>
      <w:r>
        <w:rPr>
          <w:rStyle w:val="25"/>
          <w:rFonts w:ascii="Times New Roman" w:hAnsi="Times New Roman" w:eastAsia="宋体" w:cs="Times New Roman"/>
          <w:bCs/>
        </w:rPr>
        <w:t>13.4 软、硬件升级</w:t>
      </w:r>
      <w:r>
        <w:tab/>
      </w:r>
      <w:r>
        <w:fldChar w:fldCharType="begin"/>
      </w:r>
      <w:r>
        <w:instrText xml:space="preserve"> PAGEREF _Toc234514208 \h </w:instrText>
      </w:r>
      <w:r>
        <w:fldChar w:fldCharType="separate"/>
      </w:r>
      <w:r>
        <w:t>7</w:t>
      </w:r>
      <w:r>
        <w:fldChar w:fldCharType="end"/>
      </w:r>
      <w:r>
        <w:fldChar w:fldCharType="end"/>
      </w:r>
    </w:p>
    <w:p w14:paraId="0B8DE32F">
      <w:pPr>
        <w:pStyle w:val="14"/>
        <w:rPr>
          <w:rFonts w:asciiTheme="minorHAnsi" w:hAnsiTheme="minorHAnsi" w:eastAsiaTheme="minorEastAsia" w:cstheme="minorBidi"/>
          <w:sz w:val="21"/>
          <w:szCs w:val="22"/>
        </w:rPr>
      </w:pPr>
      <w:r>
        <w:fldChar w:fldCharType="begin"/>
      </w:r>
      <w:r>
        <w:instrText xml:space="preserve"> HYPERLINK \l "_Toc234514209" </w:instrText>
      </w:r>
      <w:r>
        <w:fldChar w:fldCharType="separate"/>
      </w:r>
      <w:r>
        <w:rPr>
          <w:rStyle w:val="25"/>
          <w:rFonts w:ascii="Times New Roman" w:hAnsi="Times New Roman" w:eastAsia="宋体" w:cs="Times New Roman"/>
        </w:rPr>
        <w:t>十四、</w:t>
      </w:r>
      <w:r>
        <w:rPr>
          <w:rFonts w:asciiTheme="minorHAnsi" w:hAnsiTheme="minorHAnsi" w:eastAsiaTheme="minorEastAsia" w:cstheme="minorBidi"/>
          <w:sz w:val="21"/>
          <w:szCs w:val="22"/>
        </w:rPr>
        <w:tab/>
      </w:r>
      <w:r>
        <w:rPr>
          <w:rStyle w:val="25"/>
          <w:rFonts w:ascii="Times New Roman" w:hAnsi="Times New Roman" w:eastAsia="宋体" w:cs="Times New Roman"/>
        </w:rPr>
        <w:t>维护保养说明</w:t>
      </w:r>
      <w:r>
        <w:tab/>
      </w:r>
      <w:r>
        <w:fldChar w:fldCharType="begin"/>
      </w:r>
      <w:r>
        <w:instrText xml:space="preserve"> PAGEREF _Toc234514209 \h </w:instrText>
      </w:r>
      <w:r>
        <w:fldChar w:fldCharType="separate"/>
      </w:r>
      <w:r>
        <w:t>7</w:t>
      </w:r>
      <w:r>
        <w:fldChar w:fldCharType="end"/>
      </w:r>
      <w:r>
        <w:fldChar w:fldCharType="end"/>
      </w:r>
    </w:p>
    <w:p w14:paraId="5D5137CC">
      <w:pPr>
        <w:pStyle w:val="14"/>
        <w:rPr>
          <w:rFonts w:asciiTheme="minorHAnsi" w:hAnsiTheme="minorHAnsi" w:eastAsiaTheme="minorEastAsia" w:cstheme="minorBidi"/>
          <w:sz w:val="21"/>
          <w:szCs w:val="22"/>
        </w:rPr>
      </w:pPr>
      <w:r>
        <w:fldChar w:fldCharType="begin"/>
      </w:r>
      <w:r>
        <w:instrText xml:space="preserve"> HYPERLINK \l "_Toc234514210" </w:instrText>
      </w:r>
      <w:r>
        <w:fldChar w:fldCharType="separate"/>
      </w:r>
      <w:r>
        <w:rPr>
          <w:rStyle w:val="25"/>
          <w:rFonts w:ascii="Times New Roman" w:hAnsi="Times New Roman" w:eastAsia="宋体" w:cs="Times New Roman"/>
        </w:rPr>
        <w:t>十五、</w:t>
      </w:r>
      <w:r>
        <w:rPr>
          <w:rFonts w:asciiTheme="minorHAnsi" w:hAnsiTheme="minorHAnsi" w:eastAsiaTheme="minorEastAsia" w:cstheme="minorBidi"/>
          <w:sz w:val="21"/>
          <w:szCs w:val="22"/>
        </w:rPr>
        <w:tab/>
      </w:r>
      <w:r>
        <w:rPr>
          <w:rStyle w:val="25"/>
          <w:rFonts w:ascii="Times New Roman" w:hAnsi="Times New Roman" w:eastAsia="宋体" w:cs="Times New Roman"/>
        </w:rPr>
        <w:t>其他</w:t>
      </w:r>
      <w:r>
        <w:tab/>
      </w:r>
      <w:r>
        <w:fldChar w:fldCharType="begin"/>
      </w:r>
      <w:r>
        <w:instrText xml:space="preserve"> PAGEREF _Toc234514210 \h </w:instrText>
      </w:r>
      <w:r>
        <w:fldChar w:fldCharType="separate"/>
      </w:r>
      <w:r>
        <w:t>8</w:t>
      </w:r>
      <w:r>
        <w:fldChar w:fldCharType="end"/>
      </w:r>
      <w:r>
        <w:fldChar w:fldCharType="end"/>
      </w:r>
    </w:p>
    <w:p w14:paraId="73240C04">
      <w:pPr>
        <w:tabs>
          <w:tab w:val="left" w:pos="567"/>
        </w:tabs>
        <w:spacing w:line="520" w:lineRule="exact"/>
        <w:ind w:firstLine="0" w:firstLineChars="0"/>
        <w:rPr>
          <w:rFonts w:ascii="Times New Roman" w:hAnsi="Times New Roman" w:eastAsia="宋体" w:cs="Times New Roman"/>
          <w:bCs/>
        </w:rPr>
      </w:pPr>
      <w:r>
        <w:rPr>
          <w:rFonts w:ascii="Times New Roman" w:hAnsi="Times New Roman" w:eastAsia="宋体" w:cs="Times New Roman"/>
          <w:bCs/>
          <w:szCs w:val="24"/>
        </w:rPr>
        <w:fldChar w:fldCharType="end"/>
      </w:r>
    </w:p>
    <w:p w14:paraId="48EDEFD0">
      <w:pPr>
        <w:ind w:firstLine="0" w:firstLineChars="0"/>
        <w:jc w:val="both"/>
        <w:rPr>
          <w:rFonts w:ascii="Times New Roman" w:hAnsi="Times New Roman" w:eastAsia="宋体" w:cs="Times New Roman"/>
          <w:sz w:val="32"/>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686" w:gutter="0"/>
          <w:paperSrc w:first="7" w:other="7"/>
          <w:cols w:space="425" w:num="1"/>
          <w:docGrid w:type="lines" w:linePitch="312" w:charSpace="0"/>
        </w:sectPr>
      </w:pPr>
    </w:p>
    <w:p w14:paraId="6B15C9DD">
      <w:pPr>
        <w:pStyle w:val="2"/>
        <w:numPr>
          <w:ilvl w:val="0"/>
          <w:numId w:val="2"/>
        </w:numPr>
        <w:jc w:val="both"/>
        <w:rPr>
          <w:rFonts w:ascii="Times New Roman" w:hAnsi="Times New Roman" w:eastAsia="宋体" w:cs="Times New Roman"/>
        </w:rPr>
      </w:pPr>
      <w:bookmarkStart w:id="1" w:name="_Toc234514187"/>
      <w:r>
        <w:rPr>
          <w:rFonts w:ascii="Times New Roman" w:hAnsi="Times New Roman" w:eastAsia="宋体" w:cs="Times New Roman"/>
        </w:rPr>
        <w:t>概述</w:t>
      </w:r>
      <w:bookmarkEnd w:id="1"/>
    </w:p>
    <w:p w14:paraId="1444D5B1">
      <w:pPr>
        <w:ind w:firstLine="560"/>
      </w:pPr>
      <w:r>
        <w:rPr>
          <w:rStyle w:val="26"/>
          <w:rFonts w:hint="eastAsia" w:ascii="Times New Roman" w:hAnsi="Times New Roman"/>
          <w:sz w:val="28"/>
          <w:szCs w:val="28"/>
        </w:rPr>
        <w:t>多通道锁相放大系统</w:t>
      </w:r>
      <w:r>
        <w:t>用来检测强噪声环境下的微弱交流信号的强度（振幅）和相位</w:t>
      </w:r>
      <w:r>
        <w:rPr>
          <w:rFonts w:hint="eastAsia"/>
        </w:rPr>
        <w:t>，用于在恶劣的电磁环境以及强噪声背景下微弱信号的提取</w:t>
      </w:r>
      <w:r>
        <w:rPr>
          <w:rStyle w:val="26"/>
          <w:rFonts w:hint="eastAsia" w:ascii="Times New Roman" w:hAnsi="Times New Roman"/>
          <w:sz w:val="28"/>
          <w:szCs w:val="28"/>
        </w:rPr>
        <w:t>。</w:t>
      </w:r>
    </w:p>
    <w:p w14:paraId="713C41F4">
      <w:pPr>
        <w:pStyle w:val="2"/>
        <w:numPr>
          <w:ilvl w:val="0"/>
          <w:numId w:val="2"/>
        </w:numPr>
        <w:jc w:val="both"/>
        <w:rPr>
          <w:rFonts w:ascii="Times New Roman" w:hAnsi="Times New Roman" w:eastAsia="宋体" w:cs="Times New Roman"/>
        </w:rPr>
      </w:pPr>
      <w:bookmarkStart w:id="2" w:name="_Toc234514188"/>
      <w:bookmarkStart w:id="3" w:name="_Hlk81206805"/>
      <w:r>
        <w:rPr>
          <w:rFonts w:hint="eastAsia" w:ascii="Times New Roman" w:hAnsi="Times New Roman" w:eastAsia="宋体" w:cs="Times New Roman"/>
        </w:rPr>
        <w:t>货物需求一览表</w:t>
      </w:r>
      <w:bookmarkEnd w:id="2"/>
    </w:p>
    <w:bookmarkEnd w:id="3"/>
    <w:p w14:paraId="39B8365A">
      <w:pPr>
        <w:spacing w:after="156" w:afterLines="50"/>
        <w:ind w:firstLine="0" w:firstLineChars="0"/>
        <w:jc w:val="center"/>
        <w:rPr>
          <w:rFonts w:ascii="Times New Roman" w:hAnsi="Times New Roman"/>
          <w:sz w:val="24"/>
          <w:szCs w:val="32"/>
        </w:rPr>
      </w:pPr>
    </w:p>
    <w:tbl>
      <w:tblPr>
        <w:tblStyle w:val="21"/>
        <w:tblW w:w="24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835"/>
        <w:gridCol w:w="1272"/>
        <w:gridCol w:w="993"/>
      </w:tblGrid>
      <w:tr w14:paraId="71047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jc w:val="center"/>
        </w:trPr>
        <w:tc>
          <w:tcPr>
            <w:tcW w:w="2238"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791F101E">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设备名称</w:t>
            </w:r>
          </w:p>
        </w:tc>
        <w:tc>
          <w:tcPr>
            <w:tcW w:w="1550"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4B780250">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数量</w:t>
            </w:r>
          </w:p>
          <w:p w14:paraId="55FD994B">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（台</w:t>
            </w:r>
            <w:r>
              <w:rPr>
                <w:rFonts w:ascii="Times New Roman" w:hAnsi="Times New Roman" w:cs="宋体"/>
                <w:bCs/>
                <w:kern w:val="0"/>
                <w:sz w:val="24"/>
                <w:szCs w:val="24"/>
              </w:rPr>
              <w:t>/</w:t>
            </w:r>
            <w:r>
              <w:rPr>
                <w:rFonts w:hint="eastAsia" w:ascii="Times New Roman" w:hAnsi="Times New Roman" w:cs="宋体"/>
                <w:bCs/>
                <w:kern w:val="0"/>
                <w:sz w:val="24"/>
                <w:szCs w:val="24"/>
              </w:rPr>
              <w:t>套）</w:t>
            </w:r>
          </w:p>
        </w:tc>
        <w:tc>
          <w:tcPr>
            <w:tcW w:w="1210" w:type="pct"/>
            <w:tcBorders>
              <w:top w:val="single" w:color="000000" w:sz="4" w:space="0"/>
              <w:left w:val="single" w:color="000000" w:sz="4" w:space="0"/>
              <w:bottom w:val="single" w:color="000000" w:sz="4" w:space="0"/>
              <w:right w:val="single" w:color="000000" w:sz="4" w:space="0"/>
            </w:tcBorders>
            <w:vAlign w:val="center"/>
          </w:tcPr>
          <w:p w14:paraId="6DC4FD36">
            <w:pPr>
              <w:spacing w:line="120" w:lineRule="auto"/>
              <w:ind w:firstLine="0" w:firstLineChars="0"/>
              <w:jc w:val="center"/>
              <w:rPr>
                <w:rFonts w:hint="default" w:ascii="Times New Roman" w:hAnsi="Times New Roman" w:eastAsia="仿宋_GB2312" w:cs="宋体"/>
                <w:bCs/>
                <w:kern w:val="0"/>
                <w:sz w:val="24"/>
                <w:szCs w:val="24"/>
                <w:lang w:val="en-US" w:eastAsia="zh-CN"/>
              </w:rPr>
            </w:pPr>
            <w:r>
              <w:rPr>
                <w:rFonts w:hint="eastAsia" w:ascii="Times New Roman" w:hAnsi="Times New Roman" w:cs="宋体"/>
                <w:bCs/>
                <w:kern w:val="0"/>
                <w:sz w:val="24"/>
                <w:szCs w:val="24"/>
                <w:lang w:val="en-US" w:eastAsia="zh-CN"/>
              </w:rPr>
              <w:t>最高限价</w:t>
            </w:r>
          </w:p>
          <w:p w14:paraId="3932E83E">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（万元）</w:t>
            </w:r>
          </w:p>
        </w:tc>
      </w:tr>
      <w:tr w14:paraId="4BA73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2238"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0665F73D">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多通道锁相放大测量系统</w:t>
            </w:r>
          </w:p>
        </w:tc>
        <w:tc>
          <w:tcPr>
            <w:tcW w:w="1550" w:type="pct"/>
            <w:tcBorders>
              <w:top w:val="single" w:color="000000" w:sz="4" w:space="0"/>
              <w:left w:val="single" w:color="000000" w:sz="4" w:space="0"/>
              <w:bottom w:val="single" w:color="000000" w:sz="4" w:space="0"/>
              <w:right w:val="single" w:color="000000" w:sz="4" w:space="0"/>
            </w:tcBorders>
            <w:tcMar>
              <w:top w:w="4" w:type="dxa"/>
              <w:left w:w="4" w:type="dxa"/>
              <w:bottom w:w="0" w:type="dxa"/>
              <w:right w:w="4" w:type="dxa"/>
            </w:tcMar>
            <w:vAlign w:val="center"/>
          </w:tcPr>
          <w:p w14:paraId="4711E142">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1套</w:t>
            </w:r>
          </w:p>
        </w:tc>
        <w:tc>
          <w:tcPr>
            <w:tcW w:w="1210" w:type="pct"/>
            <w:tcBorders>
              <w:top w:val="single" w:color="000000" w:sz="4" w:space="0"/>
              <w:left w:val="single" w:color="000000" w:sz="4" w:space="0"/>
              <w:bottom w:val="single" w:color="000000" w:sz="4" w:space="0"/>
              <w:right w:val="single" w:color="000000" w:sz="4" w:space="0"/>
            </w:tcBorders>
            <w:vAlign w:val="center"/>
          </w:tcPr>
          <w:p w14:paraId="2FA0ECC0">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29.5</w:t>
            </w:r>
          </w:p>
        </w:tc>
      </w:tr>
    </w:tbl>
    <w:p w14:paraId="352C319C">
      <w:pPr>
        <w:ind w:firstLine="440"/>
        <w:jc w:val="both"/>
        <w:rPr>
          <w:rFonts w:ascii="Times New Roman" w:hAnsi="Times New Roman" w:cs="Times New Roman"/>
          <w:sz w:val="22"/>
        </w:rPr>
      </w:pPr>
    </w:p>
    <w:p w14:paraId="7B77ED6F">
      <w:pPr>
        <w:pStyle w:val="2"/>
        <w:numPr>
          <w:ilvl w:val="0"/>
          <w:numId w:val="2"/>
        </w:numPr>
        <w:jc w:val="both"/>
        <w:rPr>
          <w:rFonts w:ascii="Times New Roman" w:hAnsi="Times New Roman" w:eastAsia="宋体" w:cs="Times New Roman"/>
        </w:rPr>
      </w:pPr>
      <w:bookmarkStart w:id="4" w:name="_Toc234514189"/>
      <w:r>
        <w:rPr>
          <w:rFonts w:hint="eastAsia" w:ascii="Times New Roman" w:hAnsi="Times New Roman" w:eastAsia="宋体" w:cs="Times New Roman"/>
        </w:rPr>
        <w:t>设备及主要部件构成</w:t>
      </w:r>
      <w:bookmarkEnd w:id="4"/>
      <w:bookmarkStart w:id="31" w:name="_GoBack"/>
      <w:bookmarkEnd w:id="31"/>
    </w:p>
    <w:p w14:paraId="42DCAB44">
      <w:pPr>
        <w:spacing w:after="156" w:afterLines="50"/>
        <w:ind w:firstLine="0" w:firstLineChars="0"/>
        <w:jc w:val="center"/>
        <w:rPr>
          <w:rFonts w:ascii="Times New Roman" w:hAnsi="Times New Roman" w:cs="Times New Roman"/>
          <w:sz w:val="24"/>
        </w:rPr>
      </w:pPr>
    </w:p>
    <w:tbl>
      <w:tblPr>
        <w:tblStyle w:val="21"/>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4249"/>
        <w:gridCol w:w="1674"/>
      </w:tblGrid>
      <w:tr w14:paraId="4A9E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86" w:type="pct"/>
            <w:tcBorders>
              <w:top w:val="single" w:color="auto" w:sz="4" w:space="0"/>
              <w:left w:val="single" w:color="auto" w:sz="4" w:space="0"/>
              <w:bottom w:val="single" w:color="auto" w:sz="4" w:space="0"/>
              <w:right w:val="single" w:color="auto" w:sz="4" w:space="0"/>
            </w:tcBorders>
            <w:vAlign w:val="center"/>
          </w:tcPr>
          <w:p w14:paraId="26A337EE">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序号</w:t>
            </w:r>
          </w:p>
        </w:tc>
        <w:tc>
          <w:tcPr>
            <w:tcW w:w="3023" w:type="pct"/>
            <w:tcBorders>
              <w:top w:val="single" w:color="auto" w:sz="4" w:space="0"/>
              <w:left w:val="single" w:color="auto" w:sz="4" w:space="0"/>
              <w:bottom w:val="single" w:color="auto" w:sz="4" w:space="0"/>
              <w:right w:val="single" w:color="auto" w:sz="4" w:space="0"/>
            </w:tcBorders>
            <w:vAlign w:val="center"/>
          </w:tcPr>
          <w:p w14:paraId="5EA57256">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设备名称</w:t>
            </w:r>
          </w:p>
        </w:tc>
        <w:tc>
          <w:tcPr>
            <w:tcW w:w="1191" w:type="pct"/>
            <w:tcBorders>
              <w:top w:val="single" w:color="auto" w:sz="4" w:space="0"/>
              <w:left w:val="single" w:color="auto" w:sz="4" w:space="0"/>
              <w:bottom w:val="single" w:color="auto" w:sz="4" w:space="0"/>
              <w:right w:val="single" w:color="auto" w:sz="4" w:space="0"/>
            </w:tcBorders>
            <w:vAlign w:val="center"/>
          </w:tcPr>
          <w:p w14:paraId="0C203505">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单位</w:t>
            </w:r>
          </w:p>
        </w:tc>
      </w:tr>
      <w:tr w14:paraId="33662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86" w:type="pct"/>
            <w:tcBorders>
              <w:top w:val="single" w:color="auto" w:sz="4" w:space="0"/>
              <w:left w:val="single" w:color="auto" w:sz="4" w:space="0"/>
              <w:bottom w:val="single" w:color="auto" w:sz="4" w:space="0"/>
              <w:right w:val="single" w:color="auto" w:sz="4" w:space="0"/>
            </w:tcBorders>
            <w:vAlign w:val="center"/>
          </w:tcPr>
          <w:p w14:paraId="48C1AD06">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1</w:t>
            </w:r>
          </w:p>
        </w:tc>
        <w:tc>
          <w:tcPr>
            <w:tcW w:w="3023" w:type="pct"/>
            <w:tcBorders>
              <w:top w:val="single" w:color="auto" w:sz="4" w:space="0"/>
              <w:left w:val="single" w:color="auto" w:sz="4" w:space="0"/>
              <w:bottom w:val="single" w:color="auto" w:sz="4" w:space="0"/>
              <w:right w:val="single" w:color="auto" w:sz="4" w:space="0"/>
            </w:tcBorders>
            <w:vAlign w:val="center"/>
          </w:tcPr>
          <w:p w14:paraId="4917ACBA">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多通道锁相放大测量系统</w:t>
            </w:r>
          </w:p>
        </w:tc>
        <w:tc>
          <w:tcPr>
            <w:tcW w:w="1191" w:type="pct"/>
            <w:tcBorders>
              <w:top w:val="single" w:color="auto" w:sz="4" w:space="0"/>
              <w:left w:val="single" w:color="auto" w:sz="4" w:space="0"/>
              <w:bottom w:val="single" w:color="auto" w:sz="4" w:space="0"/>
              <w:right w:val="single" w:color="auto" w:sz="4" w:space="0"/>
            </w:tcBorders>
            <w:vAlign w:val="center"/>
          </w:tcPr>
          <w:p w14:paraId="2C4A247A">
            <w:pPr>
              <w:spacing w:line="120" w:lineRule="auto"/>
              <w:ind w:firstLine="0" w:firstLineChars="0"/>
              <w:jc w:val="center"/>
              <w:rPr>
                <w:rFonts w:ascii="Times New Roman" w:hAnsi="Times New Roman" w:cs="宋体"/>
                <w:bCs/>
                <w:kern w:val="0"/>
                <w:sz w:val="24"/>
                <w:szCs w:val="24"/>
              </w:rPr>
            </w:pPr>
            <w:r>
              <w:rPr>
                <w:rFonts w:hint="eastAsia" w:ascii="Times New Roman" w:hAnsi="Times New Roman" w:cs="宋体"/>
                <w:bCs/>
                <w:kern w:val="0"/>
                <w:sz w:val="24"/>
                <w:szCs w:val="24"/>
              </w:rPr>
              <w:t>1台</w:t>
            </w:r>
          </w:p>
        </w:tc>
      </w:tr>
    </w:tbl>
    <w:p w14:paraId="7EF74FBB">
      <w:pPr>
        <w:ind w:firstLine="0" w:firstLineChars="0"/>
        <w:jc w:val="both"/>
        <w:rPr>
          <w:rFonts w:ascii="Times New Roman" w:hAnsi="Times New Roman" w:cs="Times New Roman"/>
          <w:sz w:val="24"/>
        </w:rPr>
      </w:pPr>
    </w:p>
    <w:p w14:paraId="0A94D61E">
      <w:pPr>
        <w:spacing w:line="560" w:lineRule="exact"/>
        <w:ind w:firstLine="0" w:firstLineChars="0"/>
        <w:jc w:val="both"/>
        <w:rPr>
          <w:rFonts w:ascii="Times New Roman" w:hAnsi="Times New Roman" w:cs="Times New Roman"/>
        </w:rPr>
      </w:pPr>
    </w:p>
    <w:p w14:paraId="0AE6FE9D">
      <w:pPr>
        <w:pStyle w:val="2"/>
        <w:numPr>
          <w:ilvl w:val="0"/>
          <w:numId w:val="2"/>
        </w:numPr>
        <w:jc w:val="both"/>
        <w:rPr>
          <w:rFonts w:ascii="Times New Roman" w:hAnsi="Times New Roman" w:eastAsia="宋体" w:cs="Times New Roman"/>
        </w:rPr>
      </w:pPr>
      <w:bookmarkStart w:id="5" w:name="_Toc234514191"/>
      <w:r>
        <w:rPr>
          <w:rFonts w:ascii="Times New Roman" w:hAnsi="Times New Roman" w:eastAsia="宋体" w:cs="Times New Roman"/>
        </w:rPr>
        <w:t>设计和制造依据的标准和技术文件</w:t>
      </w:r>
      <w:bookmarkEnd w:id="5"/>
    </w:p>
    <w:p w14:paraId="5AC28BF9">
      <w:pPr>
        <w:spacing w:line="560" w:lineRule="exact"/>
        <w:ind w:firstLine="560"/>
        <w:jc w:val="both"/>
        <w:rPr>
          <w:rFonts w:ascii="Times New Roman" w:hAnsi="Times New Roman" w:cs="Times New Roman"/>
        </w:rPr>
      </w:pPr>
      <w:r>
        <w:rPr>
          <w:rFonts w:ascii="Times New Roman" w:hAnsi="Times New Roman"/>
        </w:rPr>
        <w:t>本项目设计遵照的主要设计规范为</w:t>
      </w:r>
      <w:r>
        <w:rPr>
          <w:rFonts w:hint="eastAsia" w:ascii="Times New Roman" w:hAnsi="Times New Roman"/>
        </w:rPr>
        <w:t>包括但不限于以下：</w:t>
      </w:r>
    </w:p>
    <w:p w14:paraId="7A04C382">
      <w:pPr>
        <w:numPr>
          <w:ilvl w:val="0"/>
          <w:numId w:val="3"/>
        </w:numPr>
        <w:tabs>
          <w:tab w:val="clear" w:pos="420"/>
        </w:tabs>
        <w:spacing w:line="560" w:lineRule="exact"/>
        <w:ind w:left="0" w:firstLine="560"/>
        <w:jc w:val="both"/>
        <w:rPr>
          <w:rFonts w:ascii="Times New Roman" w:hAnsi="Times New Roman" w:cs="Times New Roman"/>
        </w:rPr>
      </w:pPr>
      <w:r>
        <w:rPr>
          <w:rFonts w:ascii="Times New Roman" w:hAnsi="Times New Roman" w:cs="Times New Roman"/>
        </w:rPr>
        <w:t>SEMI S1 - Safety Guideline for Equipment Safety Labels</w:t>
      </w:r>
    </w:p>
    <w:p w14:paraId="23CD476B">
      <w:pPr>
        <w:numPr>
          <w:ilvl w:val="0"/>
          <w:numId w:val="3"/>
        </w:numPr>
        <w:tabs>
          <w:tab w:val="clear" w:pos="420"/>
        </w:tabs>
        <w:spacing w:line="560" w:lineRule="exact"/>
        <w:ind w:left="0" w:firstLine="560"/>
        <w:jc w:val="both"/>
        <w:rPr>
          <w:rFonts w:ascii="Times New Roman" w:hAnsi="Times New Roman" w:cs="Times New Roman"/>
        </w:rPr>
      </w:pPr>
      <w:r>
        <w:rPr>
          <w:rFonts w:ascii="Times New Roman" w:hAnsi="Times New Roman" w:cs="Times New Roman"/>
        </w:rPr>
        <w:t>SEMI</w:t>
      </w:r>
      <w:r>
        <w:rPr>
          <w:rFonts w:hint="eastAsia" w:ascii="Times New Roman" w:hAnsi="Times New Roman" w:cs="Times New Roman"/>
        </w:rPr>
        <w:t xml:space="preserve"> </w:t>
      </w:r>
      <w:r>
        <w:rPr>
          <w:rFonts w:ascii="Times New Roman" w:hAnsi="Times New Roman" w:cs="Times New Roman"/>
        </w:rPr>
        <w:t>S2 - Environmental, Health, and Safety Guideline for Semiconductor Manufacturing Equipment</w:t>
      </w:r>
    </w:p>
    <w:p w14:paraId="18F50556">
      <w:pPr>
        <w:numPr>
          <w:ilvl w:val="0"/>
          <w:numId w:val="3"/>
        </w:numPr>
        <w:tabs>
          <w:tab w:val="clear" w:pos="420"/>
        </w:tabs>
        <w:spacing w:line="560" w:lineRule="exact"/>
        <w:ind w:left="0" w:firstLine="560"/>
        <w:jc w:val="both"/>
        <w:rPr>
          <w:rFonts w:ascii="Times New Roman" w:hAnsi="Times New Roman" w:cs="Times New Roman"/>
        </w:rPr>
      </w:pPr>
      <w:r>
        <w:rPr>
          <w:rFonts w:hint="eastAsia" w:ascii="Times New Roman" w:hAnsi="Times New Roman" w:cs="Times New Roman"/>
        </w:rPr>
        <w:t>供应商提供的设备和附件应符合以上标准的最新版本，未予规定部分需符合国家有关标准、规定，有矛盾时按照较高标准执行。</w:t>
      </w:r>
    </w:p>
    <w:p w14:paraId="0ADA65D9">
      <w:pPr>
        <w:pStyle w:val="2"/>
        <w:numPr>
          <w:ilvl w:val="0"/>
          <w:numId w:val="2"/>
        </w:numPr>
        <w:jc w:val="both"/>
        <w:rPr>
          <w:rFonts w:ascii="Times New Roman" w:hAnsi="Times New Roman" w:eastAsia="宋体" w:cs="Times New Roman"/>
        </w:rPr>
      </w:pPr>
      <w:bookmarkStart w:id="6" w:name="_Toc83147055"/>
      <w:bookmarkEnd w:id="6"/>
      <w:bookmarkStart w:id="7" w:name="_Toc83147056"/>
      <w:bookmarkEnd w:id="7"/>
      <w:bookmarkStart w:id="8" w:name="_详细技术规格（含设备指标等）"/>
      <w:bookmarkEnd w:id="8"/>
      <w:bookmarkStart w:id="9" w:name="_Toc234514192"/>
      <w:r>
        <w:rPr>
          <w:rFonts w:ascii="Times New Roman" w:hAnsi="Times New Roman" w:eastAsia="宋体" w:cs="Times New Roman"/>
        </w:rPr>
        <w:t>详细技术规格</w:t>
      </w:r>
      <w:r>
        <w:rPr>
          <w:rFonts w:hint="eastAsia" w:ascii="Times New Roman" w:hAnsi="Times New Roman" w:eastAsia="宋体" w:cs="Times New Roman"/>
        </w:rPr>
        <w:t>要求</w:t>
      </w:r>
      <w:r>
        <w:rPr>
          <w:rFonts w:hint="eastAsia" w:ascii="Times New Roman" w:hAnsi="Times New Roman" w:eastAsia="宋体" w:cs="Times New Roman"/>
          <w:sz w:val="24"/>
          <w:szCs w:val="36"/>
        </w:rPr>
        <w:t>（标★项需完全响应）</w:t>
      </w:r>
      <w:bookmarkEnd w:id="9"/>
    </w:p>
    <w:tbl>
      <w:tblPr>
        <w:tblStyle w:val="21"/>
        <w:tblW w:w="857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1386"/>
        <w:gridCol w:w="7190"/>
      </w:tblGrid>
      <w:tr w14:paraId="77AD2D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7781F2BF">
            <w:pPr>
              <w:widowControl w:val="0"/>
              <w:adjustRightInd w:val="0"/>
              <w:snapToGrid w:val="0"/>
              <w:spacing w:line="400" w:lineRule="exact"/>
              <w:ind w:firstLine="0" w:firstLineChars="0"/>
              <w:jc w:val="center"/>
              <w:rPr>
                <w:rFonts w:ascii="Times New Roman" w:hAnsi="Times New Roman" w:cs="Times New Roman"/>
                <w:bCs/>
                <w:sz w:val="24"/>
                <w:szCs w:val="21"/>
              </w:rPr>
            </w:pPr>
            <w:r>
              <w:rPr>
                <w:rFonts w:ascii="Times New Roman" w:hAnsi="Times New Roman" w:cs="Times New Roman"/>
                <w:iCs/>
                <w:sz w:val="24"/>
              </w:rPr>
              <w:t>▲</w:t>
            </w:r>
            <w:r>
              <w:rPr>
                <w:rFonts w:ascii="Times New Roman" w:hAnsi="Times New Roman" w:cs="Times New Roman"/>
                <w:bCs/>
                <w:sz w:val="24"/>
                <w:szCs w:val="21"/>
              </w:rPr>
              <w:t>1</w:t>
            </w:r>
          </w:p>
        </w:tc>
        <w:tc>
          <w:tcPr>
            <w:tcW w:w="7190" w:type="dxa"/>
            <w:vAlign w:val="center"/>
          </w:tcPr>
          <w:p w14:paraId="4F4A7D13">
            <w:pPr>
              <w:widowControl w:val="0"/>
              <w:adjustRightInd w:val="0"/>
              <w:snapToGrid w:val="0"/>
              <w:spacing w:line="400" w:lineRule="exact"/>
              <w:ind w:firstLine="0" w:firstLineChars="0"/>
              <w:jc w:val="both"/>
              <w:rPr>
                <w:rFonts w:ascii="Times New Roman" w:hAnsi="Times New Roman" w:cs="Times New Roman"/>
                <w:bCs/>
                <w:sz w:val="24"/>
                <w:szCs w:val="21"/>
              </w:rPr>
            </w:pPr>
            <w:r>
              <w:rPr>
                <w:rFonts w:hint="eastAsia" w:ascii="Times New Roman" w:hAnsi="Times New Roman" w:cs="Times New Roman"/>
                <w:kern w:val="0"/>
                <w:sz w:val="24"/>
                <w:szCs w:val="24"/>
              </w:rPr>
              <w:t>采用混合架构（模拟前端＋数字DSP处理），</w:t>
            </w:r>
            <w:r>
              <w:rPr>
                <w:rFonts w:hint="eastAsia" w:ascii="仿宋_GB2312"/>
                <w:sz w:val="24"/>
                <w:szCs w:val="24"/>
              </w:rPr>
              <w:t>彩色大屏幕液晶显示；</w:t>
            </w:r>
          </w:p>
        </w:tc>
      </w:tr>
      <w:tr w14:paraId="7B5011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3CDB316E">
            <w:pPr>
              <w:widowControl w:val="0"/>
              <w:adjustRightInd w:val="0"/>
              <w:snapToGrid w:val="0"/>
              <w:spacing w:line="400" w:lineRule="exact"/>
              <w:ind w:firstLine="0" w:firstLineChars="0"/>
              <w:jc w:val="center"/>
              <w:rPr>
                <w:rFonts w:ascii="Times New Roman" w:hAnsi="Times New Roman" w:cs="Times New Roman"/>
                <w:iCs/>
                <w:sz w:val="24"/>
              </w:rPr>
            </w:pPr>
            <w:r>
              <w:rPr>
                <w:rFonts w:hint="eastAsia" w:ascii="Times New Roman" w:hAnsi="Times New Roman" w:cs="Times New Roman"/>
                <w:iCs/>
                <w:sz w:val="24"/>
              </w:rPr>
              <w:t>2</w:t>
            </w:r>
          </w:p>
        </w:tc>
        <w:tc>
          <w:tcPr>
            <w:tcW w:w="7190" w:type="dxa"/>
            <w:vAlign w:val="center"/>
          </w:tcPr>
          <w:p w14:paraId="40042D71">
            <w:pPr>
              <w:widowControl w:val="0"/>
              <w:adjustRightInd w:val="0"/>
              <w:snapToGrid w:val="0"/>
              <w:spacing w:line="400" w:lineRule="exact"/>
              <w:ind w:firstLine="0" w:firstLineChars="0"/>
              <w:jc w:val="both"/>
              <w:rPr>
                <w:rFonts w:ascii="仿宋_GB2312"/>
                <w:sz w:val="24"/>
                <w:szCs w:val="24"/>
              </w:rPr>
            </w:pPr>
            <w:r>
              <w:rPr>
                <w:rFonts w:hint="eastAsia" w:ascii="仿宋_GB2312"/>
                <w:sz w:val="24"/>
                <w:szCs w:val="24"/>
              </w:rPr>
              <w:t>操作方式为面板按键配合数字小键盘，支持存储用户自定义设置；</w:t>
            </w:r>
          </w:p>
        </w:tc>
      </w:tr>
      <w:tr w14:paraId="2D03A5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49A8FBB1">
            <w:pPr>
              <w:widowControl w:val="0"/>
              <w:adjustRightInd w:val="0"/>
              <w:snapToGrid w:val="0"/>
              <w:spacing w:line="400" w:lineRule="exact"/>
              <w:ind w:firstLine="0" w:firstLineChars="0"/>
              <w:jc w:val="center"/>
              <w:rPr>
                <w:rFonts w:ascii="Times New Roman" w:hAnsi="Times New Roman" w:cs="Times New Roman"/>
                <w:sz w:val="24"/>
                <w:szCs w:val="21"/>
              </w:rPr>
            </w:pPr>
            <w:r>
              <w:rPr>
                <w:rFonts w:ascii="Times New Roman" w:hAnsi="Times New Roman" w:cs="Times New Roman"/>
                <w:iCs/>
                <w:sz w:val="24"/>
              </w:rPr>
              <w:t>▲</w:t>
            </w:r>
            <w:r>
              <w:rPr>
                <w:rFonts w:hint="eastAsia" w:ascii="Times New Roman" w:hAnsi="Times New Roman" w:cs="Times New Roman"/>
                <w:sz w:val="24"/>
                <w:szCs w:val="21"/>
              </w:rPr>
              <w:t>3</w:t>
            </w:r>
          </w:p>
        </w:tc>
        <w:tc>
          <w:tcPr>
            <w:tcW w:w="7190" w:type="dxa"/>
            <w:vAlign w:val="center"/>
          </w:tcPr>
          <w:p w14:paraId="72CC91D6">
            <w:pPr>
              <w:pStyle w:val="38"/>
              <w:ind w:firstLine="0" w:firstLineChars="0"/>
              <w:rPr>
                <w:rFonts w:ascii="仿宋_GB2312" w:eastAsia="仿宋_GB2312"/>
                <w:szCs w:val="24"/>
              </w:rPr>
            </w:pPr>
            <w:r>
              <w:rPr>
                <w:rFonts w:hint="eastAsia" w:ascii="仿宋_GB2312" w:eastAsia="仿宋_GB2312"/>
                <w:szCs w:val="24"/>
              </w:rPr>
              <w:t>信号输入支持单端，差分电压输入或者电流输入；</w:t>
            </w:r>
          </w:p>
        </w:tc>
      </w:tr>
      <w:tr w14:paraId="4897C44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7FE16859">
            <w:pPr>
              <w:widowControl w:val="0"/>
              <w:adjustRightInd w:val="0"/>
              <w:snapToGrid w:val="0"/>
              <w:spacing w:line="400" w:lineRule="exact"/>
              <w:ind w:firstLine="0" w:firstLineChars="0"/>
              <w:jc w:val="center"/>
              <w:rPr>
                <w:rFonts w:ascii="Times New Roman" w:hAnsi="Times New Roman" w:cs="Times New Roman"/>
                <w:sz w:val="24"/>
                <w:szCs w:val="21"/>
              </w:rPr>
            </w:pPr>
            <w:r>
              <w:rPr>
                <w:rFonts w:hint="eastAsia" w:ascii="Times New Roman" w:hAnsi="Times New Roman" w:cs="Times New Roman"/>
                <w:sz w:val="24"/>
                <w:szCs w:val="21"/>
              </w:rPr>
              <w:t>4</w:t>
            </w:r>
          </w:p>
        </w:tc>
        <w:tc>
          <w:tcPr>
            <w:tcW w:w="7190" w:type="dxa"/>
            <w:vAlign w:val="center"/>
          </w:tcPr>
          <w:p w14:paraId="056D2E59">
            <w:pPr>
              <w:widowControl w:val="0"/>
              <w:adjustRightInd w:val="0"/>
              <w:snapToGrid w:val="0"/>
              <w:spacing w:line="400" w:lineRule="exact"/>
              <w:ind w:firstLine="0" w:firstLineChars="0"/>
              <w:jc w:val="both"/>
              <w:rPr>
                <w:rFonts w:ascii="仿宋_GB2312"/>
                <w:szCs w:val="24"/>
              </w:rPr>
            </w:pPr>
            <w:r>
              <w:rPr>
                <w:rFonts w:hint="eastAsia" w:ascii="Times New Roman" w:hAnsi="Times New Roman" w:cs="Times New Roman"/>
                <w:kern w:val="0"/>
                <w:sz w:val="24"/>
                <w:szCs w:val="24"/>
              </w:rPr>
              <w:t>配备USB、Ethernet、RS232通信接口，支持远程控制；</w:t>
            </w:r>
          </w:p>
        </w:tc>
      </w:tr>
      <w:tr w14:paraId="607D7E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0152B21E">
            <w:pPr>
              <w:widowControl w:val="0"/>
              <w:adjustRightInd w:val="0"/>
              <w:snapToGrid w:val="0"/>
              <w:spacing w:line="400" w:lineRule="exact"/>
              <w:ind w:firstLine="0" w:firstLineChars="0"/>
              <w:jc w:val="center"/>
              <w:rPr>
                <w:rFonts w:ascii="Times New Roman" w:hAnsi="Times New Roman" w:cs="Times New Roman"/>
                <w:sz w:val="24"/>
                <w:szCs w:val="21"/>
              </w:rPr>
            </w:pPr>
            <w:r>
              <w:rPr>
                <w:rFonts w:ascii="Times New Roman" w:hAnsi="Times New Roman" w:cs="Times New Roman"/>
                <w:iCs/>
                <w:sz w:val="24"/>
              </w:rPr>
              <w:t>▲</w:t>
            </w:r>
            <w:r>
              <w:rPr>
                <w:rFonts w:hint="eastAsia" w:ascii="Times New Roman" w:hAnsi="Times New Roman" w:cs="Times New Roman"/>
                <w:sz w:val="24"/>
                <w:szCs w:val="21"/>
              </w:rPr>
              <w:t>5</w:t>
            </w:r>
          </w:p>
        </w:tc>
        <w:tc>
          <w:tcPr>
            <w:tcW w:w="7190" w:type="dxa"/>
            <w:vAlign w:val="center"/>
          </w:tcPr>
          <w:p w14:paraId="5C87CAD7">
            <w:pPr>
              <w:pStyle w:val="38"/>
              <w:ind w:firstLine="0" w:firstLineChars="0"/>
              <w:rPr>
                <w:rFonts w:ascii="仿宋_GB2312" w:eastAsia="仿宋_GB2312"/>
                <w:szCs w:val="24"/>
              </w:rPr>
            </w:pPr>
            <w:r>
              <w:rPr>
                <w:rFonts w:hint="eastAsia" w:ascii="仿宋_GB2312" w:eastAsia="仿宋_GB2312"/>
                <w:szCs w:val="24"/>
              </w:rPr>
              <w:t>测量模式：具备双参考模式；双谐波模式；虚拟参考模式；被测信号频谱显示模式，串联解调模式；</w:t>
            </w:r>
          </w:p>
        </w:tc>
      </w:tr>
      <w:tr w14:paraId="18DBB8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6BC92838">
            <w:pPr>
              <w:widowControl w:val="0"/>
              <w:adjustRightInd w:val="0"/>
              <w:snapToGrid w:val="0"/>
              <w:spacing w:line="400" w:lineRule="exact"/>
              <w:ind w:firstLine="0" w:firstLineChars="0"/>
              <w:jc w:val="center"/>
              <w:rPr>
                <w:rFonts w:ascii="Times New Roman" w:hAnsi="Times New Roman" w:cs="Times New Roman"/>
                <w:iCs/>
                <w:sz w:val="24"/>
              </w:rPr>
            </w:pPr>
            <w:r>
              <w:rPr>
                <w:rFonts w:ascii="Times New Roman" w:hAnsi="Times New Roman" w:cs="Times New Roman"/>
                <w:iCs/>
                <w:sz w:val="24"/>
              </w:rPr>
              <w:t>▲</w:t>
            </w:r>
            <w:r>
              <w:rPr>
                <w:rFonts w:hint="eastAsia" w:ascii="Times New Roman" w:hAnsi="Times New Roman" w:cs="Times New Roman"/>
                <w:iCs/>
                <w:sz w:val="24"/>
              </w:rPr>
              <w:t>6</w:t>
            </w:r>
          </w:p>
        </w:tc>
        <w:tc>
          <w:tcPr>
            <w:tcW w:w="7190" w:type="dxa"/>
            <w:vAlign w:val="center"/>
          </w:tcPr>
          <w:p w14:paraId="1F18E37B">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使用Acquire软件可以采集输出信号，支持LabView驱动软件以及ActiveX控件工具包，内置可调振幅和频率的振荡器（频率响应），可支持振荡器频率扫描,振荡器振幅扫描；</w:t>
            </w:r>
          </w:p>
        </w:tc>
      </w:tr>
      <w:tr w14:paraId="715395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027469F1">
            <w:pPr>
              <w:widowControl w:val="0"/>
              <w:adjustRightInd w:val="0"/>
              <w:snapToGrid w:val="0"/>
              <w:spacing w:line="400" w:lineRule="exact"/>
              <w:ind w:firstLine="0" w:firstLineChars="0"/>
              <w:jc w:val="center"/>
              <w:rPr>
                <w:rFonts w:ascii="Times New Roman" w:hAnsi="Times New Roman" w:cs="Times New Roman"/>
                <w:iCs/>
                <w:sz w:val="24"/>
              </w:rPr>
            </w:pPr>
            <w:r>
              <w:rPr>
                <w:rFonts w:hint="eastAsia" w:ascii="Times New Roman" w:hAnsi="Times New Roman" w:cs="Times New Roman"/>
                <w:iCs/>
                <w:sz w:val="24"/>
              </w:rPr>
              <w:t>7</w:t>
            </w:r>
          </w:p>
        </w:tc>
        <w:tc>
          <w:tcPr>
            <w:tcW w:w="7190" w:type="dxa"/>
            <w:vAlign w:val="center"/>
          </w:tcPr>
          <w:p w14:paraId="4710F9FF">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数据存储内置100,000点缓冲内存，最快存储速率</w:t>
            </w:r>
            <w:r>
              <w:rPr>
                <w:rFonts w:ascii="Times New Roman" w:hAnsi="Times New Roman" w:cs="Times New Roman"/>
                <w:kern w:val="0"/>
                <w:sz w:val="24"/>
                <w:szCs w:val="24"/>
              </w:rPr>
              <w:t>1μs/点</w:t>
            </w:r>
            <w:r>
              <w:rPr>
                <w:rFonts w:hint="eastAsia" w:ascii="Times New Roman" w:hAnsi="Times New Roman" w:cs="Times New Roman"/>
                <w:kern w:val="0"/>
                <w:sz w:val="24"/>
                <w:szCs w:val="24"/>
              </w:rPr>
              <w:t>；</w:t>
            </w:r>
          </w:p>
        </w:tc>
      </w:tr>
      <w:tr w14:paraId="05937D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1F03C694">
            <w:pPr>
              <w:widowControl w:val="0"/>
              <w:adjustRightInd w:val="0"/>
              <w:snapToGrid w:val="0"/>
              <w:spacing w:line="400" w:lineRule="exact"/>
              <w:ind w:firstLine="0" w:firstLineChars="0"/>
              <w:jc w:val="center"/>
              <w:rPr>
                <w:rFonts w:ascii="Times New Roman" w:hAnsi="Times New Roman" w:cs="Times New Roman"/>
                <w:iCs/>
                <w:sz w:val="24"/>
              </w:rPr>
            </w:pPr>
            <w:bookmarkStart w:id="10" w:name="_Hlk234514071"/>
            <w:r>
              <w:rPr>
                <w:rFonts w:ascii="Segoe UI Symbol" w:hAnsi="Segoe UI Symbol" w:cs="Segoe UI Symbol"/>
                <w:sz w:val="24"/>
                <w:szCs w:val="21"/>
              </w:rPr>
              <w:t>★</w:t>
            </w:r>
            <w:bookmarkEnd w:id="10"/>
            <w:r>
              <w:rPr>
                <w:rFonts w:hint="eastAsia" w:ascii="Times New Roman" w:hAnsi="Times New Roman" w:cs="Times New Roman"/>
                <w:iCs/>
                <w:sz w:val="24"/>
              </w:rPr>
              <w:t>8</w:t>
            </w:r>
          </w:p>
        </w:tc>
        <w:tc>
          <w:tcPr>
            <w:tcW w:w="7190" w:type="dxa"/>
            <w:vAlign w:val="center"/>
          </w:tcPr>
          <w:p w14:paraId="6EE5EBC9">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差分输入可达±10V，计算增益范围满足1～5000；</w:t>
            </w:r>
          </w:p>
        </w:tc>
      </w:tr>
      <w:tr w14:paraId="0BFF38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4BB8D580">
            <w:pPr>
              <w:widowControl w:val="0"/>
              <w:adjustRightInd w:val="0"/>
              <w:snapToGrid w:val="0"/>
              <w:spacing w:line="400" w:lineRule="exact"/>
              <w:ind w:firstLine="0" w:firstLineChars="0"/>
              <w:jc w:val="center"/>
              <w:rPr>
                <w:rFonts w:ascii="Times New Roman" w:hAnsi="Times New Roman" w:cs="Times New Roman"/>
                <w:iCs/>
                <w:sz w:val="24"/>
              </w:rPr>
            </w:pPr>
            <w:r>
              <w:rPr>
                <w:rFonts w:hint="eastAsia" w:ascii="Times New Roman" w:hAnsi="Times New Roman" w:cs="Times New Roman"/>
                <w:iCs/>
                <w:sz w:val="24"/>
              </w:rPr>
              <w:t>9</w:t>
            </w:r>
          </w:p>
        </w:tc>
        <w:tc>
          <w:tcPr>
            <w:tcW w:w="7190" w:type="dxa"/>
            <w:vAlign w:val="center"/>
          </w:tcPr>
          <w:p w14:paraId="0CE36DFD">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输入ADCs：不少于4通道，主采样率1MSa/s ；</w:t>
            </w:r>
          </w:p>
        </w:tc>
      </w:tr>
      <w:tr w14:paraId="185EF6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32F090BC">
            <w:pPr>
              <w:widowControl w:val="0"/>
              <w:adjustRightInd w:val="0"/>
              <w:snapToGrid w:val="0"/>
              <w:spacing w:line="400" w:lineRule="exact"/>
              <w:ind w:firstLine="0" w:firstLineChars="0"/>
              <w:jc w:val="center"/>
              <w:rPr>
                <w:rFonts w:ascii="Times New Roman" w:hAnsi="Times New Roman" w:cs="Times New Roman"/>
                <w:iCs/>
                <w:sz w:val="24"/>
              </w:rPr>
            </w:pPr>
            <w:r>
              <w:rPr>
                <w:rFonts w:ascii="Segoe UI Symbol" w:hAnsi="Segoe UI Symbol" w:cs="Segoe UI Symbol"/>
                <w:sz w:val="24"/>
                <w:szCs w:val="21"/>
              </w:rPr>
              <w:t>★</w:t>
            </w:r>
            <w:r>
              <w:rPr>
                <w:rFonts w:hint="eastAsia" w:ascii="Times New Roman" w:hAnsi="Times New Roman" w:cs="Times New Roman"/>
                <w:iCs/>
                <w:sz w:val="24"/>
              </w:rPr>
              <w:t>10</w:t>
            </w:r>
          </w:p>
        </w:tc>
        <w:tc>
          <w:tcPr>
            <w:tcW w:w="7190" w:type="dxa"/>
            <w:vAlign w:val="center"/>
          </w:tcPr>
          <w:p w14:paraId="51ED5191">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输出DACs：不少于4通道，16 bits, 刷新率1MSa/s；</w:t>
            </w:r>
          </w:p>
        </w:tc>
      </w:tr>
      <w:tr w14:paraId="501D14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27A8CCC9">
            <w:pPr>
              <w:widowControl w:val="0"/>
              <w:adjustRightInd w:val="0"/>
              <w:snapToGrid w:val="0"/>
              <w:spacing w:line="400" w:lineRule="exact"/>
              <w:ind w:firstLine="0" w:firstLineChars="0"/>
              <w:jc w:val="center"/>
              <w:rPr>
                <w:rFonts w:ascii="Times New Roman" w:hAnsi="Times New Roman" w:cs="Times New Roman"/>
                <w:sz w:val="24"/>
                <w:szCs w:val="21"/>
              </w:rPr>
            </w:pPr>
            <w:r>
              <w:rPr>
                <w:rFonts w:ascii="Segoe UI Symbol" w:hAnsi="Segoe UI Symbol" w:cs="Segoe UI Symbol"/>
                <w:sz w:val="24"/>
                <w:szCs w:val="21"/>
              </w:rPr>
              <w:t>★</w:t>
            </w:r>
            <w:r>
              <w:rPr>
                <w:rFonts w:ascii="Times New Roman" w:hAnsi="Times New Roman" w:cs="Times New Roman"/>
                <w:sz w:val="24"/>
                <w:szCs w:val="21"/>
              </w:rPr>
              <w:t>11</w:t>
            </w:r>
          </w:p>
        </w:tc>
        <w:tc>
          <w:tcPr>
            <w:tcW w:w="7190" w:type="dxa"/>
            <w:vAlign w:val="center"/>
          </w:tcPr>
          <w:p w14:paraId="0DD2CD37">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电压输入：</w:t>
            </w:r>
          </w:p>
          <w:p w14:paraId="6B177A7D">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输入噪音@1kHz 5nV/√Hz</w:t>
            </w:r>
          </w:p>
          <w:p w14:paraId="7EC3007F">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共模抑制比＞100dB</w:t>
            </w:r>
          </w:p>
          <w:p w14:paraId="22BC5F3A">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满刻度灵敏度2nV～1V</w:t>
            </w:r>
          </w:p>
          <w:p w14:paraId="11C510AA">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输入阻抗10MΩ@场效应管输入，直流或者交流耦合；</w:t>
            </w:r>
          </w:p>
        </w:tc>
      </w:tr>
      <w:tr w14:paraId="3FF0D4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61E5F2D2">
            <w:pPr>
              <w:widowControl w:val="0"/>
              <w:adjustRightInd w:val="0"/>
              <w:snapToGrid w:val="0"/>
              <w:spacing w:line="400" w:lineRule="exact"/>
              <w:ind w:firstLine="0" w:firstLineChars="0"/>
              <w:jc w:val="center"/>
              <w:rPr>
                <w:rFonts w:ascii="Times New Roman" w:hAnsi="Times New Roman" w:cs="Times New Roman"/>
                <w:sz w:val="24"/>
                <w:szCs w:val="21"/>
              </w:rPr>
            </w:pPr>
            <w:r>
              <w:rPr>
                <w:rFonts w:ascii="Segoe UI Symbol" w:hAnsi="Segoe UI Symbol" w:cs="Segoe UI Symbol"/>
                <w:sz w:val="24"/>
                <w:szCs w:val="21"/>
              </w:rPr>
              <w:t>★</w:t>
            </w:r>
            <w:r>
              <w:rPr>
                <w:rFonts w:ascii="Times New Roman" w:hAnsi="Times New Roman" w:cs="Times New Roman"/>
                <w:sz w:val="24"/>
                <w:szCs w:val="21"/>
              </w:rPr>
              <w:t>12</w:t>
            </w:r>
          </w:p>
        </w:tc>
        <w:tc>
          <w:tcPr>
            <w:tcW w:w="7190" w:type="dxa"/>
            <w:vAlign w:val="center"/>
          </w:tcPr>
          <w:p w14:paraId="387FC731">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电流输入：</w:t>
            </w:r>
          </w:p>
          <w:p w14:paraId="19096EEE">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输入噪音</w:t>
            </w:r>
            <w:r>
              <w:rPr>
                <w:rFonts w:ascii="Times New Roman" w:hAnsi="Times New Roman" w:cs="Times New Roman"/>
                <w:kern w:val="0"/>
                <w:sz w:val="24"/>
                <w:szCs w:val="24"/>
              </w:rPr>
              <w:t>13fA/</w:t>
            </w:r>
            <w:r>
              <w:rPr>
                <w:rFonts w:hint="eastAsia" w:ascii="Times New Roman" w:hAnsi="Times New Roman" w:cs="Times New Roman"/>
                <w:kern w:val="0"/>
                <w:sz w:val="24"/>
                <w:szCs w:val="24"/>
              </w:rPr>
              <w:t>√</w:t>
            </w:r>
            <w:r>
              <w:rPr>
                <w:rFonts w:ascii="Times New Roman" w:hAnsi="Times New Roman" w:cs="Times New Roman"/>
                <w:kern w:val="0"/>
                <w:sz w:val="24"/>
                <w:szCs w:val="24"/>
              </w:rPr>
              <w:t>Hz@500Hz</w:t>
            </w:r>
            <w:r>
              <w:rPr>
                <w:rFonts w:hint="eastAsia" w:ascii="Times New Roman" w:hAnsi="Times New Roman" w:cs="Times New Roman"/>
                <w:kern w:val="0"/>
                <w:sz w:val="24"/>
                <w:szCs w:val="24"/>
              </w:rPr>
              <w:t>（低噪声模式）</w:t>
            </w:r>
          </w:p>
          <w:p w14:paraId="19F168EB">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灵敏度</w:t>
            </w:r>
            <w:r>
              <w:rPr>
                <w:rFonts w:ascii="Times New Roman" w:hAnsi="Times New Roman" w:cs="Times New Roman"/>
                <w:kern w:val="0"/>
                <w:sz w:val="24"/>
                <w:szCs w:val="24"/>
              </w:rPr>
              <w:t>2fA</w:t>
            </w:r>
            <w:r>
              <w:rPr>
                <w:rFonts w:hint="eastAsia" w:ascii="Times New Roman" w:hAnsi="Times New Roman" w:cs="Times New Roman"/>
                <w:kern w:val="0"/>
                <w:sz w:val="24"/>
                <w:szCs w:val="24"/>
              </w:rPr>
              <w:t>～</w:t>
            </w:r>
            <w:r>
              <w:rPr>
                <w:rFonts w:ascii="Times New Roman" w:hAnsi="Times New Roman" w:cs="Times New Roman"/>
                <w:kern w:val="0"/>
                <w:sz w:val="24"/>
                <w:szCs w:val="24"/>
              </w:rPr>
              <w:t>1</w:t>
            </w:r>
            <w:r>
              <w:rPr>
                <w:rFonts w:ascii="Times New Roman" w:hAnsi="Times New Roman" w:cs="Times New Roman"/>
                <w:kern w:val="0"/>
                <w:sz w:val="24"/>
                <w:szCs w:val="24"/>
              </w:rPr>
              <w:sym w:font="Symbol" w:char="F06D"/>
            </w:r>
            <w:r>
              <w:rPr>
                <w:rFonts w:ascii="Times New Roman" w:hAnsi="Times New Roman" w:cs="Times New Roman"/>
                <w:kern w:val="0"/>
                <w:sz w:val="24"/>
                <w:szCs w:val="24"/>
              </w:rPr>
              <w:t>A</w:t>
            </w:r>
            <w:r>
              <w:rPr>
                <w:rFonts w:hint="eastAsia" w:ascii="Times New Roman" w:hAnsi="Times New Roman" w:cs="Times New Roman"/>
                <w:kern w:val="0"/>
                <w:sz w:val="24"/>
                <w:szCs w:val="24"/>
              </w:rPr>
              <w:t>（宽带宽模式）</w:t>
            </w:r>
          </w:p>
          <w:p w14:paraId="4DA14C16">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输入电阻＜</w:t>
            </w:r>
            <w:r>
              <w:rPr>
                <w:rFonts w:ascii="Times New Roman" w:hAnsi="Times New Roman" w:cs="Times New Roman"/>
                <w:kern w:val="0"/>
                <w:sz w:val="24"/>
                <w:szCs w:val="24"/>
              </w:rPr>
              <w:t>250</w:t>
            </w:r>
            <w:r>
              <w:rPr>
                <w:rFonts w:hint="eastAsia" w:ascii="Times New Roman" w:hAnsi="Times New Roman" w:cs="Times New Roman"/>
                <w:kern w:val="0"/>
                <w:sz w:val="24"/>
                <w:szCs w:val="24"/>
              </w:rPr>
              <w:t>Ω</w:t>
            </w:r>
            <w:r>
              <w:rPr>
                <w:rFonts w:ascii="Times New Roman" w:hAnsi="Times New Roman" w:cs="Times New Roman"/>
                <w:kern w:val="0"/>
                <w:sz w:val="24"/>
                <w:szCs w:val="24"/>
              </w:rPr>
              <w:t>@1kHz</w:t>
            </w:r>
            <w:r>
              <w:rPr>
                <w:rFonts w:hint="eastAsia" w:ascii="Times New Roman" w:hAnsi="Times New Roman" w:cs="Times New Roman"/>
                <w:kern w:val="0"/>
                <w:sz w:val="24"/>
                <w:szCs w:val="24"/>
              </w:rPr>
              <w:t>（宽带宽模式）；</w:t>
            </w:r>
          </w:p>
        </w:tc>
      </w:tr>
      <w:tr w14:paraId="109ADE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15063A80">
            <w:pPr>
              <w:widowControl w:val="0"/>
              <w:adjustRightInd w:val="0"/>
              <w:snapToGrid w:val="0"/>
              <w:spacing w:line="400" w:lineRule="exact"/>
              <w:ind w:firstLine="0" w:firstLineChars="0"/>
              <w:jc w:val="center"/>
              <w:rPr>
                <w:rFonts w:ascii="Times New Roman" w:hAnsi="Times New Roman" w:cs="Times New Roman"/>
                <w:sz w:val="24"/>
                <w:szCs w:val="21"/>
              </w:rPr>
            </w:pPr>
            <w:r>
              <w:rPr>
                <w:rFonts w:ascii="Segoe UI Symbol" w:hAnsi="Segoe UI Symbol" w:cs="Segoe UI Symbol"/>
                <w:sz w:val="24"/>
                <w:szCs w:val="21"/>
              </w:rPr>
              <w:t>★</w:t>
            </w:r>
            <w:r>
              <w:rPr>
                <w:rFonts w:ascii="Times New Roman" w:hAnsi="Times New Roman" w:cs="Times New Roman"/>
                <w:sz w:val="24"/>
                <w:szCs w:val="21"/>
              </w:rPr>
              <w:t>13</w:t>
            </w:r>
          </w:p>
        </w:tc>
        <w:tc>
          <w:tcPr>
            <w:tcW w:w="7190" w:type="dxa"/>
            <w:vAlign w:val="center"/>
          </w:tcPr>
          <w:p w14:paraId="4C5B75B2">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参考通道：</w:t>
            </w:r>
          </w:p>
          <w:p w14:paraId="6BBF180F">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频率范围</w:t>
            </w:r>
            <w:r>
              <w:rPr>
                <w:rFonts w:ascii="Times New Roman" w:hAnsi="Times New Roman" w:cs="Times New Roman"/>
                <w:kern w:val="0"/>
                <w:sz w:val="24"/>
                <w:szCs w:val="24"/>
              </w:rPr>
              <w:t>1mHz</w:t>
            </w:r>
            <w:r>
              <w:rPr>
                <w:rFonts w:hint="eastAsia" w:ascii="Times New Roman" w:hAnsi="Times New Roman" w:cs="Times New Roman"/>
                <w:kern w:val="0"/>
                <w:sz w:val="24"/>
                <w:szCs w:val="24"/>
              </w:rPr>
              <w:t>～</w:t>
            </w:r>
            <w:r>
              <w:rPr>
                <w:rFonts w:ascii="Times New Roman" w:hAnsi="Times New Roman" w:cs="Times New Roman"/>
                <w:kern w:val="0"/>
                <w:sz w:val="24"/>
                <w:szCs w:val="24"/>
              </w:rPr>
              <w:t>250kHz</w:t>
            </w:r>
          </w:p>
          <w:p w14:paraId="1D0AF4F5">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谐波分析</w:t>
            </w:r>
            <w:r>
              <w:rPr>
                <w:rFonts w:ascii="Times New Roman" w:hAnsi="Times New Roman" w:cs="Times New Roman"/>
                <w:kern w:val="0"/>
                <w:sz w:val="24"/>
                <w:szCs w:val="24"/>
              </w:rPr>
              <w:t>2</w:t>
            </w:r>
            <w:r>
              <w:rPr>
                <w:rFonts w:hint="eastAsia" w:ascii="Times New Roman" w:hAnsi="Times New Roman" w:cs="Times New Roman"/>
                <w:kern w:val="0"/>
                <w:sz w:val="24"/>
                <w:szCs w:val="24"/>
              </w:rPr>
              <w:t>×</w:t>
            </w:r>
            <w:r>
              <w:rPr>
                <w:rFonts w:ascii="Times New Roman" w:hAnsi="Times New Roman" w:cs="Times New Roman"/>
                <w:kern w:val="0"/>
                <w:sz w:val="24"/>
                <w:szCs w:val="24"/>
              </w:rPr>
              <w:t>f~127</w:t>
            </w:r>
            <w:r>
              <w:rPr>
                <w:rFonts w:hint="eastAsia" w:ascii="Times New Roman" w:hAnsi="Times New Roman" w:cs="Times New Roman"/>
                <w:kern w:val="0"/>
                <w:sz w:val="24"/>
                <w:szCs w:val="24"/>
              </w:rPr>
              <w:t>×</w:t>
            </w:r>
            <w:r>
              <w:rPr>
                <w:rFonts w:ascii="Times New Roman" w:hAnsi="Times New Roman" w:cs="Times New Roman"/>
                <w:kern w:val="0"/>
                <w:sz w:val="24"/>
                <w:szCs w:val="24"/>
              </w:rPr>
              <w:t>f</w:t>
            </w:r>
          </w:p>
          <w:p w14:paraId="2AFEEB6F">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相互垂直度</w:t>
            </w:r>
            <w:r>
              <w:rPr>
                <w:rFonts w:ascii="Times New Roman" w:hAnsi="Times New Roman" w:cs="Times New Roman"/>
                <w:kern w:val="0"/>
                <w:sz w:val="24"/>
                <w:szCs w:val="24"/>
              </w:rPr>
              <w:t>90</w:t>
            </w:r>
            <w:r>
              <w:rPr>
                <w:rFonts w:hint="eastAsia" w:ascii="Times New Roman" w:hAnsi="Times New Roman" w:cs="Times New Roman"/>
                <w:kern w:val="0"/>
                <w:sz w:val="24"/>
                <w:szCs w:val="24"/>
              </w:rPr>
              <w:t>±</w:t>
            </w:r>
            <w:r>
              <w:rPr>
                <w:rFonts w:ascii="Times New Roman" w:hAnsi="Times New Roman" w:cs="Times New Roman"/>
                <w:kern w:val="0"/>
                <w:sz w:val="24"/>
                <w:szCs w:val="24"/>
              </w:rPr>
              <w:t>0.0001</w:t>
            </w:r>
            <w:r>
              <w:rPr>
                <w:rFonts w:hint="eastAsia" w:ascii="Times New Roman" w:hAnsi="Times New Roman" w:cs="Times New Roman"/>
                <w:kern w:val="0"/>
                <w:sz w:val="24"/>
                <w:szCs w:val="24"/>
              </w:rPr>
              <w:t>°；</w:t>
            </w:r>
          </w:p>
        </w:tc>
      </w:tr>
      <w:tr w14:paraId="36045E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56404DBC">
            <w:pPr>
              <w:widowControl w:val="0"/>
              <w:adjustRightInd w:val="0"/>
              <w:snapToGrid w:val="0"/>
              <w:spacing w:line="400" w:lineRule="exact"/>
              <w:ind w:firstLine="0" w:firstLineChars="0"/>
              <w:jc w:val="center"/>
              <w:rPr>
                <w:rFonts w:ascii="Times New Roman" w:hAnsi="Times New Roman" w:cs="Times New Roman"/>
                <w:sz w:val="24"/>
                <w:szCs w:val="21"/>
              </w:rPr>
            </w:pPr>
            <w:r>
              <w:rPr>
                <w:rFonts w:ascii="Segoe UI Symbol" w:hAnsi="Segoe UI Symbol" w:cs="Segoe UI Symbol"/>
                <w:sz w:val="24"/>
                <w:szCs w:val="21"/>
              </w:rPr>
              <w:t>★</w:t>
            </w:r>
            <w:r>
              <w:rPr>
                <w:rFonts w:ascii="Times New Roman" w:hAnsi="Times New Roman" w:cs="Times New Roman"/>
                <w:sz w:val="24"/>
                <w:szCs w:val="21"/>
              </w:rPr>
              <w:t>14</w:t>
            </w:r>
          </w:p>
        </w:tc>
        <w:tc>
          <w:tcPr>
            <w:tcW w:w="7190" w:type="dxa"/>
            <w:vAlign w:val="center"/>
          </w:tcPr>
          <w:p w14:paraId="696F4A4B">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频率分辨率</w:t>
            </w:r>
            <w:r>
              <w:rPr>
                <w:rFonts w:ascii="Times New Roman" w:hAnsi="Times New Roman" w:cs="Times New Roman"/>
                <w:kern w:val="0"/>
                <w:sz w:val="24"/>
                <w:szCs w:val="24"/>
              </w:rPr>
              <w:t>1mHz</w:t>
            </w:r>
          </w:p>
          <w:p w14:paraId="7BF30B45">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相位分辨率</w:t>
            </w:r>
            <w:r>
              <w:rPr>
                <w:rFonts w:ascii="Times New Roman" w:hAnsi="Times New Roman" w:cs="Times New Roman"/>
                <w:kern w:val="0"/>
                <w:sz w:val="24"/>
                <w:szCs w:val="24"/>
              </w:rPr>
              <w:t>0.01</w:t>
            </w:r>
            <w:r>
              <w:rPr>
                <w:rFonts w:hint="eastAsia" w:ascii="Times New Roman" w:hAnsi="Times New Roman" w:cs="Times New Roman"/>
                <w:kern w:val="0"/>
                <w:sz w:val="24"/>
                <w:szCs w:val="24"/>
              </w:rPr>
              <w:t>°；</w:t>
            </w:r>
          </w:p>
        </w:tc>
      </w:tr>
      <w:tr w14:paraId="47432B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204C86A1">
            <w:pPr>
              <w:widowControl w:val="0"/>
              <w:adjustRightInd w:val="0"/>
              <w:snapToGrid w:val="0"/>
              <w:spacing w:line="400" w:lineRule="exact"/>
              <w:ind w:firstLine="0" w:firstLineChars="0"/>
              <w:jc w:val="center"/>
              <w:rPr>
                <w:rFonts w:ascii="Times New Roman" w:hAnsi="Times New Roman" w:cs="Times New Roman"/>
                <w:sz w:val="24"/>
                <w:szCs w:val="21"/>
              </w:rPr>
            </w:pPr>
            <w:r>
              <w:rPr>
                <w:rFonts w:ascii="Segoe UI Symbol" w:hAnsi="Segoe UI Symbol" w:cs="Segoe UI Symbol"/>
                <w:sz w:val="24"/>
                <w:szCs w:val="21"/>
              </w:rPr>
              <w:t>★</w:t>
            </w:r>
            <w:r>
              <w:rPr>
                <w:rFonts w:ascii="Times New Roman" w:hAnsi="Times New Roman" w:cs="Times New Roman"/>
                <w:sz w:val="24"/>
                <w:szCs w:val="21"/>
              </w:rPr>
              <w:t>15</w:t>
            </w:r>
          </w:p>
        </w:tc>
        <w:tc>
          <w:tcPr>
            <w:tcW w:w="7190" w:type="dxa"/>
            <w:vAlign w:val="center"/>
          </w:tcPr>
          <w:p w14:paraId="44FAB5F5">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解调器：</w:t>
            </w:r>
          </w:p>
          <w:p w14:paraId="32D5985E">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动态储备＞</w:t>
            </w:r>
            <w:r>
              <w:rPr>
                <w:rFonts w:ascii="Times New Roman" w:hAnsi="Times New Roman" w:cs="Times New Roman"/>
                <w:kern w:val="0"/>
                <w:sz w:val="24"/>
                <w:szCs w:val="24"/>
              </w:rPr>
              <w:t>100dB</w:t>
            </w:r>
            <w:r>
              <w:rPr>
                <w:rFonts w:hint="eastAsia" w:ascii="Times New Roman" w:hAnsi="Times New Roman" w:cs="Times New Roman"/>
                <w:kern w:val="0"/>
                <w:sz w:val="24"/>
                <w:szCs w:val="24"/>
              </w:rPr>
              <w:t>（典型值）；</w:t>
            </w:r>
          </w:p>
        </w:tc>
      </w:tr>
      <w:tr w14:paraId="282955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76F1A01D">
            <w:pPr>
              <w:widowControl w:val="0"/>
              <w:adjustRightInd w:val="0"/>
              <w:snapToGrid w:val="0"/>
              <w:spacing w:line="400" w:lineRule="exact"/>
              <w:ind w:firstLine="0" w:firstLineChars="0"/>
              <w:jc w:val="center"/>
              <w:rPr>
                <w:rFonts w:ascii="Times New Roman" w:hAnsi="Times New Roman" w:cs="Times New Roman"/>
                <w:sz w:val="24"/>
                <w:szCs w:val="21"/>
              </w:rPr>
            </w:pPr>
            <w:r>
              <w:rPr>
                <w:rFonts w:ascii="Segoe UI Symbol" w:hAnsi="Segoe UI Symbol" w:cs="Segoe UI Symbol"/>
                <w:sz w:val="24"/>
                <w:szCs w:val="21"/>
              </w:rPr>
              <w:t>★</w:t>
            </w:r>
            <w:r>
              <w:rPr>
                <w:rFonts w:ascii="Times New Roman" w:hAnsi="Times New Roman" w:cs="Times New Roman"/>
                <w:sz w:val="24"/>
                <w:szCs w:val="21"/>
              </w:rPr>
              <w:t>16</w:t>
            </w:r>
          </w:p>
        </w:tc>
        <w:tc>
          <w:tcPr>
            <w:tcW w:w="7190" w:type="dxa"/>
            <w:vAlign w:val="center"/>
          </w:tcPr>
          <w:p w14:paraId="225B24E7">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输出滤波器：</w:t>
            </w:r>
          </w:p>
          <w:p w14:paraId="03E89DE7">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滚降</w:t>
            </w:r>
            <w:r>
              <w:rPr>
                <w:rFonts w:ascii="Times New Roman" w:hAnsi="Times New Roman" w:cs="Times New Roman"/>
                <w:kern w:val="0"/>
                <w:sz w:val="24"/>
                <w:szCs w:val="24"/>
              </w:rPr>
              <w:t>6</w:t>
            </w:r>
            <w:r>
              <w:rPr>
                <w:rFonts w:hint="eastAsia" w:ascii="Times New Roman" w:hAnsi="Times New Roman" w:cs="Times New Roman"/>
                <w:kern w:val="0"/>
                <w:sz w:val="24"/>
                <w:szCs w:val="24"/>
              </w:rPr>
              <w:t>，</w:t>
            </w:r>
            <w:r>
              <w:rPr>
                <w:rFonts w:ascii="Times New Roman" w:hAnsi="Times New Roman" w:cs="Times New Roman"/>
                <w:kern w:val="0"/>
                <w:sz w:val="24"/>
                <w:szCs w:val="24"/>
              </w:rPr>
              <w:t>12</w:t>
            </w:r>
            <w:r>
              <w:rPr>
                <w:rFonts w:hint="eastAsia" w:ascii="Times New Roman" w:hAnsi="Times New Roman" w:cs="Times New Roman"/>
                <w:kern w:val="0"/>
                <w:sz w:val="24"/>
                <w:szCs w:val="24"/>
              </w:rPr>
              <w:t>，</w:t>
            </w:r>
            <w:r>
              <w:rPr>
                <w:rFonts w:ascii="Times New Roman" w:hAnsi="Times New Roman" w:cs="Times New Roman"/>
                <w:kern w:val="0"/>
                <w:sz w:val="24"/>
                <w:szCs w:val="24"/>
              </w:rPr>
              <w:t>18&amp;24dB</w:t>
            </w:r>
          </w:p>
          <w:p w14:paraId="2E986A0E">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时间常数</w:t>
            </w:r>
            <w:r>
              <w:rPr>
                <w:rFonts w:ascii="Times New Roman" w:hAnsi="Times New Roman" w:cs="Times New Roman"/>
                <w:kern w:val="0"/>
                <w:sz w:val="24"/>
                <w:szCs w:val="24"/>
              </w:rPr>
              <w:t>10</w:t>
            </w:r>
            <w:r>
              <w:rPr>
                <w:rFonts w:ascii="Times New Roman" w:hAnsi="Times New Roman" w:cs="Times New Roman"/>
                <w:kern w:val="0"/>
                <w:sz w:val="24"/>
                <w:szCs w:val="24"/>
              </w:rPr>
              <w:sym w:font="Symbol" w:char="F06D"/>
            </w:r>
            <w:r>
              <w:rPr>
                <w:rFonts w:ascii="Times New Roman" w:hAnsi="Times New Roman" w:cs="Times New Roman"/>
                <w:kern w:val="0"/>
                <w:sz w:val="24"/>
                <w:szCs w:val="24"/>
              </w:rPr>
              <w:t>s-100ks</w:t>
            </w:r>
            <w:r>
              <w:rPr>
                <w:rFonts w:hint="eastAsia" w:ascii="Times New Roman" w:hAnsi="Times New Roman" w:cs="Times New Roman"/>
                <w:kern w:val="0"/>
                <w:sz w:val="24"/>
                <w:szCs w:val="24"/>
              </w:rPr>
              <w:t>；</w:t>
            </w:r>
          </w:p>
        </w:tc>
      </w:tr>
      <w:tr w14:paraId="782878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26A158CA">
            <w:pPr>
              <w:widowControl w:val="0"/>
              <w:adjustRightInd w:val="0"/>
              <w:snapToGrid w:val="0"/>
              <w:spacing w:line="400" w:lineRule="exact"/>
              <w:ind w:firstLine="0" w:firstLineChars="0"/>
              <w:jc w:val="center"/>
              <w:rPr>
                <w:rFonts w:ascii="Times New Roman" w:hAnsi="Times New Roman" w:cs="Times New Roman"/>
                <w:sz w:val="24"/>
                <w:szCs w:val="21"/>
              </w:rPr>
            </w:pPr>
            <w:r>
              <w:rPr>
                <w:rFonts w:ascii="Segoe UI Symbol" w:hAnsi="Segoe UI Symbol" w:cs="Segoe UI Symbol"/>
                <w:sz w:val="24"/>
                <w:szCs w:val="21"/>
              </w:rPr>
              <w:t>★</w:t>
            </w:r>
            <w:r>
              <w:rPr>
                <w:rFonts w:ascii="Times New Roman" w:hAnsi="Times New Roman" w:cs="Times New Roman"/>
                <w:sz w:val="24"/>
                <w:szCs w:val="21"/>
              </w:rPr>
              <w:t>17</w:t>
            </w:r>
          </w:p>
        </w:tc>
        <w:tc>
          <w:tcPr>
            <w:tcW w:w="7190" w:type="dxa"/>
            <w:vAlign w:val="center"/>
          </w:tcPr>
          <w:p w14:paraId="16D80445">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kern w:val="0"/>
                <w:sz w:val="24"/>
                <w:szCs w:val="24"/>
              </w:rPr>
              <w:t>通道可扩容：2/4/6/8/10每个机箱。</w:t>
            </w:r>
          </w:p>
        </w:tc>
      </w:tr>
      <w:tr w14:paraId="700513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386" w:type="dxa"/>
            <w:vAlign w:val="center"/>
          </w:tcPr>
          <w:p w14:paraId="73B522CF">
            <w:pPr>
              <w:widowControl w:val="0"/>
              <w:adjustRightInd w:val="0"/>
              <w:snapToGrid w:val="0"/>
              <w:spacing w:line="400" w:lineRule="exact"/>
              <w:ind w:firstLine="0" w:firstLineChars="0"/>
              <w:jc w:val="center"/>
              <w:rPr>
                <w:rFonts w:ascii="Segoe UI Symbol" w:hAnsi="Segoe UI Symbol" w:cs="Segoe UI Symbol"/>
                <w:sz w:val="24"/>
                <w:szCs w:val="21"/>
              </w:rPr>
            </w:pPr>
            <w:r>
              <w:rPr>
                <w:rFonts w:ascii="Segoe UI Symbol" w:hAnsi="Segoe UI Symbol" w:cs="Segoe UI Symbol"/>
                <w:sz w:val="24"/>
                <w:szCs w:val="21"/>
              </w:rPr>
              <w:t>★</w:t>
            </w:r>
            <w:r>
              <w:rPr>
                <w:rFonts w:ascii="Times New Roman" w:hAnsi="Times New Roman" w:cs="Times New Roman"/>
                <w:sz w:val="24"/>
                <w:szCs w:val="21"/>
              </w:rPr>
              <w:t>18</w:t>
            </w:r>
          </w:p>
        </w:tc>
        <w:tc>
          <w:tcPr>
            <w:tcW w:w="7190" w:type="dxa"/>
            <w:vAlign w:val="center"/>
          </w:tcPr>
          <w:p w14:paraId="070543C2">
            <w:pPr>
              <w:widowControl w:val="0"/>
              <w:adjustRightInd w:val="0"/>
              <w:snapToGrid w:val="0"/>
              <w:spacing w:line="400" w:lineRule="exact"/>
              <w:ind w:firstLine="0" w:firstLineChars="0"/>
              <w:jc w:val="both"/>
              <w:rPr>
                <w:rFonts w:ascii="Times New Roman" w:hAnsi="Times New Roman" w:cs="Times New Roman"/>
                <w:kern w:val="0"/>
                <w:sz w:val="24"/>
                <w:szCs w:val="24"/>
              </w:rPr>
            </w:pPr>
            <w:r>
              <w:rPr>
                <w:rFonts w:hint="eastAsia" w:ascii="Times New Roman" w:hAnsi="Times New Roman" w:cs="Times New Roman"/>
                <w:bCs/>
                <w:kern w:val="0"/>
                <w:sz w:val="24"/>
                <w:szCs w:val="24"/>
              </w:rPr>
              <w:t>设备应为全新设备，不接受翻新设备。</w:t>
            </w:r>
          </w:p>
        </w:tc>
      </w:tr>
    </w:tbl>
    <w:p w14:paraId="4B062856">
      <w:pPr>
        <w:ind w:firstLine="0" w:firstLineChars="0"/>
        <w:rPr>
          <w:sz w:val="24"/>
          <w:szCs w:val="24"/>
        </w:rPr>
      </w:pPr>
    </w:p>
    <w:p w14:paraId="46465424">
      <w:pPr>
        <w:pStyle w:val="2"/>
        <w:numPr>
          <w:ilvl w:val="0"/>
          <w:numId w:val="2"/>
        </w:numPr>
        <w:jc w:val="both"/>
        <w:rPr>
          <w:rFonts w:ascii="Times New Roman" w:hAnsi="Times New Roman" w:eastAsia="宋体" w:cs="Times New Roman"/>
        </w:rPr>
      </w:pPr>
      <w:bookmarkStart w:id="11" w:name="_Toc234514193"/>
      <w:r>
        <w:rPr>
          <w:rFonts w:ascii="Times New Roman" w:hAnsi="Times New Roman" w:eastAsia="宋体" w:cs="Times New Roman"/>
        </w:rPr>
        <w:t>安装技术条件</w:t>
      </w:r>
      <w:bookmarkEnd w:id="11"/>
    </w:p>
    <w:p w14:paraId="1316CE4F">
      <w:pPr>
        <w:widowControl w:val="0"/>
        <w:adjustRightInd w:val="0"/>
        <w:snapToGrid w:val="0"/>
        <w:spacing w:before="156" w:beforeLines="50" w:after="156" w:afterLines="50"/>
        <w:ind w:firstLine="0" w:firstLineChars="0"/>
        <w:jc w:val="both"/>
        <w:outlineLvl w:val="1"/>
        <w:rPr>
          <w:rFonts w:ascii="宋体" w:hAnsi="宋体" w:eastAsia="宋体" w:cs="Times New Roman"/>
          <w:bCs/>
          <w:sz w:val="30"/>
          <w:szCs w:val="24"/>
        </w:rPr>
      </w:pPr>
      <w:bookmarkStart w:id="12" w:name="_Toc234514194"/>
      <w:r>
        <w:rPr>
          <w:rFonts w:ascii="Times New Roman" w:hAnsi="Times New Roman" w:eastAsia="黑体" w:cs="Times New Roman"/>
          <w:bCs/>
          <w:sz w:val="30"/>
          <w:szCs w:val="24"/>
        </w:rPr>
        <w:t>6</w:t>
      </w:r>
      <w:r>
        <w:rPr>
          <w:rFonts w:hint="eastAsia" w:ascii="Times New Roman" w:hAnsi="Times New Roman" w:eastAsia="黑体" w:cs="Times New Roman"/>
          <w:bCs/>
          <w:sz w:val="30"/>
          <w:szCs w:val="24"/>
        </w:rPr>
        <w:t>.1</w:t>
      </w:r>
      <w:r>
        <w:rPr>
          <w:rFonts w:ascii="Times New Roman" w:hAnsi="Times New Roman" w:eastAsia="黑体" w:cs="Times New Roman"/>
          <w:bCs/>
          <w:sz w:val="30"/>
          <w:szCs w:val="24"/>
        </w:rPr>
        <w:t xml:space="preserve"> </w:t>
      </w:r>
      <w:r>
        <w:rPr>
          <w:rFonts w:hint="eastAsia" w:ascii="宋体" w:hAnsi="宋体" w:eastAsia="宋体" w:cs="Times New Roman"/>
          <w:bCs/>
          <w:sz w:val="30"/>
          <w:szCs w:val="24"/>
        </w:rPr>
        <w:t>安装地点</w:t>
      </w:r>
      <w:bookmarkEnd w:id="12"/>
    </w:p>
    <w:p w14:paraId="6CF56F62">
      <w:pPr>
        <w:spacing w:line="560" w:lineRule="exact"/>
        <w:ind w:firstLine="560"/>
        <w:jc w:val="both"/>
        <w:rPr>
          <w:rFonts w:ascii="Times New Roman" w:hAnsi="Times New Roman"/>
        </w:rPr>
      </w:pPr>
      <w:r>
        <w:rPr>
          <w:rFonts w:hint="eastAsia" w:ascii="Times New Roman" w:hAnsi="Times New Roman"/>
        </w:rPr>
        <w:t>清华大学项目现场。</w:t>
      </w:r>
    </w:p>
    <w:p w14:paraId="1EBEF5C5">
      <w:pPr>
        <w:widowControl w:val="0"/>
        <w:adjustRightInd w:val="0"/>
        <w:snapToGrid w:val="0"/>
        <w:spacing w:before="156" w:beforeLines="50" w:after="156" w:afterLines="50"/>
        <w:ind w:firstLine="0" w:firstLineChars="0"/>
        <w:jc w:val="both"/>
        <w:outlineLvl w:val="1"/>
        <w:rPr>
          <w:rFonts w:ascii="宋体" w:hAnsi="宋体" w:eastAsia="宋体" w:cs="Times New Roman"/>
          <w:bCs/>
          <w:sz w:val="30"/>
          <w:szCs w:val="24"/>
        </w:rPr>
      </w:pPr>
      <w:bookmarkStart w:id="13" w:name="_Toc234514195"/>
      <w:r>
        <w:rPr>
          <w:rFonts w:ascii="Times New Roman" w:hAnsi="Times New Roman" w:eastAsia="黑体" w:cs="Times New Roman"/>
          <w:bCs/>
          <w:sz w:val="30"/>
          <w:szCs w:val="24"/>
        </w:rPr>
        <w:t xml:space="preserve">6.2 </w:t>
      </w:r>
      <w:r>
        <w:rPr>
          <w:rFonts w:hint="eastAsia" w:ascii="宋体" w:hAnsi="宋体" w:eastAsia="宋体" w:cs="Times New Roman"/>
          <w:bCs/>
          <w:sz w:val="30"/>
          <w:szCs w:val="24"/>
        </w:rPr>
        <w:t>运输条件</w:t>
      </w:r>
      <w:bookmarkEnd w:id="13"/>
    </w:p>
    <w:p w14:paraId="1EE74116">
      <w:pPr>
        <w:spacing w:line="560" w:lineRule="exact"/>
        <w:ind w:firstLine="560"/>
        <w:jc w:val="both"/>
        <w:rPr>
          <w:rFonts w:ascii="Times New Roman" w:hAnsi="Times New Roman" w:cs="Times New Roman"/>
        </w:rPr>
      </w:pPr>
      <w:r>
        <w:rPr>
          <w:rFonts w:ascii="Times New Roman" w:hAnsi="Times New Roman" w:cs="Times New Roman"/>
        </w:rPr>
        <w:t>1、乙方应自行选择适宜的运输工具及线路安排合同货物运输。</w:t>
      </w:r>
    </w:p>
    <w:p w14:paraId="28B8BD83">
      <w:pPr>
        <w:spacing w:line="560" w:lineRule="exact"/>
        <w:ind w:firstLine="560"/>
        <w:jc w:val="both"/>
        <w:rPr>
          <w:rFonts w:ascii="Times New Roman" w:hAnsi="Times New Roman" w:cs="Times New Roman"/>
        </w:rPr>
      </w:pPr>
      <w:r>
        <w:rPr>
          <w:rFonts w:ascii="Times New Roman" w:hAnsi="Times New Roman" w:cs="Times New Roman"/>
        </w:rPr>
        <w:t>2、除本合同另有约定或经甲方书面同意外，每件能够独立运行的设备应整套装运。该货物安装、调试、考核和运行所使用的备品、备件、易损易耗件等应随相关的主机一齐装运。</w:t>
      </w:r>
    </w:p>
    <w:p w14:paraId="524B203B">
      <w:pPr>
        <w:spacing w:line="560" w:lineRule="exact"/>
        <w:ind w:firstLine="560"/>
        <w:jc w:val="both"/>
        <w:rPr>
          <w:rFonts w:ascii="Times New Roman" w:hAnsi="Times New Roman" w:cs="Times New Roman"/>
        </w:rPr>
      </w:pPr>
      <w:r>
        <w:rPr>
          <w:rFonts w:ascii="Times New Roman" w:hAnsi="Times New Roman" w:cs="Times New Roman"/>
        </w:rPr>
        <w:t>3、乙方在合同货物预计起运</w:t>
      </w:r>
      <w:r>
        <w:rPr>
          <w:rFonts w:hint="eastAsia" w:ascii="Times New Roman" w:hAnsi="Times New Roman" w:cs="Times New Roman"/>
        </w:rPr>
        <w:t>7</w:t>
      </w:r>
      <w:r>
        <w:rPr>
          <w:rFonts w:ascii="Times New Roman" w:hAnsi="Times New Roman" w:cs="Times New Roman"/>
        </w:rPr>
        <w:t>日前，将合同货物名称、数量、箱数、总毛重、总体积（立方米）、尺寸（长×宽×高）、装运合同货物总金额、运输方式、预计交付日期和合同货物在运输、装卸、保管中的注意事项等预通知甲方，并在合同货物起运后及时通知甲方。</w:t>
      </w:r>
    </w:p>
    <w:p w14:paraId="272068E0">
      <w:pPr>
        <w:spacing w:line="560" w:lineRule="exact"/>
        <w:ind w:firstLine="560"/>
        <w:jc w:val="both"/>
        <w:rPr>
          <w:rFonts w:ascii="Times New Roman" w:hAnsi="Times New Roman" w:cs="Times New Roman"/>
        </w:rPr>
      </w:pPr>
      <w:r>
        <w:rPr>
          <w:rFonts w:ascii="Times New Roman" w:hAnsi="Times New Roman" w:cs="Times New Roman"/>
        </w:rPr>
        <w:t>4、如果合同货物属于超大超重包装，则乙方应将超大和（或）超重的每个包装箱的重量和尺寸通知甲方；如果发运合同货物含有易燃易爆物品、腐蚀物品、放射性物质等危险品，则危险品的品名、性质、在运输、装卸、保管方面的特殊要求、注意事项和处理意外情况的方法等，也应一并通知甲方。</w:t>
      </w:r>
    </w:p>
    <w:p w14:paraId="2164335E">
      <w:pPr>
        <w:pStyle w:val="2"/>
        <w:numPr>
          <w:ilvl w:val="0"/>
          <w:numId w:val="2"/>
        </w:numPr>
        <w:jc w:val="both"/>
        <w:rPr>
          <w:rFonts w:ascii="Times New Roman" w:hAnsi="Times New Roman" w:eastAsia="宋体" w:cs="Times New Roman"/>
        </w:rPr>
      </w:pPr>
      <w:bookmarkStart w:id="14" w:name="_Toc234514196"/>
      <w:r>
        <w:rPr>
          <w:rFonts w:ascii="Times New Roman" w:hAnsi="Times New Roman" w:eastAsia="宋体" w:cs="Times New Roman"/>
        </w:rPr>
        <w:t>备品备件、专用工具和仪器仪表清单</w:t>
      </w:r>
      <w:bookmarkEnd w:id="14"/>
    </w:p>
    <w:p w14:paraId="2CE631D7">
      <w:pPr>
        <w:ind w:firstLine="560"/>
        <w:jc w:val="both"/>
        <w:rPr>
          <w:rFonts w:ascii="Times New Roman" w:hAnsi="Times New Roman" w:cs="Times New Roman"/>
        </w:rPr>
      </w:pPr>
      <w:r>
        <w:rPr>
          <w:rFonts w:hint="eastAsia" w:ascii="Times New Roman" w:hAnsi="Times New Roman" w:cs="Times New Roman"/>
        </w:rPr>
        <w:t>供应商</w:t>
      </w:r>
      <w:r>
        <w:rPr>
          <w:rFonts w:ascii="Times New Roman" w:hAnsi="Times New Roman" w:cs="Times New Roman"/>
        </w:rPr>
        <w:t>提供设备关键配件、备品备件清单，条目包括但不限于物料编码、名称、型号、单项报价（为日后的配件采购提供参考依据，不计入投标总价）。如有专用件（仅设备投标方才能提供的配件），需要特别注明。</w:t>
      </w:r>
    </w:p>
    <w:p w14:paraId="1612D415">
      <w:pPr>
        <w:pStyle w:val="2"/>
        <w:numPr>
          <w:ilvl w:val="0"/>
          <w:numId w:val="2"/>
        </w:numPr>
        <w:jc w:val="both"/>
        <w:rPr>
          <w:rFonts w:ascii="Times New Roman" w:hAnsi="Times New Roman" w:eastAsia="宋体" w:cs="Times New Roman"/>
        </w:rPr>
      </w:pPr>
      <w:bookmarkStart w:id="15" w:name="_Toc234514197"/>
      <w:r>
        <w:rPr>
          <w:rFonts w:ascii="Times New Roman" w:hAnsi="Times New Roman" w:eastAsia="宋体" w:cs="Times New Roman"/>
        </w:rPr>
        <w:t>有关耗材的说明</w:t>
      </w:r>
      <w:bookmarkEnd w:id="15"/>
    </w:p>
    <w:p w14:paraId="6B5EEE56">
      <w:pPr>
        <w:ind w:firstLine="560"/>
        <w:jc w:val="both"/>
        <w:rPr>
          <w:rFonts w:ascii="Times New Roman" w:hAnsi="Times New Roman" w:cs="Times New Roman"/>
        </w:rPr>
      </w:pPr>
      <w:r>
        <w:rPr>
          <w:rFonts w:hint="eastAsia" w:ascii="Times New Roman" w:hAnsi="Times New Roman" w:cs="Times New Roman"/>
        </w:rPr>
        <w:t>供应商提供设备耗材清单，条目包括但不限于物料编码、名称、型号、单项报价（为日后的耗材采购提供参考依据，不计入投标总价）。</w:t>
      </w:r>
    </w:p>
    <w:p w14:paraId="33EA48BD">
      <w:pPr>
        <w:pStyle w:val="2"/>
        <w:numPr>
          <w:ilvl w:val="0"/>
          <w:numId w:val="2"/>
        </w:numPr>
        <w:jc w:val="both"/>
        <w:rPr>
          <w:rFonts w:ascii="Times New Roman" w:hAnsi="Times New Roman" w:eastAsia="宋体"/>
        </w:rPr>
      </w:pPr>
      <w:bookmarkStart w:id="16" w:name="_Toc234514198"/>
      <w:r>
        <w:rPr>
          <w:rFonts w:hint="eastAsia" w:ascii="Times New Roman" w:hAnsi="Times New Roman" w:eastAsia="宋体"/>
        </w:rPr>
        <w:t>有关安全、质量、环境保护的说明</w:t>
      </w:r>
      <w:bookmarkEnd w:id="16"/>
    </w:p>
    <w:p w14:paraId="3DF538ED">
      <w:pPr>
        <w:widowControl w:val="0"/>
        <w:adjustRightInd w:val="0"/>
        <w:snapToGrid w:val="0"/>
        <w:spacing w:before="156" w:beforeLines="50" w:after="156" w:afterLines="50"/>
        <w:ind w:firstLine="0" w:firstLineChars="0"/>
        <w:jc w:val="both"/>
        <w:outlineLvl w:val="1"/>
        <w:rPr>
          <w:rFonts w:ascii="Times New Roman" w:hAnsi="Times New Roman" w:eastAsia="宋体" w:cs="Times New Roman"/>
          <w:bCs/>
          <w:sz w:val="30"/>
          <w:szCs w:val="24"/>
        </w:rPr>
      </w:pPr>
      <w:bookmarkStart w:id="17" w:name="_Toc2008753526"/>
      <w:bookmarkStart w:id="18" w:name="_Toc234514199"/>
      <w:r>
        <w:rPr>
          <w:rFonts w:ascii="Times New Roman" w:hAnsi="Times New Roman" w:eastAsia="黑体" w:cs="Times New Roman"/>
          <w:bCs/>
          <w:sz w:val="30"/>
          <w:szCs w:val="24"/>
        </w:rPr>
        <w:t>9.1</w:t>
      </w:r>
      <w:r>
        <w:rPr>
          <w:rFonts w:ascii="Times New Roman" w:hAnsi="Times New Roman" w:eastAsia="宋体" w:cs="Times New Roman"/>
          <w:bCs/>
          <w:sz w:val="30"/>
          <w:szCs w:val="24"/>
        </w:rPr>
        <w:t>使用的危化材料</w:t>
      </w:r>
      <w:bookmarkEnd w:id="17"/>
      <w:bookmarkEnd w:id="18"/>
    </w:p>
    <w:p w14:paraId="0395B3C5">
      <w:pPr>
        <w:spacing w:line="560" w:lineRule="exact"/>
        <w:ind w:firstLine="560"/>
        <w:jc w:val="both"/>
        <w:rPr>
          <w:rFonts w:ascii="Times New Roman" w:hAnsi="Times New Roman" w:cs="Times New Roman"/>
        </w:rPr>
      </w:pPr>
      <w:r>
        <w:rPr>
          <w:rFonts w:ascii="Times New Roman" w:hAnsi="Times New Roman" w:cs="Times New Roman"/>
        </w:rPr>
        <w:t>无。</w:t>
      </w:r>
    </w:p>
    <w:p w14:paraId="211E2D9D">
      <w:pPr>
        <w:widowControl w:val="0"/>
        <w:adjustRightInd w:val="0"/>
        <w:snapToGrid w:val="0"/>
        <w:spacing w:before="156" w:beforeLines="50" w:after="156" w:afterLines="50"/>
        <w:ind w:firstLine="0" w:firstLineChars="0"/>
        <w:jc w:val="both"/>
        <w:outlineLvl w:val="1"/>
        <w:rPr>
          <w:rFonts w:ascii="Times New Roman" w:hAnsi="Times New Roman" w:eastAsia="宋体" w:cs="Times New Roman"/>
          <w:bCs/>
          <w:sz w:val="30"/>
          <w:szCs w:val="24"/>
        </w:rPr>
      </w:pPr>
      <w:bookmarkStart w:id="19" w:name="_Toc234514200"/>
      <w:bookmarkStart w:id="20" w:name="_Toc530096995"/>
      <w:r>
        <w:rPr>
          <w:rFonts w:ascii="Times New Roman" w:hAnsi="Times New Roman" w:eastAsia="黑体" w:cs="Times New Roman"/>
          <w:bCs/>
          <w:sz w:val="30"/>
          <w:szCs w:val="24"/>
        </w:rPr>
        <w:t>9.2</w:t>
      </w:r>
      <w:r>
        <w:rPr>
          <w:rFonts w:ascii="Times New Roman" w:hAnsi="Times New Roman" w:eastAsia="宋体" w:cs="Times New Roman"/>
          <w:bCs/>
          <w:sz w:val="30"/>
          <w:szCs w:val="24"/>
        </w:rPr>
        <w:t>加工过程中的危化排放</w:t>
      </w:r>
      <w:bookmarkEnd w:id="19"/>
      <w:bookmarkEnd w:id="20"/>
    </w:p>
    <w:p w14:paraId="1DC8977C">
      <w:pPr>
        <w:spacing w:line="560" w:lineRule="exact"/>
        <w:ind w:firstLine="560"/>
        <w:jc w:val="both"/>
        <w:rPr>
          <w:rFonts w:ascii="Times New Roman" w:hAnsi="Times New Roman" w:cs="Times New Roman"/>
        </w:rPr>
      </w:pPr>
      <w:r>
        <w:rPr>
          <w:rFonts w:ascii="Times New Roman" w:hAnsi="Times New Roman" w:cs="Times New Roman"/>
        </w:rPr>
        <w:t>无。</w:t>
      </w:r>
    </w:p>
    <w:p w14:paraId="33683369">
      <w:pPr>
        <w:pStyle w:val="2"/>
        <w:numPr>
          <w:ilvl w:val="0"/>
          <w:numId w:val="2"/>
        </w:numPr>
        <w:jc w:val="both"/>
        <w:rPr>
          <w:rFonts w:ascii="Times New Roman" w:hAnsi="Times New Roman" w:eastAsia="宋体" w:cs="Times New Roman"/>
        </w:rPr>
      </w:pPr>
      <w:bookmarkStart w:id="21" w:name="_Toc234514201"/>
      <w:r>
        <w:rPr>
          <w:rFonts w:ascii="Times New Roman" w:hAnsi="Times New Roman" w:eastAsia="宋体" w:cs="Times New Roman"/>
        </w:rPr>
        <w:t>检验、试验和验收</w:t>
      </w:r>
      <w:bookmarkEnd w:id="21"/>
    </w:p>
    <w:tbl>
      <w:tblPr>
        <w:tblStyle w:val="21"/>
        <w:tblpPr w:leftFromText="180" w:rightFromText="180" w:vertAnchor="text" w:horzAnchor="page" w:tblpX="1844" w:tblpY="293"/>
        <w:tblOverlap w:val="never"/>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4536"/>
        <w:gridCol w:w="3402"/>
      </w:tblGrid>
      <w:tr w14:paraId="56FA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709" w:type="dxa"/>
            <w:vAlign w:val="center"/>
          </w:tcPr>
          <w:p w14:paraId="3F8901EF">
            <w:pPr>
              <w:ind w:firstLine="0" w:firstLineChars="0"/>
              <w:jc w:val="center"/>
              <w:rPr>
                <w:rFonts w:ascii="Times New Roman" w:hAnsi="Times New Roman" w:cs="Times New Roman"/>
                <w:sz w:val="24"/>
              </w:rPr>
            </w:pPr>
            <w:r>
              <w:rPr>
                <w:rFonts w:ascii="Times New Roman" w:hAnsi="Times New Roman" w:cs="Times New Roman"/>
                <w:sz w:val="24"/>
              </w:rPr>
              <w:t>验收方式</w:t>
            </w:r>
          </w:p>
        </w:tc>
        <w:tc>
          <w:tcPr>
            <w:tcW w:w="7938" w:type="dxa"/>
            <w:gridSpan w:val="2"/>
            <w:vAlign w:val="bottom"/>
          </w:tcPr>
          <w:p w14:paraId="061C0FE9">
            <w:pPr>
              <w:spacing w:line="360" w:lineRule="auto"/>
              <w:ind w:firstLine="0" w:firstLineChars="0"/>
              <w:rPr>
                <w:rFonts w:ascii="Times New Roman" w:hAnsi="Times New Roman" w:cs="Times New Roman"/>
                <w:sz w:val="24"/>
              </w:rPr>
            </w:pPr>
            <w:r>
              <w:rPr>
                <w:rFonts w:ascii="Times New Roman" w:hAnsi="Times New Roman" w:cs="Times New Roman"/>
                <w:sz w:val="24"/>
              </w:rPr>
              <w:t>可采用一种验收方式或多种验收方式相结合：</w:t>
            </w:r>
          </w:p>
          <w:p w14:paraId="7D9B0833">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52"/>
            </w:r>
            <w:r>
              <w:rPr>
                <w:rFonts w:ascii="Times New Roman" w:hAnsi="Times New Roman" w:cs="Times New Roman"/>
                <w:sz w:val="24"/>
              </w:rPr>
              <w:t>采购人自行验收</w:t>
            </w:r>
          </w:p>
          <w:p w14:paraId="3F969353">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A3"/>
            </w:r>
            <w:r>
              <w:rPr>
                <w:rFonts w:ascii="Times New Roman" w:hAnsi="Times New Roman" w:cs="Times New Roman"/>
                <w:sz w:val="24"/>
              </w:rPr>
              <w:t>组织专家参与验收</w:t>
            </w:r>
          </w:p>
          <w:p w14:paraId="0E9EA84E">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A3"/>
            </w:r>
            <w:r>
              <w:rPr>
                <w:rFonts w:ascii="Times New Roman" w:hAnsi="Times New Roman" w:cs="Times New Roman"/>
                <w:sz w:val="24"/>
              </w:rPr>
              <w:t>委托采购代理机构验收</w:t>
            </w:r>
          </w:p>
          <w:p w14:paraId="77AB60F2">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A3"/>
            </w:r>
            <w:r>
              <w:rPr>
                <w:rFonts w:ascii="Times New Roman" w:hAnsi="Times New Roman" w:cs="Times New Roman"/>
                <w:sz w:val="24"/>
              </w:rPr>
              <w:t>邀请第三方专业机构验收</w:t>
            </w:r>
          </w:p>
          <w:p w14:paraId="04B30EFE">
            <w:pPr>
              <w:spacing w:line="360" w:lineRule="auto"/>
              <w:ind w:firstLine="0" w:firstLineChars="0"/>
              <w:rPr>
                <w:rFonts w:ascii="Times New Roman" w:hAnsi="Times New Roman" w:cs="Times New Roman"/>
                <w:sz w:val="24"/>
              </w:rPr>
            </w:pPr>
            <w:r>
              <w:rPr>
                <w:rFonts w:ascii="Times New Roman" w:hAnsi="Times New Roman" w:cs="Times New Roman"/>
                <w:color w:val="0D0D0D"/>
                <w:sz w:val="24"/>
              </w:rPr>
              <w:sym w:font="Wingdings 2" w:char="00A3"/>
            </w:r>
            <w:r>
              <w:rPr>
                <w:rFonts w:ascii="Times New Roman" w:hAnsi="Times New Roman" w:cs="Times New Roman"/>
                <w:sz w:val="24"/>
              </w:rPr>
              <w:t>邀请未中标供应商验收</w:t>
            </w:r>
          </w:p>
          <w:p w14:paraId="6452C91D">
            <w:pPr>
              <w:spacing w:line="360" w:lineRule="auto"/>
              <w:ind w:firstLine="0" w:firstLineChars="0"/>
              <w:rPr>
                <w:rFonts w:ascii="Times New Roman" w:hAnsi="Times New Roman" w:cs="Times New Roman"/>
                <w:sz w:val="24"/>
                <w:u w:val="single"/>
              </w:rPr>
            </w:pPr>
            <w:r>
              <w:rPr>
                <w:rFonts w:ascii="Times New Roman" w:hAnsi="Times New Roman" w:cs="Times New Roman"/>
                <w:color w:val="0D0D0D"/>
                <w:sz w:val="24"/>
              </w:rPr>
              <w:sym w:font="Wingdings 2" w:char="00A3"/>
            </w:r>
            <w:r>
              <w:rPr>
                <w:rFonts w:ascii="Times New Roman" w:hAnsi="Times New Roman" w:cs="Times New Roman"/>
                <w:sz w:val="24"/>
              </w:rPr>
              <w:t>其他方式：</w:t>
            </w:r>
          </w:p>
        </w:tc>
      </w:tr>
      <w:tr w14:paraId="0DCA8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5AD470E5">
            <w:pPr>
              <w:ind w:firstLine="0" w:firstLineChars="0"/>
              <w:jc w:val="center"/>
              <w:rPr>
                <w:rFonts w:ascii="Times New Roman" w:hAnsi="Times New Roman" w:cs="Times New Roman"/>
                <w:sz w:val="24"/>
              </w:rPr>
            </w:pPr>
            <w:r>
              <w:rPr>
                <w:rFonts w:ascii="Times New Roman" w:hAnsi="Times New Roman" w:cs="Times New Roman"/>
                <w:sz w:val="24"/>
              </w:rPr>
              <w:t>序号</w:t>
            </w:r>
          </w:p>
        </w:tc>
        <w:tc>
          <w:tcPr>
            <w:tcW w:w="4536" w:type="dxa"/>
            <w:vAlign w:val="center"/>
          </w:tcPr>
          <w:p w14:paraId="22FBEF57">
            <w:pPr>
              <w:ind w:firstLine="0" w:firstLineChars="0"/>
              <w:jc w:val="center"/>
              <w:rPr>
                <w:rFonts w:ascii="Times New Roman" w:hAnsi="Times New Roman" w:cs="Times New Roman"/>
                <w:sz w:val="24"/>
              </w:rPr>
            </w:pPr>
            <w:r>
              <w:rPr>
                <w:rFonts w:ascii="Times New Roman" w:hAnsi="Times New Roman" w:cs="Times New Roman"/>
                <w:sz w:val="24"/>
              </w:rPr>
              <w:t>验收内容</w:t>
            </w:r>
          </w:p>
        </w:tc>
        <w:tc>
          <w:tcPr>
            <w:tcW w:w="3402" w:type="dxa"/>
            <w:vAlign w:val="center"/>
          </w:tcPr>
          <w:p w14:paraId="36199088">
            <w:pPr>
              <w:ind w:firstLine="0" w:firstLineChars="0"/>
              <w:jc w:val="center"/>
              <w:rPr>
                <w:rFonts w:ascii="Times New Roman" w:hAnsi="Times New Roman" w:cs="Times New Roman"/>
                <w:sz w:val="24"/>
              </w:rPr>
            </w:pPr>
            <w:r>
              <w:rPr>
                <w:rFonts w:ascii="Times New Roman" w:hAnsi="Times New Roman" w:cs="Times New Roman"/>
                <w:sz w:val="24"/>
              </w:rPr>
              <w:t>验收标准</w:t>
            </w:r>
          </w:p>
        </w:tc>
      </w:tr>
      <w:tr w14:paraId="2E81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2D97A9B5">
            <w:pPr>
              <w:ind w:firstLine="0" w:firstLineChars="0"/>
              <w:jc w:val="center"/>
              <w:rPr>
                <w:rFonts w:ascii="Times New Roman" w:hAnsi="Times New Roman" w:cs="Times New Roman"/>
                <w:sz w:val="24"/>
              </w:rPr>
            </w:pPr>
            <w:r>
              <w:rPr>
                <w:rFonts w:ascii="Times New Roman" w:hAnsi="Times New Roman" w:cs="Times New Roman"/>
                <w:sz w:val="24"/>
              </w:rPr>
              <w:t>1</w:t>
            </w:r>
          </w:p>
        </w:tc>
        <w:tc>
          <w:tcPr>
            <w:tcW w:w="4536" w:type="dxa"/>
            <w:vAlign w:val="center"/>
          </w:tcPr>
          <w:p w14:paraId="2E56553A">
            <w:pPr>
              <w:ind w:firstLine="0" w:firstLineChars="0"/>
              <w:rPr>
                <w:rFonts w:ascii="Times New Roman" w:hAnsi="Times New Roman" w:cs="Times New Roman"/>
                <w:sz w:val="24"/>
              </w:rPr>
            </w:pPr>
            <w:r>
              <w:rPr>
                <w:rFonts w:ascii="Times New Roman" w:hAnsi="Times New Roman" w:cs="Times New Roman"/>
                <w:sz w:val="24"/>
              </w:rPr>
              <w:t>外观检查。</w:t>
            </w:r>
          </w:p>
        </w:tc>
        <w:tc>
          <w:tcPr>
            <w:tcW w:w="3402" w:type="dxa"/>
            <w:vAlign w:val="center"/>
          </w:tcPr>
          <w:p w14:paraId="41106F0E">
            <w:pPr>
              <w:ind w:firstLine="0" w:firstLineChars="0"/>
              <w:rPr>
                <w:rFonts w:ascii="Times New Roman" w:hAnsi="Times New Roman" w:cs="Times New Roman"/>
                <w:sz w:val="24"/>
              </w:rPr>
            </w:pPr>
            <w:r>
              <w:rPr>
                <w:rFonts w:ascii="Times New Roman" w:hAnsi="Times New Roman" w:cs="Times New Roman"/>
                <w:sz w:val="24"/>
              </w:rPr>
              <w:t>整体布局、外形、</w:t>
            </w:r>
            <w:r>
              <w:rPr>
                <w:rFonts w:hint="eastAsia" w:ascii="Times New Roman" w:hAnsi="Times New Roman" w:cs="Times New Roman"/>
                <w:sz w:val="24"/>
              </w:rPr>
              <w:t>线路布设</w:t>
            </w:r>
            <w:r>
              <w:rPr>
                <w:rFonts w:ascii="Times New Roman" w:hAnsi="Times New Roman" w:cs="Times New Roman"/>
                <w:sz w:val="24"/>
              </w:rPr>
              <w:t>等美观合理。</w:t>
            </w:r>
          </w:p>
        </w:tc>
      </w:tr>
      <w:tr w14:paraId="0AF3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32C8AB39">
            <w:pPr>
              <w:ind w:firstLine="0" w:firstLineChars="0"/>
              <w:jc w:val="center"/>
              <w:rPr>
                <w:rFonts w:ascii="Times New Roman" w:hAnsi="Times New Roman" w:cs="Times New Roman"/>
                <w:sz w:val="24"/>
              </w:rPr>
            </w:pPr>
            <w:r>
              <w:rPr>
                <w:rFonts w:ascii="Times New Roman" w:hAnsi="Times New Roman" w:cs="Times New Roman"/>
                <w:sz w:val="24"/>
              </w:rPr>
              <w:t>2</w:t>
            </w:r>
          </w:p>
        </w:tc>
        <w:tc>
          <w:tcPr>
            <w:tcW w:w="4536" w:type="dxa"/>
            <w:vAlign w:val="center"/>
          </w:tcPr>
          <w:p w14:paraId="575D87AA">
            <w:pPr>
              <w:ind w:firstLine="0" w:firstLineChars="0"/>
              <w:rPr>
                <w:rFonts w:ascii="Times New Roman" w:hAnsi="Times New Roman" w:cs="Times New Roman"/>
                <w:sz w:val="24"/>
              </w:rPr>
            </w:pPr>
            <w:r>
              <w:rPr>
                <w:rFonts w:ascii="Times New Roman" w:hAnsi="Times New Roman" w:cs="Times New Roman"/>
                <w:sz w:val="24"/>
              </w:rPr>
              <w:t>技术资料验收。</w:t>
            </w:r>
          </w:p>
        </w:tc>
        <w:tc>
          <w:tcPr>
            <w:tcW w:w="3402" w:type="dxa"/>
            <w:vAlign w:val="center"/>
          </w:tcPr>
          <w:p w14:paraId="3A2A7C6B">
            <w:pPr>
              <w:ind w:firstLine="0" w:firstLineChars="0"/>
              <w:rPr>
                <w:rFonts w:ascii="Times New Roman" w:hAnsi="Times New Roman" w:cs="Times New Roman"/>
                <w:sz w:val="24"/>
              </w:rPr>
            </w:pPr>
            <w:r>
              <w:rPr>
                <w:rFonts w:ascii="Times New Roman" w:hAnsi="Times New Roman" w:cs="Times New Roman"/>
                <w:sz w:val="24"/>
              </w:rPr>
              <w:t>查看技术资料是否齐全，内容是否符合相关标准。</w:t>
            </w:r>
          </w:p>
        </w:tc>
      </w:tr>
      <w:tr w14:paraId="0807E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4B8F687C">
            <w:pPr>
              <w:ind w:firstLine="0" w:firstLineChars="0"/>
              <w:jc w:val="center"/>
              <w:rPr>
                <w:rFonts w:ascii="Times New Roman" w:hAnsi="Times New Roman" w:cs="Times New Roman"/>
                <w:sz w:val="24"/>
              </w:rPr>
            </w:pPr>
            <w:r>
              <w:rPr>
                <w:rFonts w:hint="eastAsia" w:ascii="Times New Roman" w:hAnsi="Times New Roman" w:cs="Times New Roman"/>
                <w:sz w:val="24"/>
              </w:rPr>
              <w:t>3</w:t>
            </w:r>
          </w:p>
        </w:tc>
        <w:tc>
          <w:tcPr>
            <w:tcW w:w="4536" w:type="dxa"/>
            <w:vAlign w:val="center"/>
          </w:tcPr>
          <w:p w14:paraId="57A84D4A">
            <w:pPr>
              <w:ind w:firstLine="0" w:firstLineChars="0"/>
              <w:rPr>
                <w:rFonts w:ascii="Times New Roman" w:hAnsi="Times New Roman" w:cs="Times New Roman"/>
                <w:sz w:val="24"/>
              </w:rPr>
            </w:pPr>
            <w:r>
              <w:rPr>
                <w:rFonts w:ascii="Times New Roman" w:hAnsi="Times New Roman" w:cs="Times New Roman"/>
                <w:sz w:val="24"/>
              </w:rPr>
              <w:t>设备</w:t>
            </w:r>
            <w:r>
              <w:rPr>
                <w:rFonts w:hint="eastAsia" w:ascii="Times New Roman" w:hAnsi="Times New Roman" w:cs="Times New Roman"/>
                <w:sz w:val="24"/>
              </w:rPr>
              <w:t>试</w:t>
            </w:r>
            <w:r>
              <w:rPr>
                <w:rFonts w:ascii="Times New Roman" w:hAnsi="Times New Roman" w:cs="Times New Roman"/>
                <w:sz w:val="24"/>
              </w:rPr>
              <w:t>运行的稳定性。</w:t>
            </w:r>
          </w:p>
        </w:tc>
        <w:tc>
          <w:tcPr>
            <w:tcW w:w="3402" w:type="dxa"/>
            <w:vAlign w:val="center"/>
          </w:tcPr>
          <w:p w14:paraId="6EA9ED77">
            <w:pPr>
              <w:pStyle w:val="16"/>
              <w:shd w:val="clear" w:color="auto" w:fill="FFFFFF"/>
              <w:spacing w:before="0" w:beforeAutospacing="0" w:after="0" w:afterAutospacing="0"/>
              <w:jc w:val="both"/>
              <w:rPr>
                <w:rFonts w:ascii="Times New Roman" w:hAnsi="Times New Roman" w:eastAsia="仿宋_GB2312" w:cs="Times New Roman"/>
                <w:kern w:val="2"/>
                <w:szCs w:val="28"/>
              </w:rPr>
            </w:pPr>
            <w:r>
              <w:rPr>
                <w:rFonts w:ascii="Times New Roman" w:hAnsi="Times New Roman" w:eastAsia="仿宋_GB2312" w:cs="Times New Roman"/>
                <w:kern w:val="2"/>
                <w:szCs w:val="28"/>
              </w:rPr>
              <w:t>设备运行</w:t>
            </w:r>
            <w:r>
              <w:rPr>
                <w:rFonts w:hint="eastAsia" w:ascii="Times New Roman" w:hAnsi="Times New Roman" w:eastAsia="仿宋_GB2312" w:cs="Times New Roman"/>
                <w:kern w:val="2"/>
                <w:szCs w:val="28"/>
              </w:rPr>
              <w:t>无故障或者报警（</w:t>
            </w:r>
            <w:r>
              <w:rPr>
                <w:rFonts w:ascii="Times New Roman" w:hAnsi="Times New Roman" w:eastAsia="仿宋_GB2312" w:cs="Times New Roman"/>
                <w:kern w:val="2"/>
                <w:szCs w:val="28"/>
              </w:rPr>
              <w:t>合同签订时与招标方确认）。</w:t>
            </w:r>
          </w:p>
        </w:tc>
      </w:tr>
      <w:tr w14:paraId="110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329252A9">
            <w:pPr>
              <w:ind w:firstLine="0" w:firstLineChars="0"/>
              <w:jc w:val="center"/>
              <w:rPr>
                <w:rFonts w:ascii="Times New Roman" w:hAnsi="Times New Roman" w:cs="Times New Roman"/>
                <w:sz w:val="24"/>
              </w:rPr>
            </w:pPr>
            <w:r>
              <w:rPr>
                <w:rFonts w:hint="eastAsia" w:ascii="Times New Roman" w:hAnsi="Times New Roman" w:cs="Times New Roman"/>
                <w:sz w:val="24"/>
              </w:rPr>
              <w:t>4</w:t>
            </w:r>
          </w:p>
        </w:tc>
        <w:tc>
          <w:tcPr>
            <w:tcW w:w="4536" w:type="dxa"/>
            <w:vAlign w:val="center"/>
          </w:tcPr>
          <w:p w14:paraId="3279FE5A">
            <w:pPr>
              <w:ind w:firstLine="0" w:firstLineChars="0"/>
              <w:rPr>
                <w:rFonts w:ascii="Times New Roman" w:hAnsi="Times New Roman" w:cs="Times New Roman"/>
                <w:sz w:val="24"/>
                <w:szCs w:val="24"/>
              </w:rPr>
            </w:pPr>
            <w:r>
              <w:rPr>
                <w:rFonts w:ascii="Times New Roman" w:hAnsi="Times New Roman" w:cs="Times New Roman"/>
                <w:sz w:val="24"/>
                <w:szCs w:val="24"/>
              </w:rPr>
              <w:t>设备技术规格。</w:t>
            </w:r>
          </w:p>
        </w:tc>
        <w:tc>
          <w:tcPr>
            <w:tcW w:w="3402" w:type="dxa"/>
            <w:vAlign w:val="center"/>
          </w:tcPr>
          <w:p w14:paraId="0D1F9E30">
            <w:pPr>
              <w:pStyle w:val="16"/>
              <w:shd w:val="clear" w:color="auto" w:fill="FFFFFF"/>
              <w:spacing w:before="0" w:beforeAutospacing="0" w:after="0" w:afterAutospacing="0"/>
              <w:jc w:val="both"/>
              <w:rPr>
                <w:rFonts w:ascii="Times New Roman" w:hAnsi="Times New Roman" w:eastAsia="仿宋_GB2312" w:cs="Times New Roman"/>
                <w:kern w:val="2"/>
                <w:szCs w:val="28"/>
              </w:rPr>
            </w:pPr>
            <w:r>
              <w:rPr>
                <w:rFonts w:ascii="Times New Roman" w:hAnsi="Times New Roman" w:eastAsia="仿宋_GB2312" w:cs="Times New Roman"/>
                <w:kern w:val="2"/>
                <w:szCs w:val="28"/>
              </w:rPr>
              <w:t>按照合同进行符合性验收。</w:t>
            </w:r>
          </w:p>
        </w:tc>
      </w:tr>
      <w:tr w14:paraId="2181F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09" w:type="dxa"/>
            <w:vAlign w:val="center"/>
          </w:tcPr>
          <w:p w14:paraId="6B7BB308">
            <w:pPr>
              <w:ind w:firstLine="0" w:firstLineChars="0"/>
              <w:jc w:val="center"/>
              <w:rPr>
                <w:rFonts w:ascii="Times New Roman" w:hAnsi="Times New Roman" w:cs="Times New Roman"/>
                <w:sz w:val="24"/>
              </w:rPr>
            </w:pPr>
            <w:r>
              <w:rPr>
                <w:rFonts w:hint="eastAsia" w:ascii="Times New Roman" w:hAnsi="Times New Roman" w:cs="Times New Roman"/>
                <w:sz w:val="24"/>
              </w:rPr>
              <w:t>5</w:t>
            </w:r>
          </w:p>
        </w:tc>
        <w:tc>
          <w:tcPr>
            <w:tcW w:w="4536" w:type="dxa"/>
            <w:vAlign w:val="center"/>
          </w:tcPr>
          <w:p w14:paraId="039036BE">
            <w:pPr>
              <w:ind w:firstLine="0" w:firstLineChars="0"/>
              <w:rPr>
                <w:rFonts w:ascii="Times New Roman" w:hAnsi="Times New Roman" w:cs="Times New Roman"/>
                <w:sz w:val="24"/>
                <w:szCs w:val="24"/>
              </w:rPr>
            </w:pPr>
            <w:r>
              <w:rPr>
                <w:rFonts w:ascii="Times New Roman" w:hAnsi="Times New Roman" w:cs="Times New Roman"/>
                <w:sz w:val="24"/>
                <w:szCs w:val="24"/>
              </w:rPr>
              <w:t>验收报告。</w:t>
            </w:r>
          </w:p>
        </w:tc>
        <w:tc>
          <w:tcPr>
            <w:tcW w:w="3402" w:type="dxa"/>
            <w:vAlign w:val="center"/>
          </w:tcPr>
          <w:p w14:paraId="4E90BBD0">
            <w:pPr>
              <w:pStyle w:val="16"/>
              <w:shd w:val="clear" w:color="auto" w:fill="FFFFFF"/>
              <w:spacing w:before="0" w:beforeAutospacing="0" w:after="0" w:afterAutospacing="0"/>
              <w:jc w:val="both"/>
              <w:rPr>
                <w:rFonts w:ascii="Times New Roman" w:hAnsi="Times New Roman" w:eastAsia="仿宋_GB2312" w:cs="Times New Roman"/>
                <w:kern w:val="2"/>
                <w:szCs w:val="28"/>
              </w:rPr>
            </w:pPr>
            <w:r>
              <w:rPr>
                <w:rFonts w:ascii="Times New Roman" w:hAnsi="Times New Roman" w:eastAsia="仿宋_GB2312" w:cs="Times New Roman"/>
                <w:kern w:val="2"/>
                <w:szCs w:val="28"/>
              </w:rPr>
              <w:t>设备各项技术指标满足</w:t>
            </w:r>
            <w:r>
              <w:rPr>
                <w:rFonts w:hint="eastAsia" w:ascii="Times New Roman" w:hAnsi="Times New Roman" w:eastAsia="仿宋_GB2312" w:cs="Times New Roman"/>
                <w:kern w:val="2"/>
                <w:szCs w:val="28"/>
              </w:rPr>
              <w:t>合同要求</w:t>
            </w:r>
            <w:r>
              <w:rPr>
                <w:rFonts w:ascii="Times New Roman" w:hAnsi="Times New Roman" w:eastAsia="仿宋_GB2312" w:cs="Times New Roman"/>
                <w:kern w:val="2"/>
                <w:szCs w:val="28"/>
              </w:rPr>
              <w:t>，双方签署最终验收报告。</w:t>
            </w:r>
          </w:p>
        </w:tc>
      </w:tr>
    </w:tbl>
    <w:p w14:paraId="129AF8CF">
      <w:pPr>
        <w:ind w:firstLine="0" w:firstLineChars="0"/>
      </w:pPr>
    </w:p>
    <w:p w14:paraId="5E47C85B">
      <w:pPr>
        <w:pStyle w:val="2"/>
        <w:numPr>
          <w:ilvl w:val="0"/>
          <w:numId w:val="2"/>
        </w:numPr>
        <w:jc w:val="both"/>
        <w:rPr>
          <w:rFonts w:ascii="Times New Roman" w:hAnsi="Times New Roman" w:eastAsia="宋体" w:cs="Times New Roman"/>
        </w:rPr>
      </w:pPr>
      <w:bookmarkStart w:id="22" w:name="_Toc234514202"/>
      <w:r>
        <w:rPr>
          <w:rFonts w:hint="eastAsia" w:ascii="Times New Roman" w:hAnsi="Times New Roman" w:eastAsia="宋体" w:cs="Times New Roman"/>
        </w:rPr>
        <w:t>图纸</w:t>
      </w:r>
      <w:bookmarkEnd w:id="22"/>
    </w:p>
    <w:p w14:paraId="02DE3CE1">
      <w:pPr>
        <w:ind w:firstLine="560"/>
      </w:pPr>
      <w:r>
        <w:rPr>
          <w:rFonts w:hint="eastAsia" w:ascii="Times New Roman" w:hAnsi="Times New Roman" w:cs="Times New Roman"/>
        </w:rPr>
        <w:t>供应商</w:t>
      </w:r>
      <w:r>
        <w:rPr>
          <w:rFonts w:ascii="Times New Roman" w:hAnsi="Times New Roman" w:cs="Times New Roman"/>
        </w:rPr>
        <w:t>提供设备结构图、安装图、电气图等。</w:t>
      </w:r>
    </w:p>
    <w:p w14:paraId="22D233D8">
      <w:pPr>
        <w:pStyle w:val="2"/>
        <w:numPr>
          <w:ilvl w:val="0"/>
          <w:numId w:val="2"/>
        </w:numPr>
        <w:jc w:val="both"/>
        <w:rPr>
          <w:rFonts w:ascii="Times New Roman" w:hAnsi="Times New Roman" w:eastAsia="宋体" w:cs="Times New Roman"/>
        </w:rPr>
      </w:pPr>
      <w:bookmarkStart w:id="23" w:name="_Toc234514203"/>
      <w:r>
        <w:rPr>
          <w:rFonts w:ascii="Times New Roman" w:hAnsi="Times New Roman" w:eastAsia="宋体" w:cs="Times New Roman"/>
        </w:rPr>
        <w:t>产品交付技术文件清单（合格证、检测报告等）</w:t>
      </w:r>
      <w:bookmarkEnd w:id="23"/>
    </w:p>
    <w:p w14:paraId="751BB079">
      <w:pPr>
        <w:spacing w:line="560" w:lineRule="exact"/>
        <w:ind w:firstLine="560"/>
        <w:jc w:val="both"/>
        <w:rPr>
          <w:rFonts w:ascii="Times New Roman" w:hAnsi="Times New Roman" w:cs="Times New Roman"/>
        </w:rPr>
      </w:pPr>
      <w:r>
        <w:rPr>
          <w:rFonts w:hint="eastAsia" w:ascii="Times New Roman" w:hAnsi="Times New Roman" w:cs="Times New Roman"/>
          <w:lang w:val="zh-CN"/>
        </w:rPr>
        <w:t>供应商应</w:t>
      </w:r>
      <w:r>
        <w:rPr>
          <w:rFonts w:ascii="Times New Roman" w:hAnsi="Times New Roman" w:cs="Times New Roman"/>
          <w:lang w:val="zh-CN"/>
        </w:rPr>
        <w:t>根据项目进度向</w:t>
      </w:r>
      <w:r>
        <w:rPr>
          <w:rFonts w:hint="eastAsia" w:ascii="Times New Roman" w:hAnsi="Times New Roman" w:cs="Times New Roman"/>
          <w:lang w:val="zh-CN"/>
        </w:rPr>
        <w:t>采购人</w:t>
      </w:r>
      <w:r>
        <w:rPr>
          <w:rFonts w:ascii="Times New Roman" w:hAnsi="Times New Roman" w:cs="Times New Roman"/>
          <w:lang w:val="zh-CN"/>
        </w:rPr>
        <w:t>提供包含但不限于以下资料：</w:t>
      </w:r>
    </w:p>
    <w:p w14:paraId="424DFBFB">
      <w:pPr>
        <w:spacing w:line="560" w:lineRule="exact"/>
        <w:ind w:firstLine="560"/>
        <w:jc w:val="both"/>
        <w:rPr>
          <w:rFonts w:ascii="Times New Roman" w:hAnsi="Times New Roman" w:cs="Times New Roman"/>
        </w:rPr>
      </w:pPr>
      <w:r>
        <w:rPr>
          <w:rFonts w:hint="eastAsia" w:ascii="Times New Roman" w:hAnsi="Times New Roman" w:cs="Times New Roman"/>
        </w:rPr>
        <w:t>1</w:t>
      </w:r>
      <w:r>
        <w:rPr>
          <w:rFonts w:hint="eastAsia" w:ascii="Times New Roman" w:hAnsi="Times New Roman" w:cs="Times New Roman"/>
          <w:lang w:val="zh-CN"/>
        </w:rPr>
        <w:t>、</w:t>
      </w:r>
      <w:r>
        <w:rPr>
          <w:rFonts w:ascii="Times New Roman" w:hAnsi="Times New Roman" w:cs="Times New Roman"/>
        </w:rPr>
        <w:t>提供电子版一套和纸质版两套（其中一套用无尘纸装订）的设备操作说明书和维护说明书，限用中文或英文书写；</w:t>
      </w:r>
    </w:p>
    <w:p w14:paraId="44C8A6EC">
      <w:pPr>
        <w:spacing w:line="560" w:lineRule="exact"/>
        <w:ind w:firstLine="560"/>
        <w:jc w:val="both"/>
        <w:rPr>
          <w:rFonts w:ascii="Times New Roman" w:hAnsi="Times New Roman" w:cs="Times New Roman"/>
        </w:rPr>
      </w:pPr>
      <w:r>
        <w:rPr>
          <w:rFonts w:hint="eastAsia" w:ascii="Times New Roman" w:hAnsi="Times New Roman" w:cs="Times New Roman"/>
        </w:rPr>
        <w:t>2</w:t>
      </w:r>
      <w:r>
        <w:rPr>
          <w:rFonts w:hint="eastAsia" w:ascii="Times New Roman" w:hAnsi="Times New Roman" w:cs="Times New Roman"/>
          <w:lang w:val="zh-CN"/>
        </w:rPr>
        <w:t>、</w:t>
      </w:r>
      <w:r>
        <w:rPr>
          <w:rFonts w:ascii="Times New Roman" w:hAnsi="Times New Roman" w:cs="Times New Roman"/>
        </w:rPr>
        <w:t>技术文件应包含设备易损件及其他需要定期进行维护的设备部件的更换周期及维护方法。</w:t>
      </w:r>
    </w:p>
    <w:p w14:paraId="60B8844C">
      <w:pPr>
        <w:spacing w:line="560" w:lineRule="exact"/>
        <w:ind w:firstLine="560"/>
        <w:jc w:val="both"/>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提供出厂实验报告</w:t>
      </w:r>
      <w:r>
        <w:rPr>
          <w:rFonts w:hint="eastAsia" w:ascii="Times New Roman" w:hAnsi="Times New Roman" w:cs="Times New Roman"/>
        </w:rPr>
        <w:t>或者检验证书</w:t>
      </w:r>
      <w:r>
        <w:rPr>
          <w:rFonts w:ascii="Times New Roman" w:hAnsi="Times New Roman" w:cs="Times New Roman"/>
        </w:rPr>
        <w:t>。</w:t>
      </w:r>
    </w:p>
    <w:p w14:paraId="21B84C46">
      <w:pPr>
        <w:spacing w:line="560" w:lineRule="exact"/>
        <w:ind w:firstLine="560"/>
        <w:jc w:val="both"/>
        <w:rPr>
          <w:rFonts w:ascii="Times New Roman" w:hAnsi="Times New Roman" w:cs="Times New Roman"/>
          <w:lang w:val="zh-CN"/>
        </w:rPr>
      </w:pPr>
      <w:r>
        <w:rPr>
          <w:rFonts w:ascii="Times New Roman" w:hAnsi="Times New Roman" w:cs="Times New Roman"/>
          <w:lang w:val="zh-CN"/>
        </w:rPr>
        <w:t>以及其他</w:t>
      </w:r>
      <w:r>
        <w:rPr>
          <w:rFonts w:hint="eastAsia" w:ascii="Times New Roman" w:hAnsi="Times New Roman" w:cs="Times New Roman"/>
          <w:lang w:val="zh-CN"/>
        </w:rPr>
        <w:t>采购人</w:t>
      </w:r>
      <w:r>
        <w:rPr>
          <w:rFonts w:ascii="Times New Roman" w:hAnsi="Times New Roman" w:cs="Times New Roman"/>
          <w:lang w:val="zh-CN"/>
        </w:rPr>
        <w:t>认为</w:t>
      </w:r>
      <w:r>
        <w:rPr>
          <w:rFonts w:hint="eastAsia" w:ascii="Times New Roman" w:hAnsi="Times New Roman" w:cs="Times New Roman"/>
          <w:lang w:val="zh-CN"/>
        </w:rPr>
        <w:t>供应商</w:t>
      </w:r>
      <w:r>
        <w:rPr>
          <w:rFonts w:ascii="Times New Roman" w:hAnsi="Times New Roman" w:cs="Times New Roman"/>
          <w:lang w:val="zh-CN"/>
        </w:rPr>
        <w:t>有义务提供的交付成果，以满足</w:t>
      </w:r>
      <w:r>
        <w:rPr>
          <w:rFonts w:hint="eastAsia" w:ascii="Times New Roman" w:hAnsi="Times New Roman" w:cs="Times New Roman"/>
          <w:lang w:val="zh-CN"/>
        </w:rPr>
        <w:t>采购人</w:t>
      </w:r>
      <w:r>
        <w:rPr>
          <w:rFonts w:ascii="Times New Roman" w:hAnsi="Times New Roman" w:cs="Times New Roman"/>
          <w:lang w:val="zh-CN"/>
        </w:rPr>
        <w:t>档案归档管理和上级单位的审计要求。</w:t>
      </w:r>
    </w:p>
    <w:p w14:paraId="3652EC27">
      <w:pPr>
        <w:pStyle w:val="2"/>
        <w:numPr>
          <w:ilvl w:val="0"/>
          <w:numId w:val="2"/>
        </w:numPr>
        <w:jc w:val="both"/>
        <w:rPr>
          <w:rFonts w:ascii="Times New Roman" w:hAnsi="Times New Roman" w:eastAsia="宋体" w:cs="Times New Roman"/>
        </w:rPr>
      </w:pPr>
      <w:bookmarkStart w:id="24" w:name="_Toc234514204"/>
      <w:r>
        <w:rPr>
          <w:rFonts w:ascii="Times New Roman" w:hAnsi="Times New Roman" w:eastAsia="宋体" w:cs="Times New Roman"/>
        </w:rPr>
        <w:t>厂家提供的服务</w:t>
      </w:r>
      <w:bookmarkEnd w:id="24"/>
    </w:p>
    <w:p w14:paraId="263A5C07">
      <w:pPr>
        <w:widowControl w:val="0"/>
        <w:adjustRightInd w:val="0"/>
        <w:snapToGrid w:val="0"/>
        <w:spacing w:before="156" w:beforeLines="50" w:after="156" w:afterLines="50"/>
        <w:ind w:firstLine="0" w:firstLineChars="0"/>
        <w:jc w:val="both"/>
        <w:outlineLvl w:val="1"/>
        <w:rPr>
          <w:rFonts w:ascii="Times New Roman" w:hAnsi="Times New Roman" w:eastAsia="宋体" w:cs="Times New Roman"/>
          <w:bCs/>
          <w:sz w:val="30"/>
          <w:szCs w:val="24"/>
        </w:rPr>
      </w:pPr>
      <w:bookmarkStart w:id="25" w:name="_Toc234514205"/>
      <w:r>
        <w:rPr>
          <w:rFonts w:hint="eastAsia" w:ascii="Times New Roman" w:hAnsi="Times New Roman" w:eastAsia="宋体" w:cs="Times New Roman"/>
          <w:bCs/>
          <w:sz w:val="30"/>
          <w:szCs w:val="24"/>
        </w:rPr>
        <w:t>1</w:t>
      </w:r>
      <w:r>
        <w:rPr>
          <w:rFonts w:ascii="Times New Roman" w:hAnsi="Times New Roman" w:eastAsia="宋体" w:cs="Times New Roman"/>
          <w:bCs/>
          <w:sz w:val="30"/>
          <w:szCs w:val="24"/>
        </w:rPr>
        <w:t xml:space="preserve">3.1 </w:t>
      </w:r>
      <w:r>
        <w:rPr>
          <w:rFonts w:hint="eastAsia" w:ascii="Times New Roman" w:hAnsi="Times New Roman" w:eastAsia="宋体" w:cs="Times New Roman"/>
          <w:bCs/>
          <w:sz w:val="30"/>
          <w:szCs w:val="24"/>
        </w:rPr>
        <w:t>售后服务</w:t>
      </w:r>
      <w:bookmarkEnd w:id="25"/>
    </w:p>
    <w:p w14:paraId="27E93370">
      <w:pPr>
        <w:spacing w:line="560" w:lineRule="exact"/>
        <w:ind w:firstLine="560"/>
        <w:jc w:val="both"/>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合同货物整体质量保证期为验收合格之日起</w:t>
      </w:r>
      <w:r>
        <w:rPr>
          <w:rFonts w:ascii="Times New Roman" w:hAnsi="Times New Roman" w:cs="Times New Roman"/>
          <w:u w:val="single"/>
        </w:rPr>
        <w:t xml:space="preserve"> </w:t>
      </w:r>
      <w:r>
        <w:rPr>
          <w:rFonts w:hint="eastAsia" w:ascii="Times New Roman" w:hAnsi="Times New Roman" w:cs="Times New Roman"/>
          <w:u w:val="single"/>
        </w:rPr>
        <w:t>36</w:t>
      </w:r>
      <w:r>
        <w:rPr>
          <w:rFonts w:ascii="Times New Roman" w:hAnsi="Times New Roman" w:cs="Times New Roman"/>
          <w:u w:val="single"/>
        </w:rPr>
        <w:t xml:space="preserve"> </w:t>
      </w:r>
      <w:r>
        <w:rPr>
          <w:rFonts w:ascii="Times New Roman" w:hAnsi="Times New Roman" w:cs="Times New Roman"/>
        </w:rPr>
        <w:t>个月。如果对合同货物中关键部件的质量保证期有特殊要求的，双方可以在补充条款中约定。</w:t>
      </w:r>
    </w:p>
    <w:p w14:paraId="386720B0">
      <w:pPr>
        <w:spacing w:line="560" w:lineRule="exact"/>
        <w:ind w:firstLine="560"/>
        <w:jc w:val="both"/>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仪器到达采购人项目现场前，供</w:t>
      </w:r>
      <w:r>
        <w:rPr>
          <w:rFonts w:hint="eastAsia" w:ascii="Times New Roman" w:hAnsi="Times New Roman" w:cs="Times New Roman"/>
        </w:rPr>
        <w:t>应商</w:t>
      </w:r>
      <w:r>
        <w:rPr>
          <w:rFonts w:ascii="Times New Roman" w:hAnsi="Times New Roman" w:cs="Times New Roman"/>
        </w:rPr>
        <w:t>提供安装前期准备书面通知，并协助采购人做好安装前准备。</w:t>
      </w:r>
    </w:p>
    <w:p w14:paraId="675DC0F9">
      <w:pPr>
        <w:spacing w:line="560" w:lineRule="exact"/>
        <w:ind w:firstLine="560"/>
        <w:jc w:val="both"/>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到货后免费由</w:t>
      </w:r>
      <w:r>
        <w:rPr>
          <w:rFonts w:hint="eastAsia" w:ascii="Times New Roman" w:hAnsi="Times New Roman" w:cs="Times New Roman"/>
        </w:rPr>
        <w:t>供应商供应商</w:t>
      </w:r>
      <w:r>
        <w:rPr>
          <w:rFonts w:ascii="Times New Roman" w:hAnsi="Times New Roman" w:cs="Times New Roman"/>
        </w:rPr>
        <w:t>的技术人员到现场进行安装调试。安装、调试及试运行后应达到承诺的技术指标。</w:t>
      </w:r>
    </w:p>
    <w:p w14:paraId="12C103C6">
      <w:pPr>
        <w:spacing w:line="560" w:lineRule="exact"/>
        <w:ind w:firstLine="560"/>
        <w:jc w:val="both"/>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在质量保证期内如合同货物出现故障，</w:t>
      </w:r>
      <w:r>
        <w:rPr>
          <w:rFonts w:hint="eastAsia" w:ascii="Times New Roman" w:hAnsi="Times New Roman" w:cs="Times New Roman"/>
        </w:rPr>
        <w:t>供应商供应商</w:t>
      </w:r>
      <w:r>
        <w:rPr>
          <w:rFonts w:ascii="Times New Roman" w:hAnsi="Times New Roman" w:cs="Times New Roman"/>
        </w:rPr>
        <w:t>应自负费用提供质量保证期服务，对相关合同货物进行修理或更换以消除故障。更换的货物和（或）关键部件的质量保证期应重新计算。</w:t>
      </w:r>
    </w:p>
    <w:p w14:paraId="11BA8B50">
      <w:pPr>
        <w:spacing w:line="560" w:lineRule="exact"/>
        <w:ind w:firstLine="560"/>
        <w:jc w:val="both"/>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供</w:t>
      </w:r>
      <w:r>
        <w:rPr>
          <w:rFonts w:hint="eastAsia" w:ascii="Times New Roman" w:hAnsi="Times New Roman" w:cs="Times New Roman"/>
        </w:rPr>
        <w:t>应商</w:t>
      </w:r>
      <w:r>
        <w:rPr>
          <w:rFonts w:ascii="Times New Roman" w:hAnsi="Times New Roman" w:cs="Times New Roman"/>
        </w:rPr>
        <w:t>应为质量保证期服务配备充足的技术人员、工具和备件并保证提供的联系方式畅通。</w:t>
      </w:r>
      <w:r>
        <w:rPr>
          <w:rFonts w:hint="eastAsia" w:ascii="Times New Roman" w:hAnsi="Times New Roman" w:cs="Times New Roman"/>
        </w:rPr>
        <w:t>供应商供应商</w:t>
      </w:r>
      <w:r>
        <w:rPr>
          <w:rFonts w:ascii="Times New Roman" w:hAnsi="Times New Roman" w:cs="Times New Roman"/>
        </w:rPr>
        <w:t>应在收到采购人通知后24小时内作出响应，如需</w:t>
      </w:r>
      <w:r>
        <w:rPr>
          <w:rFonts w:hint="eastAsia" w:ascii="Times New Roman" w:hAnsi="Times New Roman" w:cs="Times New Roman"/>
        </w:rPr>
        <w:t>供应商</w:t>
      </w:r>
      <w:r>
        <w:rPr>
          <w:rFonts w:ascii="Times New Roman" w:hAnsi="Times New Roman" w:cs="Times New Roman"/>
        </w:rPr>
        <w:t>供应商到合同货物现场，</w:t>
      </w:r>
      <w:r>
        <w:rPr>
          <w:rFonts w:hint="eastAsia" w:ascii="Times New Roman" w:hAnsi="Times New Roman" w:cs="Times New Roman"/>
        </w:rPr>
        <w:t>供应商</w:t>
      </w:r>
      <w:r>
        <w:rPr>
          <w:rFonts w:ascii="Times New Roman" w:hAnsi="Times New Roman" w:cs="Times New Roman"/>
        </w:rPr>
        <w:t>供应商应在收到采购人通知后48小时内到达，并在到达后7日内解决合同货物的故障（重大故障除外）。如果</w:t>
      </w:r>
      <w:r>
        <w:rPr>
          <w:rFonts w:hint="eastAsia" w:ascii="Times New Roman" w:hAnsi="Times New Roman" w:cs="Times New Roman"/>
        </w:rPr>
        <w:t>供应商</w:t>
      </w:r>
      <w:r>
        <w:rPr>
          <w:rFonts w:ascii="Times New Roman" w:hAnsi="Times New Roman" w:cs="Times New Roman"/>
        </w:rPr>
        <w:t>供应商未在上述时间内作出响应，则采购人有权自行或委托他人解决相关问题或查找和解决合同货物的故障，</w:t>
      </w:r>
      <w:r>
        <w:rPr>
          <w:rFonts w:hint="eastAsia" w:ascii="Times New Roman" w:hAnsi="Times New Roman" w:cs="Times New Roman"/>
        </w:rPr>
        <w:t>供应商</w:t>
      </w:r>
      <w:r>
        <w:rPr>
          <w:rFonts w:ascii="Times New Roman" w:hAnsi="Times New Roman" w:cs="Times New Roman"/>
        </w:rPr>
        <w:t>供应商应承担由此发生的全部费用。</w:t>
      </w:r>
    </w:p>
    <w:p w14:paraId="3C7F415F">
      <w:pPr>
        <w:spacing w:line="560" w:lineRule="exact"/>
        <w:ind w:firstLine="560"/>
        <w:jc w:val="both"/>
        <w:rPr>
          <w:rFonts w:ascii="Times New Roman" w:hAnsi="Times New Roman" w:cs="Times New Roman"/>
        </w:rPr>
      </w:pPr>
      <w:r>
        <w:rPr>
          <w:rFonts w:hint="eastAsia" w:ascii="Times New Roman" w:hAnsi="Times New Roman" w:cs="Times New Roman"/>
        </w:rPr>
        <w:t>6、供应商</w:t>
      </w:r>
      <w:r>
        <w:rPr>
          <w:rFonts w:ascii="Times New Roman" w:hAnsi="Times New Roman" w:cs="Times New Roman"/>
        </w:rPr>
        <w:t>供应商在质保期内应对设备进行定期巡检。</w:t>
      </w:r>
    </w:p>
    <w:p w14:paraId="78FBB406">
      <w:pPr>
        <w:spacing w:line="560" w:lineRule="exact"/>
        <w:ind w:firstLine="560"/>
        <w:jc w:val="both"/>
        <w:rPr>
          <w:rFonts w:ascii="Times New Roman" w:hAnsi="Times New Roman" w:cs="Times New Roman"/>
        </w:rPr>
      </w:pPr>
      <w:r>
        <w:rPr>
          <w:rFonts w:hint="eastAsia" w:ascii="Times New Roman" w:hAnsi="Times New Roman" w:cs="Times New Roman"/>
        </w:rPr>
        <w:t>7、</w:t>
      </w:r>
      <w:r>
        <w:rPr>
          <w:rFonts w:ascii="Times New Roman" w:hAnsi="Times New Roman" w:cs="Times New Roman"/>
        </w:rPr>
        <w:t>如</w:t>
      </w:r>
      <w:r>
        <w:rPr>
          <w:rFonts w:hint="eastAsia" w:ascii="Times New Roman" w:hAnsi="Times New Roman" w:cs="Times New Roman"/>
        </w:rPr>
        <w:t>供应商</w:t>
      </w:r>
      <w:r>
        <w:rPr>
          <w:rFonts w:ascii="Times New Roman" w:hAnsi="Times New Roman" w:cs="Times New Roman"/>
        </w:rPr>
        <w:t>供应商技术人员需到合同货物现场进行质量保证期服务，则供应商技术人员的交通、食宿等费用由供应商承担。供应商技术人员应遵守采购人现场的各项规章制度和安全操作规程，并服从采购人的现场管理。</w:t>
      </w:r>
    </w:p>
    <w:p w14:paraId="6B363433">
      <w:pPr>
        <w:spacing w:line="560" w:lineRule="exact"/>
        <w:ind w:firstLine="560"/>
        <w:jc w:val="both"/>
        <w:rPr>
          <w:rFonts w:ascii="Times New Roman" w:hAnsi="Times New Roman" w:cs="Times New Roman"/>
        </w:rPr>
      </w:pPr>
      <w:r>
        <w:rPr>
          <w:rFonts w:hint="eastAsia" w:ascii="Times New Roman" w:hAnsi="Times New Roman" w:cs="Times New Roman"/>
        </w:rPr>
        <w:t>8、</w:t>
      </w:r>
      <w:r>
        <w:rPr>
          <w:rFonts w:ascii="Times New Roman" w:hAnsi="Times New Roman" w:cs="Times New Roman"/>
        </w:rPr>
        <w:t>如果供应商的任何技术人员不合格，采购人有权要求供应商撤换，因撤换而产生的费用由供应商承担。</w:t>
      </w:r>
    </w:p>
    <w:p w14:paraId="197D89A2">
      <w:pPr>
        <w:spacing w:line="560" w:lineRule="exact"/>
        <w:ind w:firstLine="560"/>
        <w:jc w:val="both"/>
        <w:rPr>
          <w:rFonts w:ascii="Times New Roman" w:hAnsi="Times New Roman" w:cs="Times New Roman"/>
        </w:rPr>
      </w:pPr>
      <w:r>
        <w:rPr>
          <w:rFonts w:hint="eastAsia" w:ascii="Times New Roman" w:hAnsi="Times New Roman" w:cs="Times New Roman"/>
        </w:rPr>
        <w:t>9、</w:t>
      </w:r>
      <w:r>
        <w:rPr>
          <w:rFonts w:ascii="Times New Roman" w:hAnsi="Times New Roman" w:cs="Times New Roman"/>
        </w:rPr>
        <w:t>供应商在就合同货物现场进行质量保证期服务的情况进行记录，记载合同货物故障发生的时间、原因及解决情况等，由采购人签字确认，并在质量保证期结束后提交给采购人。</w:t>
      </w:r>
    </w:p>
    <w:p w14:paraId="0015BE22">
      <w:pPr>
        <w:spacing w:line="560" w:lineRule="exact"/>
        <w:ind w:firstLine="560"/>
        <w:jc w:val="both"/>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0</w:t>
      </w:r>
      <w:r>
        <w:rPr>
          <w:rFonts w:hint="eastAsia" w:ascii="Times New Roman" w:hAnsi="Times New Roman" w:cs="Times New Roman"/>
        </w:rPr>
        <w:t>、</w:t>
      </w:r>
      <w:r>
        <w:rPr>
          <w:rFonts w:ascii="Times New Roman" w:hAnsi="Times New Roman" w:cs="Times New Roman"/>
        </w:rPr>
        <w:t>质量保证期届满后，采购人应在7日内向供应商出具合同货物质量保证期届满证书。</w:t>
      </w:r>
    </w:p>
    <w:p w14:paraId="5D2BCD41">
      <w:pPr>
        <w:widowControl w:val="0"/>
        <w:adjustRightInd w:val="0"/>
        <w:snapToGrid w:val="0"/>
        <w:spacing w:before="156" w:beforeLines="50" w:after="156" w:afterLines="50"/>
        <w:ind w:firstLine="0" w:firstLineChars="0"/>
        <w:jc w:val="both"/>
        <w:outlineLvl w:val="1"/>
        <w:rPr>
          <w:rFonts w:ascii="Times New Roman" w:hAnsi="Times New Roman" w:eastAsia="宋体" w:cs="Times New Roman"/>
          <w:bCs/>
          <w:sz w:val="30"/>
          <w:szCs w:val="24"/>
        </w:rPr>
      </w:pPr>
      <w:bookmarkStart w:id="26" w:name="_Toc234514206"/>
      <w:r>
        <w:rPr>
          <w:rFonts w:hint="eastAsia" w:ascii="Times New Roman" w:hAnsi="Times New Roman" w:eastAsia="宋体" w:cs="Times New Roman"/>
          <w:bCs/>
          <w:sz w:val="30"/>
          <w:szCs w:val="24"/>
        </w:rPr>
        <w:t>1</w:t>
      </w:r>
      <w:r>
        <w:rPr>
          <w:rFonts w:ascii="Times New Roman" w:hAnsi="Times New Roman" w:eastAsia="宋体" w:cs="Times New Roman"/>
          <w:bCs/>
          <w:sz w:val="30"/>
          <w:szCs w:val="24"/>
        </w:rPr>
        <w:t xml:space="preserve">3.2 </w:t>
      </w:r>
      <w:r>
        <w:rPr>
          <w:rFonts w:hint="eastAsia" w:ascii="Times New Roman" w:hAnsi="Times New Roman" w:eastAsia="宋体" w:cs="Times New Roman"/>
          <w:bCs/>
          <w:sz w:val="30"/>
          <w:szCs w:val="24"/>
        </w:rPr>
        <w:t>驻场服务</w:t>
      </w:r>
      <w:bookmarkEnd w:id="26"/>
    </w:p>
    <w:p w14:paraId="746E2B93">
      <w:pPr>
        <w:ind w:firstLine="560"/>
        <w:rPr>
          <w:rFonts w:ascii="Times New Roman" w:hAnsi="Times New Roman" w:eastAsia="方正仿宋_GB2312" w:cs="Times New Roman"/>
        </w:rPr>
      </w:pPr>
      <w:r>
        <w:rPr>
          <w:rFonts w:hint="eastAsia" w:ascii="Times New Roman" w:hAnsi="Times New Roman" w:cs="Times New Roman"/>
        </w:rPr>
        <w:t>无</w:t>
      </w:r>
      <w:r>
        <w:rPr>
          <w:rFonts w:hint="eastAsia"/>
        </w:rPr>
        <w:t>。</w:t>
      </w:r>
    </w:p>
    <w:p w14:paraId="418AA2A2">
      <w:pPr>
        <w:widowControl w:val="0"/>
        <w:adjustRightInd w:val="0"/>
        <w:snapToGrid w:val="0"/>
        <w:spacing w:before="156" w:beforeLines="50" w:after="156" w:afterLines="50"/>
        <w:ind w:firstLine="0" w:firstLineChars="0"/>
        <w:jc w:val="both"/>
        <w:outlineLvl w:val="1"/>
        <w:rPr>
          <w:rFonts w:ascii="Times New Roman" w:hAnsi="Times New Roman" w:eastAsia="宋体" w:cs="Times New Roman"/>
          <w:bCs/>
          <w:sz w:val="30"/>
          <w:szCs w:val="24"/>
        </w:rPr>
      </w:pPr>
      <w:bookmarkStart w:id="27" w:name="_Toc234514207"/>
      <w:r>
        <w:rPr>
          <w:rFonts w:hint="eastAsia" w:ascii="Times New Roman" w:hAnsi="Times New Roman" w:eastAsia="宋体" w:cs="Times New Roman"/>
          <w:bCs/>
          <w:sz w:val="30"/>
          <w:szCs w:val="24"/>
        </w:rPr>
        <w:t>1</w:t>
      </w:r>
      <w:r>
        <w:rPr>
          <w:rFonts w:ascii="Times New Roman" w:hAnsi="Times New Roman" w:eastAsia="宋体" w:cs="Times New Roman"/>
          <w:bCs/>
          <w:sz w:val="30"/>
          <w:szCs w:val="24"/>
        </w:rPr>
        <w:t xml:space="preserve">3.3 </w:t>
      </w:r>
      <w:r>
        <w:rPr>
          <w:rFonts w:hint="eastAsia" w:ascii="Times New Roman" w:hAnsi="Times New Roman" w:eastAsia="宋体" w:cs="Times New Roman"/>
          <w:bCs/>
          <w:sz w:val="30"/>
          <w:szCs w:val="24"/>
        </w:rPr>
        <w:t>培训</w:t>
      </w:r>
      <w:bookmarkEnd w:id="27"/>
    </w:p>
    <w:p w14:paraId="7E8E00FB">
      <w:pPr>
        <w:spacing w:line="560" w:lineRule="exact"/>
        <w:ind w:firstLine="560"/>
        <w:jc w:val="both"/>
        <w:rPr>
          <w:rFonts w:ascii="Times New Roman" w:hAnsi="Times New Roman" w:cs="Times New Roman"/>
        </w:rPr>
      </w:pPr>
      <w:r>
        <w:rPr>
          <w:rFonts w:ascii="Times New Roman" w:hAnsi="Times New Roman" w:cs="Times New Roman"/>
        </w:rPr>
        <w:t>免费提供原厂技术人员对采购人的操作技术培训和相关技术资料。培训时间不少于</w:t>
      </w:r>
      <w:r>
        <w:rPr>
          <w:rFonts w:ascii="Times New Roman" w:hAnsi="Times New Roman" w:cs="Times New Roman"/>
          <w:u w:val="single"/>
        </w:rPr>
        <w:t xml:space="preserve"> </w:t>
      </w:r>
      <w:r>
        <w:rPr>
          <w:rFonts w:hint="eastAsia" w:ascii="Times New Roman" w:hAnsi="Times New Roman" w:cs="Times New Roman"/>
          <w:u w:val="single"/>
        </w:rPr>
        <w:t>5</w:t>
      </w:r>
      <w:r>
        <w:rPr>
          <w:rFonts w:ascii="Times New Roman" w:hAnsi="Times New Roman" w:cs="Times New Roman"/>
          <w:u w:val="single"/>
        </w:rPr>
        <w:t xml:space="preserve"> </w:t>
      </w:r>
      <w:r>
        <w:rPr>
          <w:rFonts w:ascii="Times New Roman" w:hAnsi="Times New Roman" w:cs="Times New Roman"/>
        </w:rPr>
        <w:t>天。</w:t>
      </w:r>
    </w:p>
    <w:p w14:paraId="28C89F1C">
      <w:pPr>
        <w:widowControl w:val="0"/>
        <w:adjustRightInd w:val="0"/>
        <w:snapToGrid w:val="0"/>
        <w:spacing w:before="156" w:beforeLines="50" w:after="156" w:afterLines="50"/>
        <w:ind w:firstLine="0" w:firstLineChars="0"/>
        <w:jc w:val="both"/>
        <w:outlineLvl w:val="1"/>
        <w:rPr>
          <w:rFonts w:ascii="Times New Roman" w:hAnsi="Times New Roman" w:eastAsia="宋体" w:cs="Times New Roman"/>
          <w:bCs/>
          <w:sz w:val="30"/>
          <w:szCs w:val="24"/>
        </w:rPr>
      </w:pPr>
      <w:bookmarkStart w:id="28" w:name="_Toc234514208"/>
      <w:r>
        <w:rPr>
          <w:rFonts w:hint="eastAsia" w:ascii="Times New Roman" w:hAnsi="Times New Roman" w:eastAsia="宋体" w:cs="Times New Roman"/>
          <w:bCs/>
          <w:sz w:val="30"/>
          <w:szCs w:val="24"/>
        </w:rPr>
        <w:t>1</w:t>
      </w:r>
      <w:r>
        <w:rPr>
          <w:rFonts w:ascii="Times New Roman" w:hAnsi="Times New Roman" w:eastAsia="宋体" w:cs="Times New Roman"/>
          <w:bCs/>
          <w:sz w:val="30"/>
          <w:szCs w:val="24"/>
        </w:rPr>
        <w:t xml:space="preserve">3.4 </w:t>
      </w:r>
      <w:r>
        <w:rPr>
          <w:rFonts w:hint="eastAsia" w:ascii="Times New Roman" w:hAnsi="Times New Roman" w:eastAsia="宋体" w:cs="Times New Roman"/>
          <w:bCs/>
          <w:sz w:val="30"/>
          <w:szCs w:val="24"/>
        </w:rPr>
        <w:t>软、硬件升级</w:t>
      </w:r>
      <w:bookmarkEnd w:id="28"/>
    </w:p>
    <w:p w14:paraId="338CCDD0">
      <w:pPr>
        <w:spacing w:line="560" w:lineRule="exact"/>
        <w:ind w:firstLine="0" w:firstLineChars="0"/>
        <w:jc w:val="both"/>
        <w:rPr>
          <w:rFonts w:ascii="Times New Roman" w:hAnsi="Times New Roman" w:cs="Times New Roman"/>
        </w:rPr>
      </w:pPr>
      <w:r>
        <w:rPr>
          <w:rFonts w:hint="eastAsia" w:ascii="Times New Roman" w:hAnsi="Times New Roman" w:cs="Times New Roman"/>
        </w:rPr>
        <w:t xml:space="preserve">   若有零部件出现故障，经权威部门鉴定属于寿命异常问题（明显短于该零部件正常寿命）时，则有中标人负责更换及维修。更换损坏部分以及硬件升级等只收取硬件成本费。</w:t>
      </w:r>
    </w:p>
    <w:p w14:paraId="3BC079D5">
      <w:pPr>
        <w:pStyle w:val="2"/>
        <w:numPr>
          <w:ilvl w:val="0"/>
          <w:numId w:val="2"/>
        </w:numPr>
        <w:jc w:val="both"/>
        <w:rPr>
          <w:rFonts w:ascii="Times New Roman" w:hAnsi="Times New Roman" w:eastAsia="宋体" w:cs="Times New Roman"/>
        </w:rPr>
      </w:pPr>
      <w:bookmarkStart w:id="29" w:name="_Toc234514209"/>
      <w:r>
        <w:rPr>
          <w:rFonts w:ascii="Times New Roman" w:hAnsi="Times New Roman" w:eastAsia="宋体" w:cs="Times New Roman"/>
        </w:rPr>
        <w:t>维护保养说明</w:t>
      </w:r>
      <w:bookmarkEnd w:id="29"/>
    </w:p>
    <w:p w14:paraId="620EAEFA">
      <w:pPr>
        <w:spacing w:line="560" w:lineRule="exact"/>
        <w:ind w:firstLine="560"/>
        <w:jc w:val="both"/>
        <w:rPr>
          <w:rFonts w:ascii="Times New Roman" w:hAnsi="Times New Roman"/>
        </w:rPr>
      </w:pPr>
      <w:r>
        <w:rPr>
          <w:rFonts w:ascii="Times New Roman" w:hAnsi="Times New Roman"/>
        </w:rPr>
        <w:t>1</w:t>
      </w:r>
      <w:r>
        <w:rPr>
          <w:rFonts w:hint="eastAsia" w:ascii="Times New Roman" w:hAnsi="Times New Roman"/>
        </w:rPr>
        <w:t>、</w:t>
      </w:r>
      <w:r>
        <w:rPr>
          <w:rFonts w:ascii="Times New Roman" w:hAnsi="Times New Roman"/>
        </w:rPr>
        <w:t xml:space="preserve"> 对设备中包含的所有软硬件提供</w:t>
      </w:r>
      <w:r>
        <w:rPr>
          <w:rFonts w:hint="eastAsia" w:ascii="Times New Roman" w:hAnsi="Times New Roman"/>
        </w:rPr>
        <w:t>3</w:t>
      </w:r>
      <w:r>
        <w:rPr>
          <w:rFonts w:ascii="Times New Roman" w:hAnsi="Times New Roman"/>
        </w:rPr>
        <w:t>年原厂维保服务，在质保期内，如因设备本身质量问题所引起的维修服务，由投标方负责, 投标方免费提供零配件(易损件除外)。如因用户人为因素所引起的设备维修服务，投标方以优惠价收取零配件费用。</w:t>
      </w:r>
    </w:p>
    <w:p w14:paraId="685B9B6A">
      <w:pPr>
        <w:spacing w:line="560" w:lineRule="exact"/>
        <w:ind w:firstLine="560"/>
        <w:jc w:val="both"/>
        <w:rPr>
          <w:rFonts w:ascii="Times New Roman" w:hAnsi="Times New Roman"/>
        </w:rPr>
      </w:pPr>
      <w:r>
        <w:rPr>
          <w:rFonts w:ascii="Times New Roman" w:hAnsi="Times New Roman"/>
        </w:rPr>
        <w:t>2</w:t>
      </w:r>
      <w:r>
        <w:rPr>
          <w:rFonts w:hint="eastAsia" w:ascii="Times New Roman" w:hAnsi="Times New Roman"/>
        </w:rPr>
        <w:t>、</w:t>
      </w:r>
      <w:r>
        <w:rPr>
          <w:rFonts w:ascii="Times New Roman" w:hAnsi="Times New Roman"/>
        </w:rPr>
        <w:t xml:space="preserve"> 投标方提供该设备的原厂定期维护及注意事项，维护保养说明。</w:t>
      </w:r>
    </w:p>
    <w:p w14:paraId="1D660F3F">
      <w:pPr>
        <w:spacing w:line="560" w:lineRule="exact"/>
        <w:ind w:firstLine="560"/>
        <w:jc w:val="both"/>
        <w:rPr>
          <w:rFonts w:ascii="Times New Roman" w:hAnsi="Times New Roman"/>
        </w:rPr>
      </w:pPr>
      <w:r>
        <w:rPr>
          <w:rFonts w:ascii="Times New Roman" w:hAnsi="Times New Roman"/>
        </w:rPr>
        <w:t>3</w:t>
      </w:r>
      <w:r>
        <w:rPr>
          <w:rFonts w:hint="eastAsia" w:ascii="Times New Roman" w:hAnsi="Times New Roman"/>
        </w:rPr>
        <w:t>、</w:t>
      </w:r>
      <w:r>
        <w:rPr>
          <w:rFonts w:ascii="Times New Roman" w:hAnsi="Times New Roman"/>
        </w:rPr>
        <w:t xml:space="preserve"> 质保期满前1个月内投标方应提供1次设备标准</w:t>
      </w:r>
      <w:r>
        <w:rPr>
          <w:rFonts w:hint="eastAsia" w:ascii="Times New Roman" w:hAnsi="Times New Roman"/>
        </w:rPr>
        <w:t>预防性保养</w:t>
      </w:r>
      <w:r>
        <w:rPr>
          <w:rFonts w:ascii="Times New Roman" w:hAnsi="Times New Roman"/>
        </w:rPr>
        <w:t>，维护后按合同签订的技术协议指标移交用户。</w:t>
      </w:r>
    </w:p>
    <w:p w14:paraId="6F63A047">
      <w:pPr>
        <w:spacing w:line="560" w:lineRule="exact"/>
        <w:ind w:firstLine="560"/>
        <w:jc w:val="both"/>
        <w:rPr>
          <w:rFonts w:ascii="Times New Roman" w:hAnsi="Times New Roman"/>
        </w:rPr>
      </w:pPr>
      <w:r>
        <w:rPr>
          <w:rFonts w:ascii="Times New Roman" w:hAnsi="Times New Roman"/>
        </w:rPr>
        <w:t>4</w:t>
      </w:r>
      <w:r>
        <w:rPr>
          <w:rFonts w:hint="eastAsia" w:ascii="Times New Roman" w:hAnsi="Times New Roman"/>
        </w:rPr>
        <w:t>、</w:t>
      </w:r>
      <w:r>
        <w:rPr>
          <w:rFonts w:ascii="Times New Roman" w:hAnsi="Times New Roman"/>
        </w:rPr>
        <w:t xml:space="preserve"> 投标方负责提供安装、调试、检验、培训等所必须用到的工具、耗材等（危险化学品除外）。</w:t>
      </w:r>
    </w:p>
    <w:p w14:paraId="5C08AD11">
      <w:pPr>
        <w:pStyle w:val="2"/>
        <w:numPr>
          <w:ilvl w:val="0"/>
          <w:numId w:val="2"/>
        </w:numPr>
        <w:jc w:val="both"/>
        <w:rPr>
          <w:rFonts w:ascii="Times New Roman" w:hAnsi="Times New Roman" w:eastAsia="宋体" w:cs="Times New Roman"/>
        </w:rPr>
      </w:pPr>
      <w:bookmarkStart w:id="30" w:name="_Toc234514210"/>
      <w:r>
        <w:rPr>
          <w:rFonts w:ascii="Times New Roman" w:hAnsi="Times New Roman" w:eastAsia="宋体" w:cs="Times New Roman"/>
        </w:rPr>
        <w:t>其他</w:t>
      </w:r>
      <w:bookmarkEnd w:id="30"/>
    </w:p>
    <w:p w14:paraId="53E446F5">
      <w:pPr>
        <w:spacing w:line="560" w:lineRule="exact"/>
        <w:ind w:firstLine="0" w:firstLineChars="0"/>
        <w:jc w:val="both"/>
      </w:pPr>
      <w:r>
        <w:rPr>
          <w:rFonts w:hint="eastAsia"/>
        </w:rPr>
        <w:t>无</w:t>
      </w:r>
    </w:p>
    <w:p w14:paraId="7783006A">
      <w:pPr>
        <w:ind w:firstLine="560"/>
      </w:pPr>
    </w:p>
    <w:sectPr>
      <w:footerReference r:id="rId17" w:type="default"/>
      <w:pgSz w:w="11906" w:h="16838"/>
      <w:pgMar w:top="1440" w:right="1800" w:bottom="1440" w:left="1800" w:header="851" w:footer="862" w:gutter="0"/>
      <w:paperSrc w:first="15" w:other="15"/>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8717EF7-A682-40C6-AA9E-5E4E509DAE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2" w:fontKey="{E005D3AA-FDDE-4EB6-A1DE-03684CE14895}"/>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C4B33A8A-B6FB-44B0-AAC9-8EE0EC42D2A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embedRegular r:id="rId4" w:fontKey="{DCAC1E08-DE66-4CFE-8A52-0BC8AD792B60}"/>
  </w:font>
  <w:font w:name="华文仿宋">
    <w:panose1 w:val="02010600040101010101"/>
    <w:charset w:val="86"/>
    <w:family w:val="auto"/>
    <w:pitch w:val="default"/>
    <w:sig w:usb0="00000287" w:usb1="080F0000" w:usb2="00000000" w:usb3="00000000" w:csb0="0004009F" w:csb1="DFD70000"/>
  </w:font>
  <w:font w:name="CKIJGQ+Times-Bold">
    <w:altName w:val="微软雅黑"/>
    <w:panose1 w:val="00000000000000000000"/>
    <w:charset w:val="86"/>
    <w:family w:val="swiss"/>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embedRegular r:id="rId5" w:fontKey="{5F757EB1-2056-456E-BA19-1A87A4C5D814}"/>
  </w:font>
  <w:font w:name="楷体">
    <w:panose1 w:val="02010609060101010101"/>
    <w:charset w:val="86"/>
    <w:family w:val="modern"/>
    <w:pitch w:val="default"/>
    <w:sig w:usb0="800002BF" w:usb1="38CF7CFA" w:usb2="00000016" w:usb3="00000000" w:csb0="00040001" w:csb1="00000000"/>
    <w:embedRegular r:id="rId6" w:fontKey="{AEA94652-1B85-4FC8-8305-260C510CEC45}"/>
  </w:font>
  <w:font w:name="Segoe UI Symbol">
    <w:panose1 w:val="020B0502040204020203"/>
    <w:charset w:val="00"/>
    <w:family w:val="swiss"/>
    <w:pitch w:val="default"/>
    <w:sig w:usb0="800001E3" w:usb1="1200FFEF" w:usb2="00040000" w:usb3="04000000" w:csb0="00000001" w:csb1="40000000"/>
    <w:embedRegular r:id="rId7" w:fontKey="{DC763332-7498-4D76-9563-BCF1F953635D}"/>
  </w:font>
  <w:font w:name="楷体_GB2312">
    <w:panose1 w:val="02010609030101010101"/>
    <w:charset w:val="86"/>
    <w:family w:val="modern"/>
    <w:pitch w:val="default"/>
    <w:sig w:usb0="00000001" w:usb1="080E0000" w:usb2="00000000" w:usb3="00000000" w:csb0="00040000" w:csb1="00000000"/>
    <w:embedRegular r:id="rId8" w:fontKey="{EEE6ADB6-3BA7-4C0A-A580-D39E55E1E0FA}"/>
  </w:font>
  <w:font w:name="Wingdings 2">
    <w:panose1 w:val="05020102010507070707"/>
    <w:charset w:val="02"/>
    <w:family w:val="roman"/>
    <w:pitch w:val="default"/>
    <w:sig w:usb0="00000000" w:usb1="00000000" w:usb2="00000000" w:usb3="00000000" w:csb0="80000000" w:csb1="00000000"/>
    <w:embedRegular r:id="rId9" w:fontKey="{9EDD548E-FC80-447B-80AE-FE72123B0093}"/>
  </w:font>
  <w:font w:name="方正仿宋_GB2312">
    <w:altName w:val="微软雅黑"/>
    <w:panose1 w:val="00000000000000000000"/>
    <w:charset w:val="86"/>
    <w:family w:val="auto"/>
    <w:pitch w:val="default"/>
    <w:sig w:usb0="00000000" w:usb1="00000000" w:usb2="00000012" w:usb3="00000000" w:csb0="00040001" w:csb1="00000000"/>
    <w:embedRegular r:id="rId10" w:fontKey="{2CB7507B-A15E-4DB1-9DD6-AB4957A01D5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107C9">
    <w:pPr>
      <w:pStyle w:val="12"/>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7472F">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811BC">
    <w:pPr>
      <w:pStyle w:val="1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9D27B">
    <w:pPr>
      <w:pStyle w:val="12"/>
      <w:ind w:firstLine="360"/>
      <w:jc w:val="center"/>
    </w:pPr>
  </w:p>
  <w:p w14:paraId="59EC8DA7">
    <w:pPr>
      <w:pStyle w:val="12"/>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685D5">
    <w:pPr>
      <w:pStyle w:val="12"/>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5291D">
    <w:pPr>
      <w:pStyle w:val="12"/>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8590762"/>
    </w:sdtPr>
    <w:sdtEndPr>
      <w:rPr>
        <w:sz w:val="24"/>
        <w:szCs w:val="24"/>
      </w:rPr>
    </w:sdtEndPr>
    <w:sdtContent>
      <w:p w14:paraId="52536D4A">
        <w:pPr>
          <w:pStyle w:val="12"/>
          <w:ind w:firstLine="360"/>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rPr>
          <w:t>7</w:t>
        </w:r>
        <w:r>
          <w:rPr>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62D44">
    <w:pPr>
      <w:pStyle w:val="13"/>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808E8">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B9EC8">
    <w:pPr>
      <w:pStyle w:val="1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B575F">
    <w:pPr>
      <w:pStyle w:val="13"/>
      <w:pBdr>
        <w:bottom w:val="none" w:color="auto" w:sz="0" w:space="0"/>
      </w:pBdr>
      <w:ind w:firstLine="0" w:firstLineChars="0"/>
      <w:jc w:val="left"/>
      <w:rPr>
        <w:rFonts w:ascii="楷体_GB2312" w:hAnsi="楷体" w:eastAsia="楷体_GB2312"/>
        <w:sz w:val="36"/>
        <w:szCs w:val="3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F405E">
    <w:pPr>
      <w:pStyle w:val="13"/>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9A332">
    <w:pPr>
      <w:pStyle w:val="13"/>
      <w:ind w:firstLine="0" w:firstLineChars="0"/>
      <w:jc w:val="left"/>
    </w:pPr>
    <w:r>
      <w:drawing>
        <wp:inline distT="0" distB="0" distL="0" distR="0">
          <wp:extent cx="850900" cy="334010"/>
          <wp:effectExtent l="0" t="0" r="635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932097" cy="36626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0E7906"/>
    <w:multiLevelType w:val="multilevel"/>
    <w:tmpl w:val="320E7906"/>
    <w:lvl w:ilvl="0" w:tentative="0">
      <w:start w:val="1"/>
      <w:numFmt w:val="chineseCountingThousand"/>
      <w:lvlText w:val="%1、"/>
      <w:lvlJc w:val="left"/>
      <w:pPr>
        <w:ind w:left="492" w:hanging="492"/>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3C97F65"/>
    <w:multiLevelType w:val="multilevel"/>
    <w:tmpl w:val="53C97F65"/>
    <w:lvl w:ilvl="0" w:tentative="0">
      <w:start w:val="1"/>
      <w:numFmt w:val="decimal"/>
      <w:suff w:val="space"/>
      <w:lvlText w:val="%1"/>
      <w:lvlJc w:val="left"/>
      <w:pPr>
        <w:ind w:left="227" w:hanging="227"/>
      </w:pPr>
      <w:rPr>
        <w:rFonts w:hint="eastAsia"/>
      </w:rPr>
    </w:lvl>
    <w:lvl w:ilvl="1" w:tentative="0">
      <w:start w:val="1"/>
      <w:numFmt w:val="decimal"/>
      <w:suff w:val="space"/>
      <w:lvlText w:val="%1.%2"/>
      <w:lvlJc w:val="left"/>
      <w:pPr>
        <w:ind w:left="227" w:hanging="227"/>
      </w:pPr>
      <w:rPr>
        <w:rFonts w:hint="eastAsia"/>
      </w:rPr>
    </w:lvl>
    <w:lvl w:ilvl="2" w:tentative="0">
      <w:start w:val="1"/>
      <w:numFmt w:val="decimal"/>
      <w:suff w:val="space"/>
      <w:lvlText w:val="%1.%2.%3"/>
      <w:lvlJc w:val="left"/>
      <w:pPr>
        <w:ind w:left="227" w:hanging="227"/>
      </w:pPr>
      <w:rPr>
        <w:rFonts w:hint="eastAsia"/>
      </w:rPr>
    </w:lvl>
    <w:lvl w:ilvl="3" w:tentative="0">
      <w:start w:val="1"/>
      <w:numFmt w:val="decimal"/>
      <w:suff w:val="space"/>
      <w:lvlText w:val="%1.%2.%3.%4"/>
      <w:lvlJc w:val="left"/>
      <w:pPr>
        <w:ind w:left="227" w:hanging="227"/>
      </w:pPr>
      <w:rPr>
        <w:rFonts w:hint="eastAsia"/>
      </w:rPr>
    </w:lvl>
    <w:lvl w:ilvl="4" w:tentative="0">
      <w:start w:val="1"/>
      <w:numFmt w:val="decimal"/>
      <w:suff w:val="space"/>
      <w:lvlText w:val="%1.%2.%3.%4.%5"/>
      <w:lvlJc w:val="left"/>
      <w:pPr>
        <w:ind w:left="227" w:hanging="227"/>
      </w:pPr>
      <w:rPr>
        <w:rFonts w:hint="eastAsia"/>
      </w:rPr>
    </w:lvl>
    <w:lvl w:ilvl="5" w:tentative="0">
      <w:start w:val="1"/>
      <w:numFmt w:val="decimal"/>
      <w:suff w:val="space"/>
      <w:lvlText w:val="%1.%2.%3.%4.%5.%6"/>
      <w:lvlJc w:val="left"/>
      <w:pPr>
        <w:ind w:left="227" w:hanging="227"/>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2">
    <w:nsid w:val="5AAF1040"/>
    <w:multiLevelType w:val="singleLevel"/>
    <w:tmpl w:val="5AAF1040"/>
    <w:lvl w:ilvl="0" w:tentative="0">
      <w:start w:val="1"/>
      <w:numFmt w:val="bullet"/>
      <w:lvlText w:val=""/>
      <w:lvlJc w:val="left"/>
      <w:pPr>
        <w:tabs>
          <w:tab w:val="left" w:pos="420"/>
        </w:tabs>
        <w:ind w:left="420" w:hanging="420"/>
      </w:pPr>
      <w:rPr>
        <w:rFonts w:hint="default" w:ascii="Wingdings" w:hAnsi="Wingdings"/>
      </w:rPr>
    </w:lvl>
  </w:abstractNum>
  <w:num w:numId="1">
    <w:abstractNumId w:val="1"/>
    <w:lvlOverride w:ilvl="0">
      <w:lvl w:ilvl="0" w:tentative="1">
        <w:start w:val="1"/>
        <w:numFmt w:val="decimal"/>
        <w:pStyle w:val="64"/>
        <w:suff w:val="space"/>
        <w:lvlText w:val="%1"/>
        <w:lvlJc w:val="left"/>
        <w:pPr>
          <w:ind w:left="227" w:hanging="227"/>
        </w:pPr>
        <w:rPr>
          <w:rFonts w:hint="eastAsia"/>
        </w:rPr>
      </w:lvl>
    </w:lvlOverride>
    <w:lvlOverride w:ilvl="1">
      <w:lvl w:ilvl="1" w:tentative="1">
        <w:start w:val="1"/>
        <w:numFmt w:val="decimal"/>
        <w:pStyle w:val="65"/>
        <w:suff w:val="space"/>
        <w:lvlText w:val="%1.%2"/>
        <w:lvlJc w:val="left"/>
        <w:pPr>
          <w:ind w:left="227" w:hanging="227"/>
        </w:pPr>
        <w:rPr>
          <w:rFonts w:hint="eastAsia"/>
        </w:rPr>
      </w:lvl>
    </w:lvlOverride>
    <w:lvlOverride w:ilvl="2">
      <w:lvl w:ilvl="2" w:tentative="1">
        <w:start w:val="1"/>
        <w:numFmt w:val="decimal"/>
        <w:pStyle w:val="66"/>
        <w:suff w:val="space"/>
        <w:lvlText w:val="%1.%2.%3"/>
        <w:lvlJc w:val="left"/>
        <w:pPr>
          <w:ind w:left="227" w:hanging="227"/>
        </w:pPr>
        <w:rPr>
          <w:rFonts w:hint="eastAsia"/>
        </w:rPr>
      </w:lvl>
    </w:lvlOverride>
    <w:lvlOverride w:ilvl="3">
      <w:lvl w:ilvl="3" w:tentative="1">
        <w:start w:val="1"/>
        <w:numFmt w:val="decimal"/>
        <w:pStyle w:val="71"/>
        <w:suff w:val="space"/>
        <w:lvlText w:val="%1.%2.%3.%4"/>
        <w:lvlJc w:val="left"/>
        <w:pPr>
          <w:ind w:left="227" w:hanging="227"/>
        </w:pPr>
        <w:rPr>
          <w:rFonts w:hint="eastAsia"/>
        </w:rPr>
      </w:lvl>
    </w:lvlOverride>
    <w:lvlOverride w:ilvl="4">
      <w:lvl w:ilvl="4" w:tentative="1">
        <w:start w:val="1"/>
        <w:numFmt w:val="decimal"/>
        <w:pStyle w:val="72"/>
        <w:suff w:val="space"/>
        <w:lvlText w:val="%1.%2.%3.%4.%5"/>
        <w:lvlJc w:val="left"/>
        <w:pPr>
          <w:ind w:left="227" w:hanging="227"/>
        </w:pPr>
        <w:rPr>
          <w:rFonts w:hint="eastAsia"/>
        </w:rPr>
      </w:lvl>
    </w:lvlOverride>
    <w:lvlOverride w:ilvl="5">
      <w:lvl w:ilvl="5" w:tentative="1">
        <w:start w:val="1"/>
        <w:numFmt w:val="decimal"/>
        <w:pStyle w:val="73"/>
        <w:suff w:val="space"/>
        <w:lvlText w:val="%1.%2.%3.%4.%5.%6"/>
        <w:lvlJc w:val="left"/>
        <w:pPr>
          <w:ind w:left="227" w:hanging="227"/>
        </w:pPr>
        <w:rPr>
          <w:rFonts w:hint="eastAsia"/>
        </w:rPr>
      </w:lvl>
    </w:lvlOverride>
    <w:lvlOverride w:ilvl="6">
      <w:lvl w:ilvl="6" w:tentative="1">
        <w:start w:val="1"/>
        <w:numFmt w:val="decimal"/>
        <w:lvlText w:val="%1.%2.%3.%4.%5.%6.%7"/>
        <w:lvlJc w:val="left"/>
        <w:pPr>
          <w:ind w:left="2975" w:hanging="425"/>
        </w:pPr>
        <w:rPr>
          <w:rFonts w:hint="eastAsia"/>
        </w:rPr>
      </w:lvl>
    </w:lvlOverride>
    <w:lvlOverride w:ilvl="7">
      <w:lvl w:ilvl="7" w:tentative="1">
        <w:start w:val="1"/>
        <w:numFmt w:val="decimal"/>
        <w:lvlText w:val="%1.%2.%3.%4.%5.%6.%7.%8"/>
        <w:lvlJc w:val="left"/>
        <w:pPr>
          <w:ind w:left="3400" w:hanging="425"/>
        </w:pPr>
        <w:rPr>
          <w:rFonts w:hint="eastAsia"/>
        </w:rPr>
      </w:lvl>
    </w:lvlOverride>
    <w:lvlOverride w:ilvl="8">
      <w:lvl w:ilvl="8" w:tentative="1">
        <w:start w:val="1"/>
        <w:numFmt w:val="decimal"/>
        <w:lvlText w:val="%1.%2.%3.%4.%5.%6.%7.%8.%9"/>
        <w:lvlJc w:val="left"/>
        <w:pPr>
          <w:ind w:left="3825" w:hanging="425"/>
        </w:pPr>
        <w:rPr>
          <w:rFonts w:hint="eastAsia"/>
        </w:rPr>
      </w:lvl>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TrueTypeFonts/>
  <w:saveSubsetFonts/>
  <w:bordersDoNotSurroundHeader w:val="1"/>
  <w:bordersDoNotSurroundFooter w:val="1"/>
  <w:documentProtection w:enforcement="0"/>
  <w:defaultTabStop w:val="0"/>
  <w:drawingGridHorizontalSpacing w:val="140"/>
  <w:drawingGridVerticalSpacing w:val="38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B6D"/>
    <w:rsid w:val="00000051"/>
    <w:rsid w:val="00000701"/>
    <w:rsid w:val="000014B4"/>
    <w:rsid w:val="00001C5F"/>
    <w:rsid w:val="00002896"/>
    <w:rsid w:val="000035CD"/>
    <w:rsid w:val="0000481C"/>
    <w:rsid w:val="0000528A"/>
    <w:rsid w:val="00010975"/>
    <w:rsid w:val="0001322B"/>
    <w:rsid w:val="0001336D"/>
    <w:rsid w:val="000133A1"/>
    <w:rsid w:val="000140E8"/>
    <w:rsid w:val="000141A6"/>
    <w:rsid w:val="00014FBC"/>
    <w:rsid w:val="00015074"/>
    <w:rsid w:val="00015BA2"/>
    <w:rsid w:val="000166EC"/>
    <w:rsid w:val="0001675C"/>
    <w:rsid w:val="00017753"/>
    <w:rsid w:val="0002143A"/>
    <w:rsid w:val="00022D8A"/>
    <w:rsid w:val="00023119"/>
    <w:rsid w:val="00023C60"/>
    <w:rsid w:val="00026FA3"/>
    <w:rsid w:val="00030F28"/>
    <w:rsid w:val="000311DE"/>
    <w:rsid w:val="000312CF"/>
    <w:rsid w:val="00031E7D"/>
    <w:rsid w:val="000325D7"/>
    <w:rsid w:val="000359CB"/>
    <w:rsid w:val="00036F67"/>
    <w:rsid w:val="00041397"/>
    <w:rsid w:val="00042FF3"/>
    <w:rsid w:val="000439AC"/>
    <w:rsid w:val="00044A9D"/>
    <w:rsid w:val="000457B9"/>
    <w:rsid w:val="000537BE"/>
    <w:rsid w:val="00053DAA"/>
    <w:rsid w:val="00054D76"/>
    <w:rsid w:val="00055BB8"/>
    <w:rsid w:val="00056243"/>
    <w:rsid w:val="00062BA8"/>
    <w:rsid w:val="00063A78"/>
    <w:rsid w:val="00063F03"/>
    <w:rsid w:val="000653C2"/>
    <w:rsid w:val="00066480"/>
    <w:rsid w:val="00071CAD"/>
    <w:rsid w:val="0007245C"/>
    <w:rsid w:val="00075246"/>
    <w:rsid w:val="000806C4"/>
    <w:rsid w:val="00080748"/>
    <w:rsid w:val="0008233C"/>
    <w:rsid w:val="00085686"/>
    <w:rsid w:val="000865DE"/>
    <w:rsid w:val="00087002"/>
    <w:rsid w:val="0009071A"/>
    <w:rsid w:val="00092975"/>
    <w:rsid w:val="00092C6C"/>
    <w:rsid w:val="00092DB8"/>
    <w:rsid w:val="00093079"/>
    <w:rsid w:val="00093950"/>
    <w:rsid w:val="00095450"/>
    <w:rsid w:val="00095CA3"/>
    <w:rsid w:val="00096403"/>
    <w:rsid w:val="00097A20"/>
    <w:rsid w:val="000A34FA"/>
    <w:rsid w:val="000A3AE8"/>
    <w:rsid w:val="000A4840"/>
    <w:rsid w:val="000B36BE"/>
    <w:rsid w:val="000B56C4"/>
    <w:rsid w:val="000B6BE5"/>
    <w:rsid w:val="000B7632"/>
    <w:rsid w:val="000C079E"/>
    <w:rsid w:val="000C0A72"/>
    <w:rsid w:val="000C15B7"/>
    <w:rsid w:val="000C2DB0"/>
    <w:rsid w:val="000C4365"/>
    <w:rsid w:val="000C55B3"/>
    <w:rsid w:val="000C62FD"/>
    <w:rsid w:val="000C6510"/>
    <w:rsid w:val="000C7D82"/>
    <w:rsid w:val="000D0007"/>
    <w:rsid w:val="000D10E0"/>
    <w:rsid w:val="000D40C3"/>
    <w:rsid w:val="000D4D4C"/>
    <w:rsid w:val="000D7752"/>
    <w:rsid w:val="000E0146"/>
    <w:rsid w:val="000E0B57"/>
    <w:rsid w:val="000E1427"/>
    <w:rsid w:val="000E1D38"/>
    <w:rsid w:val="000E38CD"/>
    <w:rsid w:val="000E3922"/>
    <w:rsid w:val="000E3B5F"/>
    <w:rsid w:val="000E405D"/>
    <w:rsid w:val="000E7095"/>
    <w:rsid w:val="000F20B0"/>
    <w:rsid w:val="000F24C1"/>
    <w:rsid w:val="000F5F05"/>
    <w:rsid w:val="000F691A"/>
    <w:rsid w:val="000F6B36"/>
    <w:rsid w:val="000F6E98"/>
    <w:rsid w:val="000F764B"/>
    <w:rsid w:val="00105847"/>
    <w:rsid w:val="00105969"/>
    <w:rsid w:val="001078A7"/>
    <w:rsid w:val="00114D6B"/>
    <w:rsid w:val="001159F3"/>
    <w:rsid w:val="00117821"/>
    <w:rsid w:val="0012023B"/>
    <w:rsid w:val="00125CA5"/>
    <w:rsid w:val="001263ED"/>
    <w:rsid w:val="00127A2A"/>
    <w:rsid w:val="001301A4"/>
    <w:rsid w:val="00130998"/>
    <w:rsid w:val="00137F57"/>
    <w:rsid w:val="00140700"/>
    <w:rsid w:val="00141E7C"/>
    <w:rsid w:val="00142069"/>
    <w:rsid w:val="00142F39"/>
    <w:rsid w:val="00145D58"/>
    <w:rsid w:val="001475B2"/>
    <w:rsid w:val="00152D90"/>
    <w:rsid w:val="00157C4E"/>
    <w:rsid w:val="00157DE8"/>
    <w:rsid w:val="001601F9"/>
    <w:rsid w:val="00162D83"/>
    <w:rsid w:val="0016474F"/>
    <w:rsid w:val="00164DF8"/>
    <w:rsid w:val="001707FC"/>
    <w:rsid w:val="00171D1E"/>
    <w:rsid w:val="00176A52"/>
    <w:rsid w:val="0018179D"/>
    <w:rsid w:val="0018180E"/>
    <w:rsid w:val="001822A2"/>
    <w:rsid w:val="001828BF"/>
    <w:rsid w:val="00182AE3"/>
    <w:rsid w:val="00185701"/>
    <w:rsid w:val="00185967"/>
    <w:rsid w:val="0018798F"/>
    <w:rsid w:val="00192AD2"/>
    <w:rsid w:val="001941B5"/>
    <w:rsid w:val="00194CEF"/>
    <w:rsid w:val="001A4274"/>
    <w:rsid w:val="001B2DBF"/>
    <w:rsid w:val="001B658B"/>
    <w:rsid w:val="001C002C"/>
    <w:rsid w:val="001C172F"/>
    <w:rsid w:val="001C41E5"/>
    <w:rsid w:val="001C477F"/>
    <w:rsid w:val="001C7CD1"/>
    <w:rsid w:val="001D0648"/>
    <w:rsid w:val="001D221C"/>
    <w:rsid w:val="001D3CC9"/>
    <w:rsid w:val="001D405A"/>
    <w:rsid w:val="001D4627"/>
    <w:rsid w:val="001D7E25"/>
    <w:rsid w:val="001E1AFD"/>
    <w:rsid w:val="001E22F2"/>
    <w:rsid w:val="001E3D12"/>
    <w:rsid w:val="001F026A"/>
    <w:rsid w:val="001F0C52"/>
    <w:rsid w:val="001F39CC"/>
    <w:rsid w:val="001F412A"/>
    <w:rsid w:val="001F4385"/>
    <w:rsid w:val="001F5898"/>
    <w:rsid w:val="001F62AE"/>
    <w:rsid w:val="0020185A"/>
    <w:rsid w:val="0020479C"/>
    <w:rsid w:val="00205655"/>
    <w:rsid w:val="0020606E"/>
    <w:rsid w:val="0021587E"/>
    <w:rsid w:val="002177EE"/>
    <w:rsid w:val="00220C47"/>
    <w:rsid w:val="00222937"/>
    <w:rsid w:val="00222C40"/>
    <w:rsid w:val="002313B6"/>
    <w:rsid w:val="00233696"/>
    <w:rsid w:val="002345EF"/>
    <w:rsid w:val="002364C5"/>
    <w:rsid w:val="00236C6F"/>
    <w:rsid w:val="00236E62"/>
    <w:rsid w:val="002376A1"/>
    <w:rsid w:val="0023799C"/>
    <w:rsid w:val="00240BAC"/>
    <w:rsid w:val="00241148"/>
    <w:rsid w:val="00241828"/>
    <w:rsid w:val="002419B9"/>
    <w:rsid w:val="00242B28"/>
    <w:rsid w:val="002431A9"/>
    <w:rsid w:val="00247679"/>
    <w:rsid w:val="00247F5E"/>
    <w:rsid w:val="002522FC"/>
    <w:rsid w:val="002526A3"/>
    <w:rsid w:val="00252D90"/>
    <w:rsid w:val="00252FD3"/>
    <w:rsid w:val="002546D2"/>
    <w:rsid w:val="0026180D"/>
    <w:rsid w:val="00263DFD"/>
    <w:rsid w:val="00263FEB"/>
    <w:rsid w:val="0026564E"/>
    <w:rsid w:val="00265736"/>
    <w:rsid w:val="002666BE"/>
    <w:rsid w:val="0026723D"/>
    <w:rsid w:val="002718EF"/>
    <w:rsid w:val="0027221F"/>
    <w:rsid w:val="0027353F"/>
    <w:rsid w:val="00281235"/>
    <w:rsid w:val="00282A37"/>
    <w:rsid w:val="00286562"/>
    <w:rsid w:val="002877DB"/>
    <w:rsid w:val="00290DEC"/>
    <w:rsid w:val="0029433D"/>
    <w:rsid w:val="00294652"/>
    <w:rsid w:val="00295F89"/>
    <w:rsid w:val="00297D91"/>
    <w:rsid w:val="002A0F24"/>
    <w:rsid w:val="002A12BD"/>
    <w:rsid w:val="002A13EE"/>
    <w:rsid w:val="002A19FE"/>
    <w:rsid w:val="002A26BA"/>
    <w:rsid w:val="002A3E7A"/>
    <w:rsid w:val="002A48EF"/>
    <w:rsid w:val="002A48F9"/>
    <w:rsid w:val="002A6737"/>
    <w:rsid w:val="002A69EC"/>
    <w:rsid w:val="002B0ECA"/>
    <w:rsid w:val="002B3A4E"/>
    <w:rsid w:val="002B5679"/>
    <w:rsid w:val="002C04C0"/>
    <w:rsid w:val="002C2906"/>
    <w:rsid w:val="002C390A"/>
    <w:rsid w:val="002C5D7A"/>
    <w:rsid w:val="002C77C6"/>
    <w:rsid w:val="002C7EC8"/>
    <w:rsid w:val="002D01FE"/>
    <w:rsid w:val="002D1C22"/>
    <w:rsid w:val="002D413E"/>
    <w:rsid w:val="002D579A"/>
    <w:rsid w:val="002D5B99"/>
    <w:rsid w:val="002D6159"/>
    <w:rsid w:val="002D706A"/>
    <w:rsid w:val="002D71D5"/>
    <w:rsid w:val="002E0BDB"/>
    <w:rsid w:val="002E24F3"/>
    <w:rsid w:val="002E3718"/>
    <w:rsid w:val="002E468D"/>
    <w:rsid w:val="002F2CEF"/>
    <w:rsid w:val="002F3AFE"/>
    <w:rsid w:val="002F4AFF"/>
    <w:rsid w:val="002F6616"/>
    <w:rsid w:val="003002EA"/>
    <w:rsid w:val="00300343"/>
    <w:rsid w:val="00300C82"/>
    <w:rsid w:val="0030122D"/>
    <w:rsid w:val="003039FF"/>
    <w:rsid w:val="0030616A"/>
    <w:rsid w:val="00306AB9"/>
    <w:rsid w:val="0030752D"/>
    <w:rsid w:val="003114A8"/>
    <w:rsid w:val="0031304A"/>
    <w:rsid w:val="00313484"/>
    <w:rsid w:val="00314C93"/>
    <w:rsid w:val="00317C1C"/>
    <w:rsid w:val="00317EE0"/>
    <w:rsid w:val="00321B99"/>
    <w:rsid w:val="00321F74"/>
    <w:rsid w:val="00324137"/>
    <w:rsid w:val="00324F0A"/>
    <w:rsid w:val="00325B96"/>
    <w:rsid w:val="00330CD0"/>
    <w:rsid w:val="003326D2"/>
    <w:rsid w:val="00334DB4"/>
    <w:rsid w:val="003374D7"/>
    <w:rsid w:val="003375C1"/>
    <w:rsid w:val="0034010A"/>
    <w:rsid w:val="00345252"/>
    <w:rsid w:val="003460A8"/>
    <w:rsid w:val="0035284C"/>
    <w:rsid w:val="00352D78"/>
    <w:rsid w:val="00352F3D"/>
    <w:rsid w:val="00354ED0"/>
    <w:rsid w:val="00355663"/>
    <w:rsid w:val="00355A12"/>
    <w:rsid w:val="00355BDA"/>
    <w:rsid w:val="00360DB9"/>
    <w:rsid w:val="00362237"/>
    <w:rsid w:val="0036439C"/>
    <w:rsid w:val="00370C6B"/>
    <w:rsid w:val="00373A9F"/>
    <w:rsid w:val="003753E3"/>
    <w:rsid w:val="00375772"/>
    <w:rsid w:val="00377555"/>
    <w:rsid w:val="00382AEB"/>
    <w:rsid w:val="00386B28"/>
    <w:rsid w:val="00386D9B"/>
    <w:rsid w:val="00387BEB"/>
    <w:rsid w:val="003911E7"/>
    <w:rsid w:val="0039610D"/>
    <w:rsid w:val="003974C9"/>
    <w:rsid w:val="003A11D3"/>
    <w:rsid w:val="003A319E"/>
    <w:rsid w:val="003A3ACB"/>
    <w:rsid w:val="003A4E83"/>
    <w:rsid w:val="003A6FEE"/>
    <w:rsid w:val="003B1E8E"/>
    <w:rsid w:val="003B317B"/>
    <w:rsid w:val="003B3764"/>
    <w:rsid w:val="003B3F14"/>
    <w:rsid w:val="003B41BA"/>
    <w:rsid w:val="003B49FB"/>
    <w:rsid w:val="003B4DF0"/>
    <w:rsid w:val="003B607C"/>
    <w:rsid w:val="003B6670"/>
    <w:rsid w:val="003B7511"/>
    <w:rsid w:val="003C1AC9"/>
    <w:rsid w:val="003C6FA0"/>
    <w:rsid w:val="003C785D"/>
    <w:rsid w:val="003D3054"/>
    <w:rsid w:val="003D49F9"/>
    <w:rsid w:val="003D4C18"/>
    <w:rsid w:val="003D5595"/>
    <w:rsid w:val="003D59AE"/>
    <w:rsid w:val="003D6BB4"/>
    <w:rsid w:val="003D7C50"/>
    <w:rsid w:val="003E2BBC"/>
    <w:rsid w:val="003E4884"/>
    <w:rsid w:val="003E4EA4"/>
    <w:rsid w:val="003E5902"/>
    <w:rsid w:val="003E7DF9"/>
    <w:rsid w:val="00401147"/>
    <w:rsid w:val="004022E6"/>
    <w:rsid w:val="00403C48"/>
    <w:rsid w:val="00405798"/>
    <w:rsid w:val="00405BA7"/>
    <w:rsid w:val="00406E82"/>
    <w:rsid w:val="0041011B"/>
    <w:rsid w:val="00410F65"/>
    <w:rsid w:val="00412440"/>
    <w:rsid w:val="0041268D"/>
    <w:rsid w:val="00412B36"/>
    <w:rsid w:val="0041312B"/>
    <w:rsid w:val="00414ADF"/>
    <w:rsid w:val="00417A3B"/>
    <w:rsid w:val="00420369"/>
    <w:rsid w:val="00427ACC"/>
    <w:rsid w:val="00430E67"/>
    <w:rsid w:val="00433D11"/>
    <w:rsid w:val="00434F43"/>
    <w:rsid w:val="004357F2"/>
    <w:rsid w:val="00442880"/>
    <w:rsid w:val="00443FEF"/>
    <w:rsid w:val="00444061"/>
    <w:rsid w:val="004444C9"/>
    <w:rsid w:val="004467DD"/>
    <w:rsid w:val="004468C9"/>
    <w:rsid w:val="004475AE"/>
    <w:rsid w:val="00450B77"/>
    <w:rsid w:val="004511AA"/>
    <w:rsid w:val="00452D91"/>
    <w:rsid w:val="0045348F"/>
    <w:rsid w:val="00453BFE"/>
    <w:rsid w:val="00454425"/>
    <w:rsid w:val="00454441"/>
    <w:rsid w:val="00460502"/>
    <w:rsid w:val="0046253C"/>
    <w:rsid w:val="004649BB"/>
    <w:rsid w:val="004654D3"/>
    <w:rsid w:val="00473B14"/>
    <w:rsid w:val="00475879"/>
    <w:rsid w:val="004769EE"/>
    <w:rsid w:val="00477824"/>
    <w:rsid w:val="0048242D"/>
    <w:rsid w:val="00482433"/>
    <w:rsid w:val="00483CC8"/>
    <w:rsid w:val="0048527A"/>
    <w:rsid w:val="00485928"/>
    <w:rsid w:val="004866E6"/>
    <w:rsid w:val="004868E7"/>
    <w:rsid w:val="00491B7E"/>
    <w:rsid w:val="00494257"/>
    <w:rsid w:val="00494684"/>
    <w:rsid w:val="00494E61"/>
    <w:rsid w:val="00494E92"/>
    <w:rsid w:val="004958A5"/>
    <w:rsid w:val="004969F4"/>
    <w:rsid w:val="004A04A3"/>
    <w:rsid w:val="004A2281"/>
    <w:rsid w:val="004A2B72"/>
    <w:rsid w:val="004A409B"/>
    <w:rsid w:val="004A7431"/>
    <w:rsid w:val="004A7DAE"/>
    <w:rsid w:val="004B026E"/>
    <w:rsid w:val="004B1091"/>
    <w:rsid w:val="004B20D2"/>
    <w:rsid w:val="004B3DE1"/>
    <w:rsid w:val="004B4ABC"/>
    <w:rsid w:val="004B4F9D"/>
    <w:rsid w:val="004B5959"/>
    <w:rsid w:val="004C1256"/>
    <w:rsid w:val="004C271C"/>
    <w:rsid w:val="004C523A"/>
    <w:rsid w:val="004C5A6B"/>
    <w:rsid w:val="004C5F79"/>
    <w:rsid w:val="004C70C4"/>
    <w:rsid w:val="004D281E"/>
    <w:rsid w:val="004D4D5F"/>
    <w:rsid w:val="004D5705"/>
    <w:rsid w:val="004E1288"/>
    <w:rsid w:val="004E1F7B"/>
    <w:rsid w:val="004E2CEB"/>
    <w:rsid w:val="004E3247"/>
    <w:rsid w:val="004E7556"/>
    <w:rsid w:val="004E7560"/>
    <w:rsid w:val="004F2979"/>
    <w:rsid w:val="005014FF"/>
    <w:rsid w:val="0050540E"/>
    <w:rsid w:val="00510032"/>
    <w:rsid w:val="005104F8"/>
    <w:rsid w:val="005116FE"/>
    <w:rsid w:val="005118F8"/>
    <w:rsid w:val="005127EA"/>
    <w:rsid w:val="00515045"/>
    <w:rsid w:val="005155DE"/>
    <w:rsid w:val="00516F83"/>
    <w:rsid w:val="00517499"/>
    <w:rsid w:val="005177B0"/>
    <w:rsid w:val="005216AE"/>
    <w:rsid w:val="0052186B"/>
    <w:rsid w:val="005243D9"/>
    <w:rsid w:val="0052531A"/>
    <w:rsid w:val="00530E6E"/>
    <w:rsid w:val="005330C3"/>
    <w:rsid w:val="005354CF"/>
    <w:rsid w:val="00541DF2"/>
    <w:rsid w:val="00544122"/>
    <w:rsid w:val="00546445"/>
    <w:rsid w:val="005472F8"/>
    <w:rsid w:val="005517DD"/>
    <w:rsid w:val="005522D7"/>
    <w:rsid w:val="00556701"/>
    <w:rsid w:val="0055703F"/>
    <w:rsid w:val="00561994"/>
    <w:rsid w:val="00562B15"/>
    <w:rsid w:val="00563948"/>
    <w:rsid w:val="00563F38"/>
    <w:rsid w:val="005659B3"/>
    <w:rsid w:val="00565A1E"/>
    <w:rsid w:val="005661E9"/>
    <w:rsid w:val="0057442F"/>
    <w:rsid w:val="00574F06"/>
    <w:rsid w:val="00575798"/>
    <w:rsid w:val="00575BB4"/>
    <w:rsid w:val="0058435B"/>
    <w:rsid w:val="00584EEC"/>
    <w:rsid w:val="00586660"/>
    <w:rsid w:val="00586998"/>
    <w:rsid w:val="0058714C"/>
    <w:rsid w:val="00587CBF"/>
    <w:rsid w:val="00590058"/>
    <w:rsid w:val="00590173"/>
    <w:rsid w:val="00591DCC"/>
    <w:rsid w:val="0059209F"/>
    <w:rsid w:val="0059478A"/>
    <w:rsid w:val="00594A5A"/>
    <w:rsid w:val="00597360"/>
    <w:rsid w:val="005A0C97"/>
    <w:rsid w:val="005A304F"/>
    <w:rsid w:val="005A6DCE"/>
    <w:rsid w:val="005B4EE2"/>
    <w:rsid w:val="005B5777"/>
    <w:rsid w:val="005C0651"/>
    <w:rsid w:val="005C2C50"/>
    <w:rsid w:val="005C3F00"/>
    <w:rsid w:val="005C680F"/>
    <w:rsid w:val="005C74D0"/>
    <w:rsid w:val="005C7A4B"/>
    <w:rsid w:val="005D0CCF"/>
    <w:rsid w:val="005D0E6D"/>
    <w:rsid w:val="005D342F"/>
    <w:rsid w:val="005D4600"/>
    <w:rsid w:val="005D49FC"/>
    <w:rsid w:val="005D5EC9"/>
    <w:rsid w:val="005D6AD7"/>
    <w:rsid w:val="005E27D8"/>
    <w:rsid w:val="005E42FB"/>
    <w:rsid w:val="005E5F05"/>
    <w:rsid w:val="005E605C"/>
    <w:rsid w:val="005E76E6"/>
    <w:rsid w:val="005F375E"/>
    <w:rsid w:val="005F4A72"/>
    <w:rsid w:val="005F4C81"/>
    <w:rsid w:val="0060187B"/>
    <w:rsid w:val="0060373F"/>
    <w:rsid w:val="00605A84"/>
    <w:rsid w:val="00606ECA"/>
    <w:rsid w:val="00612A28"/>
    <w:rsid w:val="00616123"/>
    <w:rsid w:val="00616272"/>
    <w:rsid w:val="00617115"/>
    <w:rsid w:val="00617A26"/>
    <w:rsid w:val="00622DD1"/>
    <w:rsid w:val="00623FC4"/>
    <w:rsid w:val="006242EE"/>
    <w:rsid w:val="006250BC"/>
    <w:rsid w:val="00626230"/>
    <w:rsid w:val="00630BF5"/>
    <w:rsid w:val="0063388B"/>
    <w:rsid w:val="0063455E"/>
    <w:rsid w:val="00635F59"/>
    <w:rsid w:val="00636973"/>
    <w:rsid w:val="00637A29"/>
    <w:rsid w:val="0064038A"/>
    <w:rsid w:val="00640CBB"/>
    <w:rsid w:val="00640F65"/>
    <w:rsid w:val="00643CA8"/>
    <w:rsid w:val="006448D2"/>
    <w:rsid w:val="00646041"/>
    <w:rsid w:val="00647096"/>
    <w:rsid w:val="006473B4"/>
    <w:rsid w:val="00650C45"/>
    <w:rsid w:val="006513EB"/>
    <w:rsid w:val="00651579"/>
    <w:rsid w:val="00651AC7"/>
    <w:rsid w:val="0065273C"/>
    <w:rsid w:val="00657D9E"/>
    <w:rsid w:val="0066129C"/>
    <w:rsid w:val="0066232D"/>
    <w:rsid w:val="00663BDC"/>
    <w:rsid w:val="00664F3B"/>
    <w:rsid w:val="0066648F"/>
    <w:rsid w:val="00672A46"/>
    <w:rsid w:val="00676E90"/>
    <w:rsid w:val="00680C90"/>
    <w:rsid w:val="006819D1"/>
    <w:rsid w:val="00691481"/>
    <w:rsid w:val="00694062"/>
    <w:rsid w:val="0069455B"/>
    <w:rsid w:val="00694A2C"/>
    <w:rsid w:val="00696FB7"/>
    <w:rsid w:val="006A0A8A"/>
    <w:rsid w:val="006A4D62"/>
    <w:rsid w:val="006A6342"/>
    <w:rsid w:val="006B0331"/>
    <w:rsid w:val="006B0875"/>
    <w:rsid w:val="006B12C0"/>
    <w:rsid w:val="006B1E18"/>
    <w:rsid w:val="006B244E"/>
    <w:rsid w:val="006B3ED9"/>
    <w:rsid w:val="006C143C"/>
    <w:rsid w:val="006C4163"/>
    <w:rsid w:val="006C4ED4"/>
    <w:rsid w:val="006C65EE"/>
    <w:rsid w:val="006C7B69"/>
    <w:rsid w:val="006C7E76"/>
    <w:rsid w:val="006D1EBB"/>
    <w:rsid w:val="006D3302"/>
    <w:rsid w:val="006D34BD"/>
    <w:rsid w:val="006D6080"/>
    <w:rsid w:val="006D725D"/>
    <w:rsid w:val="006E21D9"/>
    <w:rsid w:val="006E4601"/>
    <w:rsid w:val="006E4973"/>
    <w:rsid w:val="006E5426"/>
    <w:rsid w:val="006E5FD8"/>
    <w:rsid w:val="006E6BDD"/>
    <w:rsid w:val="006F12AD"/>
    <w:rsid w:val="006F1F62"/>
    <w:rsid w:val="006F3273"/>
    <w:rsid w:val="006F4CA0"/>
    <w:rsid w:val="006F7C2D"/>
    <w:rsid w:val="0070096D"/>
    <w:rsid w:val="00702F9D"/>
    <w:rsid w:val="00705013"/>
    <w:rsid w:val="00706F75"/>
    <w:rsid w:val="00710FDA"/>
    <w:rsid w:val="0071104F"/>
    <w:rsid w:val="0071127F"/>
    <w:rsid w:val="00713406"/>
    <w:rsid w:val="007142CA"/>
    <w:rsid w:val="007177ED"/>
    <w:rsid w:val="00722BF4"/>
    <w:rsid w:val="00722F96"/>
    <w:rsid w:val="00724CE7"/>
    <w:rsid w:val="00727F71"/>
    <w:rsid w:val="0073095E"/>
    <w:rsid w:val="0073619F"/>
    <w:rsid w:val="00740C8F"/>
    <w:rsid w:val="00740F83"/>
    <w:rsid w:val="00743691"/>
    <w:rsid w:val="00744923"/>
    <w:rsid w:val="00745156"/>
    <w:rsid w:val="007462BB"/>
    <w:rsid w:val="00747B58"/>
    <w:rsid w:val="0075048F"/>
    <w:rsid w:val="00750E43"/>
    <w:rsid w:val="00763267"/>
    <w:rsid w:val="00763A02"/>
    <w:rsid w:val="00765C77"/>
    <w:rsid w:val="007670B7"/>
    <w:rsid w:val="00767B89"/>
    <w:rsid w:val="00771336"/>
    <w:rsid w:val="00772304"/>
    <w:rsid w:val="007732AC"/>
    <w:rsid w:val="007764A6"/>
    <w:rsid w:val="00777650"/>
    <w:rsid w:val="007819D0"/>
    <w:rsid w:val="00782B84"/>
    <w:rsid w:val="00783379"/>
    <w:rsid w:val="00784E66"/>
    <w:rsid w:val="007857B3"/>
    <w:rsid w:val="00786061"/>
    <w:rsid w:val="007864ED"/>
    <w:rsid w:val="00790A7F"/>
    <w:rsid w:val="0079150B"/>
    <w:rsid w:val="007966F1"/>
    <w:rsid w:val="00796718"/>
    <w:rsid w:val="0079677A"/>
    <w:rsid w:val="00796A80"/>
    <w:rsid w:val="007A1031"/>
    <w:rsid w:val="007A1DD3"/>
    <w:rsid w:val="007A3904"/>
    <w:rsid w:val="007A3BF9"/>
    <w:rsid w:val="007A52FF"/>
    <w:rsid w:val="007A668F"/>
    <w:rsid w:val="007A6C06"/>
    <w:rsid w:val="007B1793"/>
    <w:rsid w:val="007B3AEE"/>
    <w:rsid w:val="007B50A3"/>
    <w:rsid w:val="007B7F0C"/>
    <w:rsid w:val="007C0B09"/>
    <w:rsid w:val="007C359A"/>
    <w:rsid w:val="007C3B14"/>
    <w:rsid w:val="007C74CF"/>
    <w:rsid w:val="007D2594"/>
    <w:rsid w:val="007D6249"/>
    <w:rsid w:val="007E1FF7"/>
    <w:rsid w:val="007E3AF4"/>
    <w:rsid w:val="007E48AC"/>
    <w:rsid w:val="007E50D1"/>
    <w:rsid w:val="007E575B"/>
    <w:rsid w:val="007E665D"/>
    <w:rsid w:val="007F124F"/>
    <w:rsid w:val="007F136A"/>
    <w:rsid w:val="007F25A5"/>
    <w:rsid w:val="007F36AE"/>
    <w:rsid w:val="007F3D61"/>
    <w:rsid w:val="007F46A6"/>
    <w:rsid w:val="007F6265"/>
    <w:rsid w:val="007F6A62"/>
    <w:rsid w:val="0080215B"/>
    <w:rsid w:val="00802163"/>
    <w:rsid w:val="0080387E"/>
    <w:rsid w:val="00804A44"/>
    <w:rsid w:val="008076A8"/>
    <w:rsid w:val="008160C0"/>
    <w:rsid w:val="00816631"/>
    <w:rsid w:val="00820B59"/>
    <w:rsid w:val="008226E4"/>
    <w:rsid w:val="00823E6F"/>
    <w:rsid w:val="0082464D"/>
    <w:rsid w:val="00825317"/>
    <w:rsid w:val="00826527"/>
    <w:rsid w:val="00830231"/>
    <w:rsid w:val="0083117B"/>
    <w:rsid w:val="008318E0"/>
    <w:rsid w:val="00833210"/>
    <w:rsid w:val="00836945"/>
    <w:rsid w:val="008372FA"/>
    <w:rsid w:val="00837A82"/>
    <w:rsid w:val="00837B9D"/>
    <w:rsid w:val="00840347"/>
    <w:rsid w:val="00840493"/>
    <w:rsid w:val="00844410"/>
    <w:rsid w:val="00846A17"/>
    <w:rsid w:val="00846F10"/>
    <w:rsid w:val="00850B98"/>
    <w:rsid w:val="00850E4F"/>
    <w:rsid w:val="008539BB"/>
    <w:rsid w:val="00854FD2"/>
    <w:rsid w:val="00855986"/>
    <w:rsid w:val="00857149"/>
    <w:rsid w:val="00860D23"/>
    <w:rsid w:val="008610F6"/>
    <w:rsid w:val="0086120C"/>
    <w:rsid w:val="00861C37"/>
    <w:rsid w:val="00863C8B"/>
    <w:rsid w:val="00866A61"/>
    <w:rsid w:val="00867E18"/>
    <w:rsid w:val="008731FD"/>
    <w:rsid w:val="00873C04"/>
    <w:rsid w:val="0087436E"/>
    <w:rsid w:val="008748BC"/>
    <w:rsid w:val="00880E33"/>
    <w:rsid w:val="00881A54"/>
    <w:rsid w:val="00883653"/>
    <w:rsid w:val="00884F65"/>
    <w:rsid w:val="00891B96"/>
    <w:rsid w:val="00892943"/>
    <w:rsid w:val="008A193A"/>
    <w:rsid w:val="008A2810"/>
    <w:rsid w:val="008A297B"/>
    <w:rsid w:val="008A2BDB"/>
    <w:rsid w:val="008A7373"/>
    <w:rsid w:val="008B2C15"/>
    <w:rsid w:val="008B3C57"/>
    <w:rsid w:val="008B4D14"/>
    <w:rsid w:val="008B6F27"/>
    <w:rsid w:val="008C132E"/>
    <w:rsid w:val="008C14A6"/>
    <w:rsid w:val="008C21D0"/>
    <w:rsid w:val="008C2A7A"/>
    <w:rsid w:val="008C7AEF"/>
    <w:rsid w:val="008D0B47"/>
    <w:rsid w:val="008D1015"/>
    <w:rsid w:val="008D1EEA"/>
    <w:rsid w:val="008D2791"/>
    <w:rsid w:val="008D3053"/>
    <w:rsid w:val="008D5F33"/>
    <w:rsid w:val="008E4260"/>
    <w:rsid w:val="008E5BE8"/>
    <w:rsid w:val="008E7369"/>
    <w:rsid w:val="008E767A"/>
    <w:rsid w:val="008F2012"/>
    <w:rsid w:val="008F267E"/>
    <w:rsid w:val="008F28C6"/>
    <w:rsid w:val="008F292C"/>
    <w:rsid w:val="008F64AA"/>
    <w:rsid w:val="008F662F"/>
    <w:rsid w:val="00900873"/>
    <w:rsid w:val="00905610"/>
    <w:rsid w:val="009057AC"/>
    <w:rsid w:val="00907207"/>
    <w:rsid w:val="00907952"/>
    <w:rsid w:val="00910C93"/>
    <w:rsid w:val="0091387D"/>
    <w:rsid w:val="00915035"/>
    <w:rsid w:val="0091674B"/>
    <w:rsid w:val="00921CC2"/>
    <w:rsid w:val="00921D43"/>
    <w:rsid w:val="0092319B"/>
    <w:rsid w:val="00923C8B"/>
    <w:rsid w:val="00923D56"/>
    <w:rsid w:val="00924F5E"/>
    <w:rsid w:val="00925959"/>
    <w:rsid w:val="00926C7E"/>
    <w:rsid w:val="00930C28"/>
    <w:rsid w:val="0093298C"/>
    <w:rsid w:val="00932C6E"/>
    <w:rsid w:val="00932D55"/>
    <w:rsid w:val="00937318"/>
    <w:rsid w:val="00937F47"/>
    <w:rsid w:val="0094232E"/>
    <w:rsid w:val="00942399"/>
    <w:rsid w:val="009425F3"/>
    <w:rsid w:val="0094665C"/>
    <w:rsid w:val="0095204A"/>
    <w:rsid w:val="009523D8"/>
    <w:rsid w:val="00953EE0"/>
    <w:rsid w:val="009558F4"/>
    <w:rsid w:val="00955E9B"/>
    <w:rsid w:val="00956646"/>
    <w:rsid w:val="00957054"/>
    <w:rsid w:val="00957F2C"/>
    <w:rsid w:val="00957F69"/>
    <w:rsid w:val="00960898"/>
    <w:rsid w:val="00961396"/>
    <w:rsid w:val="00965675"/>
    <w:rsid w:val="00965F74"/>
    <w:rsid w:val="0096695B"/>
    <w:rsid w:val="00967313"/>
    <w:rsid w:val="00967911"/>
    <w:rsid w:val="009711A0"/>
    <w:rsid w:val="009730BF"/>
    <w:rsid w:val="00973265"/>
    <w:rsid w:val="00977F04"/>
    <w:rsid w:val="009814B0"/>
    <w:rsid w:val="00982D64"/>
    <w:rsid w:val="00987858"/>
    <w:rsid w:val="0099196B"/>
    <w:rsid w:val="009968F7"/>
    <w:rsid w:val="00997A73"/>
    <w:rsid w:val="009A0203"/>
    <w:rsid w:val="009A191F"/>
    <w:rsid w:val="009A275D"/>
    <w:rsid w:val="009A29DD"/>
    <w:rsid w:val="009A7232"/>
    <w:rsid w:val="009A73F8"/>
    <w:rsid w:val="009A7C96"/>
    <w:rsid w:val="009B2866"/>
    <w:rsid w:val="009B2D01"/>
    <w:rsid w:val="009C0517"/>
    <w:rsid w:val="009C142C"/>
    <w:rsid w:val="009C24E1"/>
    <w:rsid w:val="009C377C"/>
    <w:rsid w:val="009C42D1"/>
    <w:rsid w:val="009D2877"/>
    <w:rsid w:val="009D35B8"/>
    <w:rsid w:val="009D449E"/>
    <w:rsid w:val="009D57E4"/>
    <w:rsid w:val="009E3E46"/>
    <w:rsid w:val="009E7AFC"/>
    <w:rsid w:val="009F063F"/>
    <w:rsid w:val="009F251D"/>
    <w:rsid w:val="009F2E94"/>
    <w:rsid w:val="009F4DCD"/>
    <w:rsid w:val="009F7154"/>
    <w:rsid w:val="009F7491"/>
    <w:rsid w:val="00A00F4D"/>
    <w:rsid w:val="00A02764"/>
    <w:rsid w:val="00A032FE"/>
    <w:rsid w:val="00A033AD"/>
    <w:rsid w:val="00A055F1"/>
    <w:rsid w:val="00A05990"/>
    <w:rsid w:val="00A062EA"/>
    <w:rsid w:val="00A07AAF"/>
    <w:rsid w:val="00A1050D"/>
    <w:rsid w:val="00A10B4C"/>
    <w:rsid w:val="00A154A8"/>
    <w:rsid w:val="00A15D1B"/>
    <w:rsid w:val="00A175E3"/>
    <w:rsid w:val="00A20F91"/>
    <w:rsid w:val="00A221A1"/>
    <w:rsid w:val="00A2406C"/>
    <w:rsid w:val="00A248F3"/>
    <w:rsid w:val="00A26316"/>
    <w:rsid w:val="00A26F3F"/>
    <w:rsid w:val="00A27064"/>
    <w:rsid w:val="00A277E8"/>
    <w:rsid w:val="00A307EB"/>
    <w:rsid w:val="00A31F69"/>
    <w:rsid w:val="00A33E79"/>
    <w:rsid w:val="00A4163D"/>
    <w:rsid w:val="00A44B58"/>
    <w:rsid w:val="00A44C75"/>
    <w:rsid w:val="00A52B39"/>
    <w:rsid w:val="00A52FB0"/>
    <w:rsid w:val="00A54B18"/>
    <w:rsid w:val="00A57056"/>
    <w:rsid w:val="00A613EC"/>
    <w:rsid w:val="00A61E63"/>
    <w:rsid w:val="00A661DD"/>
    <w:rsid w:val="00A7453C"/>
    <w:rsid w:val="00A75526"/>
    <w:rsid w:val="00A7594B"/>
    <w:rsid w:val="00A76455"/>
    <w:rsid w:val="00A7794A"/>
    <w:rsid w:val="00A8086C"/>
    <w:rsid w:val="00A83771"/>
    <w:rsid w:val="00A83CF3"/>
    <w:rsid w:val="00A83E96"/>
    <w:rsid w:val="00A84B0A"/>
    <w:rsid w:val="00A85A42"/>
    <w:rsid w:val="00A86684"/>
    <w:rsid w:val="00A87C37"/>
    <w:rsid w:val="00A90375"/>
    <w:rsid w:val="00A91456"/>
    <w:rsid w:val="00A9162E"/>
    <w:rsid w:val="00A91C30"/>
    <w:rsid w:val="00A9273D"/>
    <w:rsid w:val="00A92762"/>
    <w:rsid w:val="00A937D7"/>
    <w:rsid w:val="00A948EF"/>
    <w:rsid w:val="00A94D2E"/>
    <w:rsid w:val="00A9592F"/>
    <w:rsid w:val="00A95FE4"/>
    <w:rsid w:val="00A96168"/>
    <w:rsid w:val="00A964E9"/>
    <w:rsid w:val="00A97FB6"/>
    <w:rsid w:val="00AA13D0"/>
    <w:rsid w:val="00AA17D7"/>
    <w:rsid w:val="00AA1C70"/>
    <w:rsid w:val="00AA298B"/>
    <w:rsid w:val="00AA4075"/>
    <w:rsid w:val="00AA7DB9"/>
    <w:rsid w:val="00AB1D67"/>
    <w:rsid w:val="00AB23F1"/>
    <w:rsid w:val="00AC04C6"/>
    <w:rsid w:val="00AC70F6"/>
    <w:rsid w:val="00AC73F9"/>
    <w:rsid w:val="00AC76C2"/>
    <w:rsid w:val="00AC76E2"/>
    <w:rsid w:val="00AC777E"/>
    <w:rsid w:val="00AC7D5F"/>
    <w:rsid w:val="00AD050B"/>
    <w:rsid w:val="00AD0D74"/>
    <w:rsid w:val="00AD1562"/>
    <w:rsid w:val="00AD375B"/>
    <w:rsid w:val="00AD6CFD"/>
    <w:rsid w:val="00AD7DAD"/>
    <w:rsid w:val="00AE01BB"/>
    <w:rsid w:val="00AE4F68"/>
    <w:rsid w:val="00AE56C1"/>
    <w:rsid w:val="00AF02C2"/>
    <w:rsid w:val="00AF0FEF"/>
    <w:rsid w:val="00AF449E"/>
    <w:rsid w:val="00AF59B8"/>
    <w:rsid w:val="00AF7876"/>
    <w:rsid w:val="00B00E10"/>
    <w:rsid w:val="00B0190A"/>
    <w:rsid w:val="00B019EE"/>
    <w:rsid w:val="00B01ABE"/>
    <w:rsid w:val="00B01E82"/>
    <w:rsid w:val="00B02980"/>
    <w:rsid w:val="00B02B8B"/>
    <w:rsid w:val="00B02C4E"/>
    <w:rsid w:val="00B03A68"/>
    <w:rsid w:val="00B03BB9"/>
    <w:rsid w:val="00B0488C"/>
    <w:rsid w:val="00B10CFE"/>
    <w:rsid w:val="00B1105F"/>
    <w:rsid w:val="00B12FA2"/>
    <w:rsid w:val="00B151DD"/>
    <w:rsid w:val="00B15886"/>
    <w:rsid w:val="00B167AF"/>
    <w:rsid w:val="00B16CDD"/>
    <w:rsid w:val="00B1758B"/>
    <w:rsid w:val="00B17A1A"/>
    <w:rsid w:val="00B23A0C"/>
    <w:rsid w:val="00B25FF2"/>
    <w:rsid w:val="00B30B69"/>
    <w:rsid w:val="00B31301"/>
    <w:rsid w:val="00B3439D"/>
    <w:rsid w:val="00B34715"/>
    <w:rsid w:val="00B347D1"/>
    <w:rsid w:val="00B34C97"/>
    <w:rsid w:val="00B352A5"/>
    <w:rsid w:val="00B360D1"/>
    <w:rsid w:val="00B36625"/>
    <w:rsid w:val="00B37D22"/>
    <w:rsid w:val="00B43FC0"/>
    <w:rsid w:val="00B442A7"/>
    <w:rsid w:val="00B45960"/>
    <w:rsid w:val="00B45DAF"/>
    <w:rsid w:val="00B46098"/>
    <w:rsid w:val="00B462A4"/>
    <w:rsid w:val="00B472D3"/>
    <w:rsid w:val="00B478AD"/>
    <w:rsid w:val="00B47D51"/>
    <w:rsid w:val="00B47DE9"/>
    <w:rsid w:val="00B5011D"/>
    <w:rsid w:val="00B51541"/>
    <w:rsid w:val="00B51CB3"/>
    <w:rsid w:val="00B5313B"/>
    <w:rsid w:val="00B53356"/>
    <w:rsid w:val="00B53D8D"/>
    <w:rsid w:val="00B54955"/>
    <w:rsid w:val="00B55B02"/>
    <w:rsid w:val="00B61C80"/>
    <w:rsid w:val="00B624E8"/>
    <w:rsid w:val="00B62E52"/>
    <w:rsid w:val="00B62E5F"/>
    <w:rsid w:val="00B66BF7"/>
    <w:rsid w:val="00B6743D"/>
    <w:rsid w:val="00B67CE2"/>
    <w:rsid w:val="00B7171B"/>
    <w:rsid w:val="00B722D7"/>
    <w:rsid w:val="00B74482"/>
    <w:rsid w:val="00B74A9E"/>
    <w:rsid w:val="00B774B9"/>
    <w:rsid w:val="00B778EC"/>
    <w:rsid w:val="00B77BCF"/>
    <w:rsid w:val="00B81C60"/>
    <w:rsid w:val="00B81FDC"/>
    <w:rsid w:val="00B82A3B"/>
    <w:rsid w:val="00B83F13"/>
    <w:rsid w:val="00B847F3"/>
    <w:rsid w:val="00B90F85"/>
    <w:rsid w:val="00B9187D"/>
    <w:rsid w:val="00B91957"/>
    <w:rsid w:val="00B9232B"/>
    <w:rsid w:val="00B95D89"/>
    <w:rsid w:val="00B97AE4"/>
    <w:rsid w:val="00BA26E6"/>
    <w:rsid w:val="00BA2F68"/>
    <w:rsid w:val="00BA35A5"/>
    <w:rsid w:val="00BA60FE"/>
    <w:rsid w:val="00BB081F"/>
    <w:rsid w:val="00BB3BDC"/>
    <w:rsid w:val="00BB43C9"/>
    <w:rsid w:val="00BB594F"/>
    <w:rsid w:val="00BB5FA4"/>
    <w:rsid w:val="00BB70EE"/>
    <w:rsid w:val="00BC0FBE"/>
    <w:rsid w:val="00BC207D"/>
    <w:rsid w:val="00BC3BB9"/>
    <w:rsid w:val="00BC4198"/>
    <w:rsid w:val="00BC47D8"/>
    <w:rsid w:val="00BC7746"/>
    <w:rsid w:val="00BD0B5C"/>
    <w:rsid w:val="00BD15AC"/>
    <w:rsid w:val="00BD28AD"/>
    <w:rsid w:val="00BD40E8"/>
    <w:rsid w:val="00BD5829"/>
    <w:rsid w:val="00BD5B0C"/>
    <w:rsid w:val="00BD5B6D"/>
    <w:rsid w:val="00BD66AB"/>
    <w:rsid w:val="00BE06E2"/>
    <w:rsid w:val="00BE1DF9"/>
    <w:rsid w:val="00BE2A9F"/>
    <w:rsid w:val="00BE37AB"/>
    <w:rsid w:val="00BE4965"/>
    <w:rsid w:val="00BE51EB"/>
    <w:rsid w:val="00BE7215"/>
    <w:rsid w:val="00BE7598"/>
    <w:rsid w:val="00BE76F9"/>
    <w:rsid w:val="00BF06A3"/>
    <w:rsid w:val="00BF1B46"/>
    <w:rsid w:val="00BF4BE9"/>
    <w:rsid w:val="00BF4EDA"/>
    <w:rsid w:val="00BF66DE"/>
    <w:rsid w:val="00BF67C5"/>
    <w:rsid w:val="00C00A67"/>
    <w:rsid w:val="00C00C58"/>
    <w:rsid w:val="00C03CEF"/>
    <w:rsid w:val="00C0478F"/>
    <w:rsid w:val="00C05CC6"/>
    <w:rsid w:val="00C05D01"/>
    <w:rsid w:val="00C064D3"/>
    <w:rsid w:val="00C15033"/>
    <w:rsid w:val="00C16A1F"/>
    <w:rsid w:val="00C20768"/>
    <w:rsid w:val="00C21338"/>
    <w:rsid w:val="00C249FE"/>
    <w:rsid w:val="00C24C75"/>
    <w:rsid w:val="00C24E6B"/>
    <w:rsid w:val="00C26538"/>
    <w:rsid w:val="00C333A6"/>
    <w:rsid w:val="00C3368F"/>
    <w:rsid w:val="00C34D3D"/>
    <w:rsid w:val="00C36F66"/>
    <w:rsid w:val="00C3762D"/>
    <w:rsid w:val="00C50823"/>
    <w:rsid w:val="00C519BB"/>
    <w:rsid w:val="00C5223E"/>
    <w:rsid w:val="00C55297"/>
    <w:rsid w:val="00C56E7E"/>
    <w:rsid w:val="00C5705D"/>
    <w:rsid w:val="00C62BE6"/>
    <w:rsid w:val="00C62EA5"/>
    <w:rsid w:val="00C6395A"/>
    <w:rsid w:val="00C64C86"/>
    <w:rsid w:val="00C65081"/>
    <w:rsid w:val="00C66A56"/>
    <w:rsid w:val="00C73387"/>
    <w:rsid w:val="00C73E2C"/>
    <w:rsid w:val="00C74431"/>
    <w:rsid w:val="00C7587F"/>
    <w:rsid w:val="00C77A98"/>
    <w:rsid w:val="00C804F6"/>
    <w:rsid w:val="00C82705"/>
    <w:rsid w:val="00C83EF0"/>
    <w:rsid w:val="00C91745"/>
    <w:rsid w:val="00C94EF8"/>
    <w:rsid w:val="00C95F3A"/>
    <w:rsid w:val="00C962CB"/>
    <w:rsid w:val="00CA03CF"/>
    <w:rsid w:val="00CA1A37"/>
    <w:rsid w:val="00CA2831"/>
    <w:rsid w:val="00CA2E17"/>
    <w:rsid w:val="00CA33EF"/>
    <w:rsid w:val="00CA37C7"/>
    <w:rsid w:val="00CA3C14"/>
    <w:rsid w:val="00CA47C4"/>
    <w:rsid w:val="00CA48F5"/>
    <w:rsid w:val="00CA4C12"/>
    <w:rsid w:val="00CA75B6"/>
    <w:rsid w:val="00CB01F1"/>
    <w:rsid w:val="00CB074E"/>
    <w:rsid w:val="00CB1215"/>
    <w:rsid w:val="00CB1464"/>
    <w:rsid w:val="00CB2A7F"/>
    <w:rsid w:val="00CB31B5"/>
    <w:rsid w:val="00CB36D8"/>
    <w:rsid w:val="00CB3EC2"/>
    <w:rsid w:val="00CB3F21"/>
    <w:rsid w:val="00CB502A"/>
    <w:rsid w:val="00CC0480"/>
    <w:rsid w:val="00CC1CF2"/>
    <w:rsid w:val="00CC20EF"/>
    <w:rsid w:val="00CC3E11"/>
    <w:rsid w:val="00CC65BE"/>
    <w:rsid w:val="00CD0A97"/>
    <w:rsid w:val="00CD0AFA"/>
    <w:rsid w:val="00CD12D1"/>
    <w:rsid w:val="00CD5AB5"/>
    <w:rsid w:val="00CE02F3"/>
    <w:rsid w:val="00CE0C58"/>
    <w:rsid w:val="00CE177A"/>
    <w:rsid w:val="00CE57D2"/>
    <w:rsid w:val="00CE691A"/>
    <w:rsid w:val="00CE70E3"/>
    <w:rsid w:val="00CF1B4A"/>
    <w:rsid w:val="00CF6CEA"/>
    <w:rsid w:val="00D02F45"/>
    <w:rsid w:val="00D05AC9"/>
    <w:rsid w:val="00D06936"/>
    <w:rsid w:val="00D07D83"/>
    <w:rsid w:val="00D10497"/>
    <w:rsid w:val="00D10EB7"/>
    <w:rsid w:val="00D126BA"/>
    <w:rsid w:val="00D12EC8"/>
    <w:rsid w:val="00D136ED"/>
    <w:rsid w:val="00D13C1F"/>
    <w:rsid w:val="00D144E1"/>
    <w:rsid w:val="00D16BDD"/>
    <w:rsid w:val="00D2200C"/>
    <w:rsid w:val="00D232DB"/>
    <w:rsid w:val="00D23848"/>
    <w:rsid w:val="00D23E4C"/>
    <w:rsid w:val="00D2704D"/>
    <w:rsid w:val="00D27219"/>
    <w:rsid w:val="00D31C5A"/>
    <w:rsid w:val="00D345E0"/>
    <w:rsid w:val="00D37179"/>
    <w:rsid w:val="00D40B0B"/>
    <w:rsid w:val="00D41023"/>
    <w:rsid w:val="00D41A48"/>
    <w:rsid w:val="00D42607"/>
    <w:rsid w:val="00D431D8"/>
    <w:rsid w:val="00D43B94"/>
    <w:rsid w:val="00D43F81"/>
    <w:rsid w:val="00D4485C"/>
    <w:rsid w:val="00D44E41"/>
    <w:rsid w:val="00D47864"/>
    <w:rsid w:val="00D51636"/>
    <w:rsid w:val="00D52BE2"/>
    <w:rsid w:val="00D54EC1"/>
    <w:rsid w:val="00D6038D"/>
    <w:rsid w:val="00D60992"/>
    <w:rsid w:val="00D63DB7"/>
    <w:rsid w:val="00D648E4"/>
    <w:rsid w:val="00D655E1"/>
    <w:rsid w:val="00D66BED"/>
    <w:rsid w:val="00D6763A"/>
    <w:rsid w:val="00D678B4"/>
    <w:rsid w:val="00D72694"/>
    <w:rsid w:val="00D7455C"/>
    <w:rsid w:val="00D74E6A"/>
    <w:rsid w:val="00D75DDA"/>
    <w:rsid w:val="00D7616C"/>
    <w:rsid w:val="00D76469"/>
    <w:rsid w:val="00D764D8"/>
    <w:rsid w:val="00D76783"/>
    <w:rsid w:val="00D80DD9"/>
    <w:rsid w:val="00D81543"/>
    <w:rsid w:val="00D820D0"/>
    <w:rsid w:val="00D906A4"/>
    <w:rsid w:val="00D94269"/>
    <w:rsid w:val="00DA00C7"/>
    <w:rsid w:val="00DA0364"/>
    <w:rsid w:val="00DA2140"/>
    <w:rsid w:val="00DA2781"/>
    <w:rsid w:val="00DA31E8"/>
    <w:rsid w:val="00DA3336"/>
    <w:rsid w:val="00DB2F23"/>
    <w:rsid w:val="00DB376D"/>
    <w:rsid w:val="00DB3DAE"/>
    <w:rsid w:val="00DB40FE"/>
    <w:rsid w:val="00DB450D"/>
    <w:rsid w:val="00DB6336"/>
    <w:rsid w:val="00DB6DED"/>
    <w:rsid w:val="00DB722D"/>
    <w:rsid w:val="00DC4359"/>
    <w:rsid w:val="00DC6A52"/>
    <w:rsid w:val="00DC71B5"/>
    <w:rsid w:val="00DD0B1F"/>
    <w:rsid w:val="00DD27E6"/>
    <w:rsid w:val="00DD291C"/>
    <w:rsid w:val="00DD4E8B"/>
    <w:rsid w:val="00DD5033"/>
    <w:rsid w:val="00DE12C5"/>
    <w:rsid w:val="00DE1BAA"/>
    <w:rsid w:val="00DE3E6C"/>
    <w:rsid w:val="00DE5F9D"/>
    <w:rsid w:val="00DF0671"/>
    <w:rsid w:val="00DF3A72"/>
    <w:rsid w:val="00DF52EE"/>
    <w:rsid w:val="00DF7E6D"/>
    <w:rsid w:val="00E00B73"/>
    <w:rsid w:val="00E025B6"/>
    <w:rsid w:val="00E04079"/>
    <w:rsid w:val="00E0552A"/>
    <w:rsid w:val="00E101EA"/>
    <w:rsid w:val="00E1261C"/>
    <w:rsid w:val="00E132F9"/>
    <w:rsid w:val="00E1457E"/>
    <w:rsid w:val="00E15636"/>
    <w:rsid w:val="00E15B1E"/>
    <w:rsid w:val="00E16521"/>
    <w:rsid w:val="00E17096"/>
    <w:rsid w:val="00E20024"/>
    <w:rsid w:val="00E20292"/>
    <w:rsid w:val="00E22CB6"/>
    <w:rsid w:val="00E23026"/>
    <w:rsid w:val="00E24DB8"/>
    <w:rsid w:val="00E2786D"/>
    <w:rsid w:val="00E3186F"/>
    <w:rsid w:val="00E35107"/>
    <w:rsid w:val="00E35536"/>
    <w:rsid w:val="00E3784E"/>
    <w:rsid w:val="00E41CD4"/>
    <w:rsid w:val="00E41FB3"/>
    <w:rsid w:val="00E42047"/>
    <w:rsid w:val="00E43161"/>
    <w:rsid w:val="00E433DD"/>
    <w:rsid w:val="00E448B3"/>
    <w:rsid w:val="00E449ED"/>
    <w:rsid w:val="00E44BEA"/>
    <w:rsid w:val="00E452DE"/>
    <w:rsid w:val="00E47378"/>
    <w:rsid w:val="00E4742F"/>
    <w:rsid w:val="00E522C9"/>
    <w:rsid w:val="00E5299E"/>
    <w:rsid w:val="00E54340"/>
    <w:rsid w:val="00E56447"/>
    <w:rsid w:val="00E5645D"/>
    <w:rsid w:val="00E61FC3"/>
    <w:rsid w:val="00E639FA"/>
    <w:rsid w:val="00E64F95"/>
    <w:rsid w:val="00E70EB6"/>
    <w:rsid w:val="00E74809"/>
    <w:rsid w:val="00E76F85"/>
    <w:rsid w:val="00E80098"/>
    <w:rsid w:val="00E80DAC"/>
    <w:rsid w:val="00E8441E"/>
    <w:rsid w:val="00E87145"/>
    <w:rsid w:val="00E90448"/>
    <w:rsid w:val="00E96090"/>
    <w:rsid w:val="00EA326F"/>
    <w:rsid w:val="00EB4F5C"/>
    <w:rsid w:val="00EC17FC"/>
    <w:rsid w:val="00EC2261"/>
    <w:rsid w:val="00EC2D5A"/>
    <w:rsid w:val="00EC7295"/>
    <w:rsid w:val="00ED013B"/>
    <w:rsid w:val="00ED2583"/>
    <w:rsid w:val="00ED357B"/>
    <w:rsid w:val="00ED4E83"/>
    <w:rsid w:val="00ED4F55"/>
    <w:rsid w:val="00ED6FED"/>
    <w:rsid w:val="00ED715D"/>
    <w:rsid w:val="00ED7FB0"/>
    <w:rsid w:val="00EE1B4F"/>
    <w:rsid w:val="00EE2887"/>
    <w:rsid w:val="00EE2B2C"/>
    <w:rsid w:val="00EE2C1A"/>
    <w:rsid w:val="00EE47F3"/>
    <w:rsid w:val="00EE5C27"/>
    <w:rsid w:val="00EE7051"/>
    <w:rsid w:val="00EE7CB5"/>
    <w:rsid w:val="00EF03D8"/>
    <w:rsid w:val="00EF105B"/>
    <w:rsid w:val="00EF1780"/>
    <w:rsid w:val="00EF1D4D"/>
    <w:rsid w:val="00EF3A22"/>
    <w:rsid w:val="00EF4292"/>
    <w:rsid w:val="00EF5131"/>
    <w:rsid w:val="00EF5192"/>
    <w:rsid w:val="00EF53AC"/>
    <w:rsid w:val="00EF5415"/>
    <w:rsid w:val="00F00699"/>
    <w:rsid w:val="00F00C55"/>
    <w:rsid w:val="00F03191"/>
    <w:rsid w:val="00F038C8"/>
    <w:rsid w:val="00F03A1B"/>
    <w:rsid w:val="00F04FC8"/>
    <w:rsid w:val="00F06686"/>
    <w:rsid w:val="00F10FD2"/>
    <w:rsid w:val="00F118D9"/>
    <w:rsid w:val="00F1316B"/>
    <w:rsid w:val="00F14AF1"/>
    <w:rsid w:val="00F176C0"/>
    <w:rsid w:val="00F20E80"/>
    <w:rsid w:val="00F2117F"/>
    <w:rsid w:val="00F21700"/>
    <w:rsid w:val="00F23DB6"/>
    <w:rsid w:val="00F24B37"/>
    <w:rsid w:val="00F25BD5"/>
    <w:rsid w:val="00F26A7D"/>
    <w:rsid w:val="00F31E9F"/>
    <w:rsid w:val="00F3402A"/>
    <w:rsid w:val="00F347BB"/>
    <w:rsid w:val="00F34E41"/>
    <w:rsid w:val="00F3626A"/>
    <w:rsid w:val="00F408B6"/>
    <w:rsid w:val="00F411ED"/>
    <w:rsid w:val="00F41C5C"/>
    <w:rsid w:val="00F439D7"/>
    <w:rsid w:val="00F449EC"/>
    <w:rsid w:val="00F45B24"/>
    <w:rsid w:val="00F46741"/>
    <w:rsid w:val="00F4704B"/>
    <w:rsid w:val="00F559F6"/>
    <w:rsid w:val="00F567E4"/>
    <w:rsid w:val="00F60823"/>
    <w:rsid w:val="00F61F66"/>
    <w:rsid w:val="00F637F2"/>
    <w:rsid w:val="00F642AB"/>
    <w:rsid w:val="00F646B9"/>
    <w:rsid w:val="00F65624"/>
    <w:rsid w:val="00F66C7F"/>
    <w:rsid w:val="00F70019"/>
    <w:rsid w:val="00F73463"/>
    <w:rsid w:val="00F734F3"/>
    <w:rsid w:val="00F763A8"/>
    <w:rsid w:val="00F76805"/>
    <w:rsid w:val="00F801D8"/>
    <w:rsid w:val="00F839C2"/>
    <w:rsid w:val="00F8548B"/>
    <w:rsid w:val="00F86C95"/>
    <w:rsid w:val="00F90C80"/>
    <w:rsid w:val="00F935E3"/>
    <w:rsid w:val="00F95743"/>
    <w:rsid w:val="00FA1F00"/>
    <w:rsid w:val="00FA6FBE"/>
    <w:rsid w:val="00FB1371"/>
    <w:rsid w:val="00FB2F21"/>
    <w:rsid w:val="00FB3FE5"/>
    <w:rsid w:val="00FB4884"/>
    <w:rsid w:val="00FB6BB0"/>
    <w:rsid w:val="00FB74CD"/>
    <w:rsid w:val="00FC0E55"/>
    <w:rsid w:val="00FC2D34"/>
    <w:rsid w:val="00FC3E74"/>
    <w:rsid w:val="00FC4924"/>
    <w:rsid w:val="00FC4B4F"/>
    <w:rsid w:val="00FC62F9"/>
    <w:rsid w:val="00FC7026"/>
    <w:rsid w:val="00FC710A"/>
    <w:rsid w:val="00FC7362"/>
    <w:rsid w:val="00FD0B3B"/>
    <w:rsid w:val="00FD0B88"/>
    <w:rsid w:val="00FD26EA"/>
    <w:rsid w:val="00FD4CBC"/>
    <w:rsid w:val="00FD5F6A"/>
    <w:rsid w:val="00FD6659"/>
    <w:rsid w:val="00FD6F53"/>
    <w:rsid w:val="00FD72D9"/>
    <w:rsid w:val="00FE0A72"/>
    <w:rsid w:val="00FE11EE"/>
    <w:rsid w:val="00FE1303"/>
    <w:rsid w:val="00FE1E6C"/>
    <w:rsid w:val="00FE2689"/>
    <w:rsid w:val="00FE743D"/>
    <w:rsid w:val="00FF5B22"/>
    <w:rsid w:val="043164D2"/>
    <w:rsid w:val="081411D8"/>
    <w:rsid w:val="0AF67B2D"/>
    <w:rsid w:val="0B0D3F4A"/>
    <w:rsid w:val="0BFE4EEC"/>
    <w:rsid w:val="0D7327EC"/>
    <w:rsid w:val="0D8C5EDB"/>
    <w:rsid w:val="0E8F3F2C"/>
    <w:rsid w:val="0FFC7994"/>
    <w:rsid w:val="10F75988"/>
    <w:rsid w:val="129077DE"/>
    <w:rsid w:val="1337758C"/>
    <w:rsid w:val="153876C0"/>
    <w:rsid w:val="1B643148"/>
    <w:rsid w:val="1D1247BD"/>
    <w:rsid w:val="1F7147B9"/>
    <w:rsid w:val="1F9C084C"/>
    <w:rsid w:val="22160D89"/>
    <w:rsid w:val="23DA5DE6"/>
    <w:rsid w:val="25E1345C"/>
    <w:rsid w:val="26B7240F"/>
    <w:rsid w:val="27910DB0"/>
    <w:rsid w:val="2AFF0C9D"/>
    <w:rsid w:val="2B512E32"/>
    <w:rsid w:val="2C840FE5"/>
    <w:rsid w:val="2E071130"/>
    <w:rsid w:val="2E5C3FC8"/>
    <w:rsid w:val="30D30BA7"/>
    <w:rsid w:val="30E36564"/>
    <w:rsid w:val="311247D7"/>
    <w:rsid w:val="31837ABD"/>
    <w:rsid w:val="32E26A66"/>
    <w:rsid w:val="340053F5"/>
    <w:rsid w:val="34945D4F"/>
    <w:rsid w:val="34FA0097"/>
    <w:rsid w:val="35471076"/>
    <w:rsid w:val="359E4EC6"/>
    <w:rsid w:val="369C3233"/>
    <w:rsid w:val="378306BB"/>
    <w:rsid w:val="385817FD"/>
    <w:rsid w:val="3CA54D8C"/>
    <w:rsid w:val="3CDB4BD3"/>
    <w:rsid w:val="3E7C7D6E"/>
    <w:rsid w:val="3EAB6915"/>
    <w:rsid w:val="3FB74861"/>
    <w:rsid w:val="3FF1653A"/>
    <w:rsid w:val="4303280C"/>
    <w:rsid w:val="43A0067D"/>
    <w:rsid w:val="45B918A8"/>
    <w:rsid w:val="46772BA7"/>
    <w:rsid w:val="47616744"/>
    <w:rsid w:val="479223B1"/>
    <w:rsid w:val="4948541D"/>
    <w:rsid w:val="4C784F20"/>
    <w:rsid w:val="4CAF130F"/>
    <w:rsid w:val="4D287E29"/>
    <w:rsid w:val="4D4060B9"/>
    <w:rsid w:val="4DAD7353"/>
    <w:rsid w:val="4FE82F87"/>
    <w:rsid w:val="554F368F"/>
    <w:rsid w:val="55904B7D"/>
    <w:rsid w:val="5AE503A3"/>
    <w:rsid w:val="5C7B5EC6"/>
    <w:rsid w:val="5CEE7C31"/>
    <w:rsid w:val="5D32290A"/>
    <w:rsid w:val="5D8B2006"/>
    <w:rsid w:val="5F682E20"/>
    <w:rsid w:val="60AE1BB1"/>
    <w:rsid w:val="60CA06AC"/>
    <w:rsid w:val="617F22E3"/>
    <w:rsid w:val="643B6113"/>
    <w:rsid w:val="6695111E"/>
    <w:rsid w:val="66C57C55"/>
    <w:rsid w:val="672C1A82"/>
    <w:rsid w:val="6796339F"/>
    <w:rsid w:val="67CF7FC8"/>
    <w:rsid w:val="68721717"/>
    <w:rsid w:val="69E90B9B"/>
    <w:rsid w:val="6AC332DF"/>
    <w:rsid w:val="6B4E646B"/>
    <w:rsid w:val="6C742B08"/>
    <w:rsid w:val="6D6A3304"/>
    <w:rsid w:val="6FBA62FD"/>
    <w:rsid w:val="7045140B"/>
    <w:rsid w:val="70895C81"/>
    <w:rsid w:val="71F94C57"/>
    <w:rsid w:val="73122001"/>
    <w:rsid w:val="738B4787"/>
    <w:rsid w:val="743411F0"/>
    <w:rsid w:val="74654825"/>
    <w:rsid w:val="757F5203"/>
    <w:rsid w:val="75EF084A"/>
    <w:rsid w:val="75EF2664"/>
    <w:rsid w:val="7938296B"/>
    <w:rsid w:val="79BD2A0E"/>
    <w:rsid w:val="7A3C5C98"/>
    <w:rsid w:val="7B6E5D6D"/>
    <w:rsid w:val="7C547659"/>
    <w:rsid w:val="7CDE33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firstLine="200" w:firstLineChars="200"/>
    </w:pPr>
    <w:rPr>
      <w:rFonts w:ascii="仿宋" w:hAnsi="仿宋" w:eastAsia="仿宋_GB2312" w:cs="仿宋"/>
      <w:kern w:val="2"/>
      <w:sz w:val="28"/>
      <w:szCs w:val="28"/>
      <w:lang w:val="en-US" w:eastAsia="zh-CN" w:bidi="ar-SA"/>
    </w:rPr>
  </w:style>
  <w:style w:type="paragraph" w:styleId="2">
    <w:name w:val="heading 1"/>
    <w:basedOn w:val="1"/>
    <w:next w:val="1"/>
    <w:link w:val="33"/>
    <w:qFormat/>
    <w:uiPriority w:val="0"/>
    <w:pPr>
      <w:keepNext/>
      <w:keepLines/>
      <w:spacing w:before="120" w:after="120"/>
      <w:ind w:firstLine="0" w:firstLineChars="0"/>
      <w:outlineLvl w:val="0"/>
    </w:pPr>
    <w:rPr>
      <w:b/>
      <w:bCs/>
      <w:kern w:val="44"/>
      <w:sz w:val="32"/>
      <w:szCs w:val="44"/>
    </w:rPr>
  </w:style>
  <w:style w:type="paragraph" w:styleId="3">
    <w:name w:val="heading 2"/>
    <w:basedOn w:val="1"/>
    <w:next w:val="1"/>
    <w:link w:val="34"/>
    <w:unhideWhenUsed/>
    <w:qFormat/>
    <w:uiPriority w:val="9"/>
    <w:pPr>
      <w:keepNext/>
      <w:keepLines/>
      <w:spacing w:before="240" w:after="240"/>
      <w:outlineLvl w:val="1"/>
    </w:pPr>
    <w:rPr>
      <w:rFonts w:asciiTheme="majorHAnsi" w:hAnsiTheme="majorHAnsi" w:cstheme="majorBidi"/>
      <w:b/>
      <w:bCs/>
      <w:sz w:val="30"/>
      <w:szCs w:val="32"/>
    </w:rPr>
  </w:style>
  <w:style w:type="paragraph" w:styleId="4">
    <w:name w:val="heading 3"/>
    <w:basedOn w:val="1"/>
    <w:next w:val="1"/>
    <w:link w:val="35"/>
    <w:unhideWhenUsed/>
    <w:qFormat/>
    <w:uiPriority w:val="0"/>
    <w:pPr>
      <w:keepNext/>
      <w:keepLines/>
      <w:spacing w:before="260" w:after="260"/>
      <w:outlineLvl w:val="2"/>
    </w:pPr>
    <w:rPr>
      <w:b/>
      <w:bCs/>
      <w:szCs w:val="32"/>
    </w:rPr>
  </w:style>
  <w:style w:type="paragraph" w:styleId="5">
    <w:name w:val="heading 5"/>
    <w:basedOn w:val="1"/>
    <w:next w:val="1"/>
    <w:link w:val="57"/>
    <w:semiHidden/>
    <w:unhideWhenUsed/>
    <w:qFormat/>
    <w:uiPriority w:val="0"/>
    <w:pPr>
      <w:keepNext/>
      <w:keepLines/>
      <w:spacing w:before="280" w:after="290" w:line="376" w:lineRule="auto"/>
      <w:outlineLvl w:val="4"/>
    </w:pPr>
    <w:rPr>
      <w:b/>
      <w:bCs/>
    </w:rPr>
  </w:style>
  <w:style w:type="character" w:default="1" w:styleId="23">
    <w:name w:val="Default Paragraph Font"/>
    <w:semiHidden/>
    <w:unhideWhenUsed/>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6">
    <w:name w:val="Normal Indent"/>
    <w:basedOn w:val="1"/>
    <w:qFormat/>
    <w:uiPriority w:val="0"/>
    <w:pPr>
      <w:widowControl w:val="0"/>
      <w:autoSpaceDE w:val="0"/>
      <w:autoSpaceDN w:val="0"/>
      <w:adjustRightInd w:val="0"/>
      <w:ind w:firstLine="420" w:firstLineChars="0"/>
    </w:pPr>
    <w:rPr>
      <w:rFonts w:ascii="宋体" w:hAnsi="Times New Roman" w:eastAsia="宋体" w:cs="Times New Roman"/>
      <w:kern w:val="0"/>
      <w:sz w:val="24"/>
      <w:szCs w:val="20"/>
    </w:rPr>
  </w:style>
  <w:style w:type="paragraph" w:styleId="7">
    <w:name w:val="annotation text"/>
    <w:basedOn w:val="1"/>
    <w:link w:val="49"/>
    <w:unhideWhenUsed/>
    <w:qFormat/>
    <w:uiPriority w:val="99"/>
  </w:style>
  <w:style w:type="paragraph" w:styleId="8">
    <w:name w:val="Body Text"/>
    <w:basedOn w:val="1"/>
    <w:link w:val="53"/>
    <w:semiHidden/>
    <w:unhideWhenUsed/>
    <w:qFormat/>
    <w:uiPriority w:val="99"/>
    <w:pPr>
      <w:spacing w:after="120"/>
    </w:pPr>
  </w:style>
  <w:style w:type="paragraph" w:styleId="9">
    <w:name w:val="toc 3"/>
    <w:basedOn w:val="1"/>
    <w:next w:val="1"/>
    <w:autoRedefine/>
    <w:unhideWhenUsed/>
    <w:qFormat/>
    <w:uiPriority w:val="39"/>
    <w:pPr>
      <w:ind w:left="840" w:leftChars="400"/>
    </w:pPr>
  </w:style>
  <w:style w:type="paragraph" w:styleId="10">
    <w:name w:val="Date"/>
    <w:basedOn w:val="1"/>
    <w:next w:val="1"/>
    <w:link w:val="76"/>
    <w:semiHidden/>
    <w:unhideWhenUsed/>
    <w:qFormat/>
    <w:uiPriority w:val="99"/>
    <w:pPr>
      <w:ind w:left="100" w:leftChars="2500"/>
    </w:pPr>
  </w:style>
  <w:style w:type="paragraph" w:styleId="11">
    <w:name w:val="Balloon Text"/>
    <w:basedOn w:val="1"/>
    <w:link w:val="51"/>
    <w:semiHidden/>
    <w:unhideWhenUsed/>
    <w:qFormat/>
    <w:uiPriority w:val="99"/>
    <w:rPr>
      <w:sz w:val="18"/>
      <w:szCs w:val="18"/>
    </w:rPr>
  </w:style>
  <w:style w:type="paragraph" w:styleId="12">
    <w:name w:val="footer"/>
    <w:basedOn w:val="1"/>
    <w:link w:val="29"/>
    <w:qFormat/>
    <w:uiPriority w:val="99"/>
    <w:pPr>
      <w:tabs>
        <w:tab w:val="center" w:pos="4153"/>
        <w:tab w:val="right" w:pos="8306"/>
      </w:tabs>
      <w:snapToGrid w:val="0"/>
    </w:pPr>
    <w:rPr>
      <w:rFonts w:ascii="Times New Roman" w:hAnsi="Times New Roman"/>
      <w:sz w:val="18"/>
      <w:szCs w:val="18"/>
      <w:lang w:val="zh-CN"/>
    </w:rPr>
  </w:style>
  <w:style w:type="paragraph" w:styleId="13">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unhideWhenUsed/>
    <w:qFormat/>
    <w:uiPriority w:val="39"/>
    <w:pPr>
      <w:tabs>
        <w:tab w:val="left" w:pos="1680"/>
        <w:tab w:val="right" w:leader="dot" w:pos="8681"/>
      </w:tabs>
      <w:spacing w:line="440" w:lineRule="exact"/>
      <w:ind w:firstLine="560"/>
    </w:pPr>
  </w:style>
  <w:style w:type="paragraph" w:styleId="15">
    <w:name w:val="toc 2"/>
    <w:basedOn w:val="1"/>
    <w:next w:val="1"/>
    <w:autoRedefine/>
    <w:unhideWhenUsed/>
    <w:qFormat/>
    <w:uiPriority w:val="39"/>
    <w:pPr>
      <w:tabs>
        <w:tab w:val="right" w:leader="dot" w:pos="8681"/>
      </w:tabs>
      <w:spacing w:line="520" w:lineRule="exact"/>
      <w:ind w:left="560" w:leftChars="200" w:firstLine="560"/>
    </w:pPr>
  </w:style>
  <w:style w:type="paragraph" w:styleId="16">
    <w:name w:val="Normal (Web)"/>
    <w:basedOn w:val="1"/>
    <w:unhideWhenUsed/>
    <w:qFormat/>
    <w:uiPriority w:val="99"/>
    <w:pPr>
      <w:spacing w:before="100" w:beforeAutospacing="1" w:after="100" w:afterAutospacing="1"/>
      <w:ind w:firstLine="0" w:firstLineChars="0"/>
    </w:pPr>
    <w:rPr>
      <w:rFonts w:ascii="宋体" w:hAnsi="宋体" w:eastAsia="宋体" w:cs="宋体"/>
      <w:kern w:val="0"/>
      <w:sz w:val="24"/>
      <w:szCs w:val="24"/>
    </w:rPr>
  </w:style>
  <w:style w:type="paragraph" w:styleId="17">
    <w:name w:val="index 1"/>
    <w:basedOn w:val="1"/>
    <w:next w:val="1"/>
    <w:autoRedefine/>
    <w:semiHidden/>
    <w:unhideWhenUsed/>
    <w:qFormat/>
    <w:uiPriority w:val="99"/>
    <w:pPr>
      <w:ind w:firstLine="0"/>
    </w:pPr>
  </w:style>
  <w:style w:type="paragraph" w:styleId="18">
    <w:name w:val="Title"/>
    <w:basedOn w:val="1"/>
    <w:next w:val="1"/>
    <w:link w:val="32"/>
    <w:qFormat/>
    <w:uiPriority w:val="0"/>
    <w:pPr>
      <w:spacing w:before="240" w:after="240"/>
      <w:ind w:firstLine="0" w:firstLineChars="0"/>
      <w:jc w:val="center"/>
      <w:outlineLvl w:val="0"/>
    </w:pPr>
    <w:rPr>
      <w:rFonts w:eastAsia="微软雅黑" w:asciiTheme="majorHAnsi" w:hAnsiTheme="majorHAnsi" w:cstheme="majorBidi"/>
      <w:b/>
      <w:bCs/>
      <w:sz w:val="44"/>
      <w:szCs w:val="32"/>
    </w:rPr>
  </w:style>
  <w:style w:type="paragraph" w:styleId="19">
    <w:name w:val="annotation subject"/>
    <w:basedOn w:val="7"/>
    <w:next w:val="7"/>
    <w:link w:val="50"/>
    <w:semiHidden/>
    <w:unhideWhenUsed/>
    <w:qFormat/>
    <w:uiPriority w:val="99"/>
    <w:rPr>
      <w:b/>
      <w:bCs/>
    </w:rPr>
  </w:style>
  <w:style w:type="paragraph" w:styleId="20">
    <w:name w:val="Body Text First Indent"/>
    <w:basedOn w:val="8"/>
    <w:link w:val="54"/>
    <w:semiHidden/>
    <w:unhideWhenUsed/>
    <w:qFormat/>
    <w:uiPriority w:val="99"/>
    <w:pPr>
      <w:ind w:firstLine="420" w:firstLineChars="100"/>
    </w:p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basedOn w:val="23"/>
    <w:semiHidden/>
    <w:unhideWhenUsed/>
    <w:qFormat/>
    <w:uiPriority w:val="99"/>
    <w:rPr>
      <w:color w:val="954F72" w:themeColor="followedHyperlink"/>
      <w:u w:val="single"/>
      <w14:textFill>
        <w14:solidFill>
          <w14:schemeClr w14:val="folHlink"/>
        </w14:solidFill>
      </w14:textFill>
    </w:rPr>
  </w:style>
  <w:style w:type="character" w:styleId="25">
    <w:name w:val="Hyperlink"/>
    <w:basedOn w:val="23"/>
    <w:unhideWhenUsed/>
    <w:qFormat/>
    <w:uiPriority w:val="99"/>
    <w:rPr>
      <w:color w:val="0563C1" w:themeColor="hyperlink"/>
      <w:u w:val="single"/>
      <w14:textFill>
        <w14:solidFill>
          <w14:schemeClr w14:val="hlink"/>
        </w14:solidFill>
      </w14:textFill>
    </w:rPr>
  </w:style>
  <w:style w:type="character" w:styleId="26">
    <w:name w:val="annotation reference"/>
    <w:basedOn w:val="23"/>
    <w:unhideWhenUsed/>
    <w:qFormat/>
    <w:uiPriority w:val="0"/>
    <w:rPr>
      <w:sz w:val="21"/>
      <w:szCs w:val="21"/>
    </w:rPr>
  </w:style>
  <w:style w:type="character" w:customStyle="1" w:styleId="27">
    <w:name w:val="font21"/>
    <w:qFormat/>
    <w:uiPriority w:val="0"/>
    <w:rPr>
      <w:rFonts w:hint="eastAsia" w:ascii="宋体" w:hAnsi="宋体" w:eastAsia="宋体" w:cs="宋体"/>
      <w:color w:val="000000"/>
      <w:sz w:val="24"/>
      <w:szCs w:val="24"/>
      <w:u w:val="none"/>
    </w:rPr>
  </w:style>
  <w:style w:type="paragraph" w:customStyle="1" w:styleId="28">
    <w:name w:val="列出段落1"/>
    <w:basedOn w:val="1"/>
    <w:qFormat/>
    <w:uiPriority w:val="34"/>
    <w:pPr>
      <w:ind w:left="720"/>
      <w:contextualSpacing/>
    </w:pPr>
  </w:style>
  <w:style w:type="character" w:customStyle="1" w:styleId="29">
    <w:name w:val="页脚 字符"/>
    <w:link w:val="12"/>
    <w:qFormat/>
    <w:uiPriority w:val="99"/>
    <w:rPr>
      <w:rFonts w:eastAsia="仿宋" w:cs="仿宋"/>
      <w:kern w:val="2"/>
      <w:sz w:val="18"/>
      <w:szCs w:val="18"/>
      <w:lang w:val="zh-CN" w:eastAsia="zh-CN"/>
    </w:rPr>
  </w:style>
  <w:style w:type="paragraph" w:styleId="30">
    <w:name w:val="List Paragraph"/>
    <w:basedOn w:val="1"/>
    <w:link w:val="40"/>
    <w:qFormat/>
    <w:uiPriority w:val="34"/>
    <w:pPr>
      <w:ind w:firstLine="420"/>
    </w:pPr>
  </w:style>
  <w:style w:type="character" w:customStyle="1" w:styleId="31">
    <w:name w:val="页眉 字符"/>
    <w:basedOn w:val="23"/>
    <w:link w:val="13"/>
    <w:qFormat/>
    <w:uiPriority w:val="99"/>
    <w:rPr>
      <w:rFonts w:ascii="仿宋" w:hAnsi="仿宋" w:eastAsia="仿宋" w:cs="仿宋"/>
      <w:kern w:val="2"/>
      <w:sz w:val="18"/>
      <w:szCs w:val="18"/>
    </w:rPr>
  </w:style>
  <w:style w:type="character" w:customStyle="1" w:styleId="32">
    <w:name w:val="标题 字符"/>
    <w:basedOn w:val="23"/>
    <w:link w:val="18"/>
    <w:qFormat/>
    <w:uiPriority w:val="0"/>
    <w:rPr>
      <w:rFonts w:eastAsia="微软雅黑" w:asciiTheme="majorHAnsi" w:hAnsiTheme="majorHAnsi" w:cstheme="majorBidi"/>
      <w:b/>
      <w:bCs/>
      <w:kern w:val="2"/>
      <w:sz w:val="44"/>
      <w:szCs w:val="32"/>
    </w:rPr>
  </w:style>
  <w:style w:type="character" w:customStyle="1" w:styleId="33">
    <w:name w:val="标题 1 字符"/>
    <w:basedOn w:val="23"/>
    <w:link w:val="2"/>
    <w:qFormat/>
    <w:uiPriority w:val="0"/>
    <w:rPr>
      <w:rFonts w:ascii="仿宋" w:hAnsi="仿宋" w:eastAsia="仿宋_GB2312" w:cs="仿宋"/>
      <w:b/>
      <w:bCs/>
      <w:kern w:val="44"/>
      <w:sz w:val="32"/>
      <w:szCs w:val="44"/>
    </w:rPr>
  </w:style>
  <w:style w:type="character" w:customStyle="1" w:styleId="34">
    <w:name w:val="标题 2 字符"/>
    <w:basedOn w:val="23"/>
    <w:link w:val="3"/>
    <w:qFormat/>
    <w:uiPriority w:val="0"/>
    <w:rPr>
      <w:rFonts w:eastAsia="仿宋_GB2312" w:asciiTheme="majorHAnsi" w:hAnsiTheme="majorHAnsi" w:cstheme="majorBidi"/>
      <w:b/>
      <w:bCs/>
      <w:kern w:val="2"/>
      <w:sz w:val="30"/>
      <w:szCs w:val="32"/>
    </w:rPr>
  </w:style>
  <w:style w:type="character" w:customStyle="1" w:styleId="35">
    <w:name w:val="标题 3 字符"/>
    <w:basedOn w:val="23"/>
    <w:link w:val="4"/>
    <w:qFormat/>
    <w:uiPriority w:val="0"/>
    <w:rPr>
      <w:rFonts w:ascii="仿宋" w:hAnsi="仿宋" w:eastAsia="仿宋_GB2312" w:cs="仿宋"/>
      <w:b/>
      <w:bCs/>
      <w:kern w:val="2"/>
      <w:sz w:val="28"/>
      <w:szCs w:val="32"/>
    </w:rPr>
  </w:style>
  <w:style w:type="paragraph" w:customStyle="1" w:styleId="36">
    <w:name w:val="标题1"/>
    <w:basedOn w:val="2"/>
    <w:link w:val="37"/>
    <w:qFormat/>
    <w:uiPriority w:val="0"/>
    <w:pPr>
      <w:widowControl w:val="0"/>
      <w:spacing w:before="0" w:after="0"/>
      <w:jc w:val="both"/>
    </w:pPr>
    <w:rPr>
      <w:rFonts w:eastAsia="华文仿宋" w:cs="Calibri"/>
      <w:sz w:val="36"/>
    </w:rPr>
  </w:style>
  <w:style w:type="character" w:customStyle="1" w:styleId="37">
    <w:name w:val="标题1 字符"/>
    <w:basedOn w:val="33"/>
    <w:link w:val="36"/>
    <w:qFormat/>
    <w:uiPriority w:val="0"/>
    <w:rPr>
      <w:rFonts w:ascii="仿宋" w:hAnsi="仿宋" w:eastAsia="华文仿宋" w:cs="Calibri"/>
      <w:kern w:val="44"/>
      <w:sz w:val="36"/>
      <w:szCs w:val="44"/>
    </w:rPr>
  </w:style>
  <w:style w:type="paragraph" w:customStyle="1" w:styleId="38">
    <w:name w:val="正文样式"/>
    <w:link w:val="39"/>
    <w:unhideWhenUsed/>
    <w:qFormat/>
    <w:uiPriority w:val="0"/>
    <w:pPr>
      <w:widowControl w:val="0"/>
      <w:spacing w:line="360" w:lineRule="auto"/>
      <w:ind w:firstLine="200" w:firstLineChars="200"/>
      <w:jc w:val="both"/>
    </w:pPr>
    <w:rPr>
      <w:rFonts w:ascii="Times New Roman" w:hAnsi="Times New Roman" w:eastAsia="宋体" w:cs="Times New Roman"/>
      <w:bCs/>
      <w:snapToGrid w:val="0"/>
      <w:sz w:val="24"/>
      <w:szCs w:val="44"/>
      <w:lang w:val="en-US" w:eastAsia="zh-CN" w:bidi="ar-SA"/>
    </w:rPr>
  </w:style>
  <w:style w:type="character" w:customStyle="1" w:styleId="39">
    <w:name w:val="正文样式 Char"/>
    <w:link w:val="38"/>
    <w:qFormat/>
    <w:uiPriority w:val="0"/>
    <w:rPr>
      <w:bCs/>
      <w:snapToGrid w:val="0"/>
      <w:sz w:val="24"/>
      <w:szCs w:val="44"/>
    </w:rPr>
  </w:style>
  <w:style w:type="character" w:customStyle="1" w:styleId="40">
    <w:name w:val="列表段落 字符"/>
    <w:link w:val="30"/>
    <w:qFormat/>
    <w:locked/>
    <w:uiPriority w:val="34"/>
    <w:rPr>
      <w:rFonts w:ascii="仿宋" w:hAnsi="仿宋" w:eastAsia="仿宋_GB2312" w:cs="仿宋"/>
      <w:kern w:val="2"/>
      <w:sz w:val="28"/>
      <w:szCs w:val="28"/>
    </w:rPr>
  </w:style>
  <w:style w:type="paragraph" w:customStyle="1" w:styleId="41">
    <w:name w:val="CM14"/>
    <w:basedOn w:val="1"/>
    <w:next w:val="1"/>
    <w:link w:val="42"/>
    <w:qFormat/>
    <w:uiPriority w:val="99"/>
    <w:pPr>
      <w:widowControl w:val="0"/>
      <w:autoSpaceDE w:val="0"/>
      <w:autoSpaceDN w:val="0"/>
      <w:adjustRightInd w:val="0"/>
      <w:spacing w:line="653" w:lineRule="atLeast"/>
      <w:ind w:firstLine="0" w:firstLineChars="0"/>
    </w:pPr>
    <w:rPr>
      <w:rFonts w:ascii="黑体" w:hAnsi="Times New Roman" w:eastAsia="黑体" w:cs="Times New Roman"/>
      <w:kern w:val="0"/>
      <w:sz w:val="24"/>
      <w:szCs w:val="24"/>
    </w:rPr>
  </w:style>
  <w:style w:type="character" w:customStyle="1" w:styleId="42">
    <w:name w:val="CM14 字符"/>
    <w:basedOn w:val="23"/>
    <w:link w:val="41"/>
    <w:qFormat/>
    <w:uiPriority w:val="99"/>
    <w:rPr>
      <w:rFonts w:ascii="黑体" w:eastAsia="黑体"/>
      <w:sz w:val="24"/>
      <w:szCs w:val="24"/>
    </w:rPr>
  </w:style>
  <w:style w:type="paragraph" w:customStyle="1" w:styleId="43">
    <w:name w:val="样式2"/>
    <w:basedOn w:val="1"/>
    <w:link w:val="44"/>
    <w:qFormat/>
    <w:uiPriority w:val="0"/>
    <w:pPr>
      <w:widowControl w:val="0"/>
      <w:autoSpaceDE w:val="0"/>
      <w:autoSpaceDN w:val="0"/>
      <w:adjustRightInd w:val="0"/>
      <w:spacing w:line="276" w:lineRule="auto"/>
      <w:ind w:firstLine="0" w:firstLineChars="0"/>
      <w:outlineLvl w:val="1"/>
    </w:pPr>
    <w:rPr>
      <w:rFonts w:ascii="CKIJGQ+Times-Bold" w:hAnsi="Times New Roman" w:eastAsia="仿宋" w:cs="CKIJGQ+Times-Bold"/>
      <w:b/>
      <w:bCs/>
      <w:kern w:val="0"/>
      <w:sz w:val="32"/>
      <w:szCs w:val="32"/>
    </w:rPr>
  </w:style>
  <w:style w:type="character" w:customStyle="1" w:styleId="44">
    <w:name w:val="样式2 字符"/>
    <w:link w:val="43"/>
    <w:qFormat/>
    <w:uiPriority w:val="0"/>
    <w:rPr>
      <w:rFonts w:ascii="CKIJGQ+Times-Bold" w:eastAsia="仿宋" w:cs="CKIJGQ+Times-Bold"/>
      <w:b/>
      <w:bCs/>
      <w:sz w:val="32"/>
      <w:szCs w:val="32"/>
    </w:rPr>
  </w:style>
  <w:style w:type="paragraph" w:customStyle="1" w:styleId="45">
    <w:name w:val="样式3"/>
    <w:basedOn w:val="1"/>
    <w:link w:val="46"/>
    <w:qFormat/>
    <w:uiPriority w:val="0"/>
    <w:pPr>
      <w:widowControl w:val="0"/>
      <w:autoSpaceDE w:val="0"/>
      <w:autoSpaceDN w:val="0"/>
      <w:adjustRightInd w:val="0"/>
      <w:spacing w:line="276" w:lineRule="auto"/>
      <w:ind w:firstLine="0" w:firstLineChars="0"/>
      <w:outlineLvl w:val="2"/>
    </w:pPr>
    <w:rPr>
      <w:rFonts w:ascii="CKIJGQ+Times-Bold" w:hAnsi="Times New Roman" w:eastAsia="仿宋" w:cs="CKIJGQ+Times-Bold"/>
      <w:b/>
      <w:bCs/>
      <w:color w:val="000000"/>
      <w:kern w:val="0"/>
      <w:sz w:val="30"/>
      <w:szCs w:val="30"/>
    </w:rPr>
  </w:style>
  <w:style w:type="character" w:customStyle="1" w:styleId="46">
    <w:name w:val="样式3 字符"/>
    <w:link w:val="45"/>
    <w:qFormat/>
    <w:uiPriority w:val="0"/>
    <w:rPr>
      <w:rFonts w:ascii="CKIJGQ+Times-Bold" w:eastAsia="仿宋" w:cs="CKIJGQ+Times-Bold"/>
      <w:b/>
      <w:bCs/>
      <w:color w:val="000000"/>
      <w:sz w:val="30"/>
      <w:szCs w:val="30"/>
    </w:rPr>
  </w:style>
  <w:style w:type="paragraph" w:customStyle="1" w:styleId="47">
    <w:name w:val="TOC 标题1"/>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2F5597" w:themeColor="accent1" w:themeShade="BF"/>
      <w:kern w:val="0"/>
      <w:szCs w:val="32"/>
    </w:rPr>
  </w:style>
  <w:style w:type="paragraph" w:customStyle="1" w:styleId="48">
    <w:name w:val="2级标题"/>
    <w:basedOn w:val="1"/>
    <w:autoRedefine/>
    <w:qFormat/>
    <w:uiPriority w:val="0"/>
    <w:pPr>
      <w:widowControl w:val="0"/>
      <w:adjustRightInd w:val="0"/>
      <w:snapToGrid w:val="0"/>
      <w:spacing w:before="480" w:after="360"/>
      <w:ind w:firstLine="0" w:firstLineChars="0"/>
      <w:outlineLvl w:val="1"/>
    </w:pPr>
    <w:rPr>
      <w:rFonts w:ascii="Times New Roman" w:hAnsi="Times New Roman" w:eastAsia="黑体" w:cs="Times New Roman"/>
      <w:sz w:val="30"/>
      <w:szCs w:val="24"/>
    </w:rPr>
  </w:style>
  <w:style w:type="character" w:customStyle="1" w:styleId="49">
    <w:name w:val="批注文字 字符"/>
    <w:basedOn w:val="23"/>
    <w:link w:val="7"/>
    <w:qFormat/>
    <w:uiPriority w:val="99"/>
    <w:rPr>
      <w:rFonts w:ascii="仿宋" w:hAnsi="仿宋" w:eastAsia="仿宋_GB2312" w:cs="仿宋"/>
      <w:kern w:val="2"/>
      <w:sz w:val="28"/>
      <w:szCs w:val="28"/>
    </w:rPr>
  </w:style>
  <w:style w:type="character" w:customStyle="1" w:styleId="50">
    <w:name w:val="批注主题 字符"/>
    <w:basedOn w:val="49"/>
    <w:link w:val="19"/>
    <w:semiHidden/>
    <w:qFormat/>
    <w:uiPriority w:val="99"/>
    <w:rPr>
      <w:rFonts w:ascii="仿宋" w:hAnsi="仿宋" w:eastAsia="仿宋_GB2312" w:cs="仿宋"/>
      <w:b/>
      <w:bCs/>
      <w:kern w:val="2"/>
      <w:sz w:val="28"/>
      <w:szCs w:val="28"/>
    </w:rPr>
  </w:style>
  <w:style w:type="character" w:customStyle="1" w:styleId="51">
    <w:name w:val="批注框文本 字符"/>
    <w:basedOn w:val="23"/>
    <w:link w:val="11"/>
    <w:semiHidden/>
    <w:qFormat/>
    <w:uiPriority w:val="99"/>
    <w:rPr>
      <w:rFonts w:ascii="仿宋" w:hAnsi="仿宋" w:eastAsia="仿宋_GB2312" w:cs="仿宋"/>
      <w:kern w:val="2"/>
      <w:sz w:val="18"/>
      <w:szCs w:val="18"/>
    </w:rPr>
  </w:style>
  <w:style w:type="paragraph" w:customStyle="1" w:styleId="52">
    <w:name w:val="_Style 44"/>
    <w:basedOn w:val="1"/>
    <w:next w:val="20"/>
    <w:qFormat/>
    <w:uiPriority w:val="0"/>
    <w:pPr>
      <w:widowControl w:val="0"/>
      <w:spacing w:line="360" w:lineRule="auto"/>
      <w:jc w:val="both"/>
    </w:pPr>
    <w:rPr>
      <w:rFonts w:ascii="Times New Roman" w:hAnsi="Times New Roman" w:eastAsia="宋体" w:cs="Times New Roman"/>
      <w:kern w:val="0"/>
      <w:sz w:val="21"/>
      <w:szCs w:val="20"/>
      <w:lang w:val="zh-CN"/>
    </w:rPr>
  </w:style>
  <w:style w:type="character" w:customStyle="1" w:styleId="53">
    <w:name w:val="正文文本 字符"/>
    <w:basedOn w:val="23"/>
    <w:link w:val="8"/>
    <w:semiHidden/>
    <w:qFormat/>
    <w:uiPriority w:val="99"/>
    <w:rPr>
      <w:rFonts w:ascii="仿宋" w:hAnsi="仿宋" w:eastAsia="仿宋_GB2312" w:cs="仿宋"/>
      <w:kern w:val="2"/>
      <w:sz w:val="28"/>
      <w:szCs w:val="28"/>
    </w:rPr>
  </w:style>
  <w:style w:type="character" w:customStyle="1" w:styleId="54">
    <w:name w:val="正文文本首行缩进 字符"/>
    <w:basedOn w:val="53"/>
    <w:link w:val="20"/>
    <w:semiHidden/>
    <w:qFormat/>
    <w:uiPriority w:val="99"/>
    <w:rPr>
      <w:rFonts w:ascii="仿宋" w:hAnsi="仿宋" w:eastAsia="仿宋_GB2312" w:cs="仿宋"/>
      <w:kern w:val="2"/>
      <w:sz w:val="28"/>
      <w:szCs w:val="28"/>
    </w:rPr>
  </w:style>
  <w:style w:type="character" w:customStyle="1" w:styleId="55">
    <w:name w:val="m正文 Char"/>
    <w:link w:val="56"/>
    <w:qFormat/>
    <w:uiPriority w:val="0"/>
    <w:rPr>
      <w:rFonts w:ascii="宋体" w:hAnsi="宋体"/>
      <w:kern w:val="2"/>
      <w:sz w:val="24"/>
      <w:szCs w:val="24"/>
    </w:rPr>
  </w:style>
  <w:style w:type="paragraph" w:customStyle="1" w:styleId="56">
    <w:name w:val="m正文"/>
    <w:basedOn w:val="1"/>
    <w:link w:val="55"/>
    <w:qFormat/>
    <w:uiPriority w:val="0"/>
    <w:pPr>
      <w:widowControl w:val="0"/>
      <w:snapToGrid w:val="0"/>
      <w:spacing w:before="50" w:after="50" w:line="360" w:lineRule="exact"/>
      <w:jc w:val="both"/>
    </w:pPr>
    <w:rPr>
      <w:rFonts w:ascii="宋体" w:hAnsi="宋体" w:eastAsia="宋体" w:cs="Times New Roman"/>
      <w:sz w:val="24"/>
      <w:szCs w:val="24"/>
    </w:rPr>
  </w:style>
  <w:style w:type="character" w:customStyle="1" w:styleId="57">
    <w:name w:val="标题 5 字符"/>
    <w:basedOn w:val="23"/>
    <w:link w:val="5"/>
    <w:semiHidden/>
    <w:qFormat/>
    <w:uiPriority w:val="0"/>
    <w:rPr>
      <w:rFonts w:ascii="仿宋" w:hAnsi="仿宋" w:eastAsia="仿宋_GB2312" w:cs="仿宋"/>
      <w:b/>
      <w:bCs/>
      <w:kern w:val="2"/>
      <w:sz w:val="28"/>
      <w:szCs w:val="28"/>
    </w:rPr>
  </w:style>
  <w:style w:type="paragraph" w:customStyle="1" w:styleId="58">
    <w:name w:val="_Style 52"/>
    <w:basedOn w:val="1"/>
    <w:next w:val="20"/>
    <w:qFormat/>
    <w:uiPriority w:val="0"/>
    <w:pPr>
      <w:widowControl w:val="0"/>
      <w:spacing w:line="360" w:lineRule="auto"/>
      <w:jc w:val="both"/>
    </w:pPr>
    <w:rPr>
      <w:rFonts w:ascii="Times New Roman" w:hAnsi="Times New Roman" w:eastAsia="宋体" w:cs="Times New Roman"/>
      <w:kern w:val="0"/>
      <w:sz w:val="21"/>
      <w:szCs w:val="20"/>
      <w:lang w:val="zh-CN"/>
    </w:rPr>
  </w:style>
  <w:style w:type="character" w:customStyle="1" w:styleId="59">
    <w:name w:val="未处理的提及1"/>
    <w:basedOn w:val="23"/>
    <w:semiHidden/>
    <w:unhideWhenUsed/>
    <w:qFormat/>
    <w:uiPriority w:val="99"/>
    <w:rPr>
      <w:color w:val="605E5C"/>
      <w:shd w:val="clear" w:color="auto" w:fill="E1DFDD"/>
    </w:rPr>
  </w:style>
  <w:style w:type="paragraph" w:customStyle="1" w:styleId="60">
    <w:name w:val="修订1"/>
    <w:hidden/>
    <w:semiHidden/>
    <w:qFormat/>
    <w:uiPriority w:val="99"/>
    <w:rPr>
      <w:rFonts w:ascii="仿宋" w:hAnsi="仿宋" w:eastAsia="仿宋_GB2312" w:cs="仿宋"/>
      <w:kern w:val="2"/>
      <w:sz w:val="28"/>
      <w:szCs w:val="28"/>
      <w:lang w:val="en-US" w:eastAsia="zh-CN" w:bidi="ar-SA"/>
    </w:rPr>
  </w:style>
  <w:style w:type="character" w:customStyle="1" w:styleId="61">
    <w:name w:val="未处理的提及2"/>
    <w:basedOn w:val="23"/>
    <w:semiHidden/>
    <w:unhideWhenUsed/>
    <w:qFormat/>
    <w:uiPriority w:val="99"/>
    <w:rPr>
      <w:color w:val="605E5C"/>
      <w:shd w:val="clear" w:color="auto" w:fill="E1DFDD"/>
    </w:rPr>
  </w:style>
  <w:style w:type="paragraph" w:customStyle="1" w:styleId="62">
    <w:name w:val="HPC正文"/>
    <w:basedOn w:val="1"/>
    <w:link w:val="63"/>
    <w:qFormat/>
    <w:uiPriority w:val="0"/>
    <w:pPr>
      <w:widowControl w:val="0"/>
      <w:spacing w:line="360" w:lineRule="auto"/>
      <w:ind w:firstLine="424" w:firstLineChars="202"/>
      <w:jc w:val="both"/>
    </w:pPr>
    <w:rPr>
      <w:rFonts w:ascii="Times New Roman" w:hAnsi="Times New Roman" w:eastAsiaTheme="minorEastAsia" w:cstheme="minorBidi"/>
      <w:sz w:val="21"/>
      <w:szCs w:val="21"/>
    </w:rPr>
  </w:style>
  <w:style w:type="character" w:customStyle="1" w:styleId="63">
    <w:name w:val="HPC正文 Char"/>
    <w:basedOn w:val="23"/>
    <w:link w:val="62"/>
    <w:qFormat/>
    <w:uiPriority w:val="0"/>
    <w:rPr>
      <w:rFonts w:eastAsiaTheme="minorEastAsia" w:cstheme="minorBidi"/>
      <w:kern w:val="2"/>
      <w:sz w:val="21"/>
      <w:szCs w:val="21"/>
    </w:rPr>
  </w:style>
  <w:style w:type="paragraph" w:customStyle="1" w:styleId="64">
    <w:name w:val="HPC题1"/>
    <w:basedOn w:val="2"/>
    <w:next w:val="62"/>
    <w:link w:val="67"/>
    <w:qFormat/>
    <w:uiPriority w:val="0"/>
    <w:pPr>
      <w:widowControl w:val="0"/>
      <w:numPr>
        <w:ilvl w:val="0"/>
        <w:numId w:val="1"/>
      </w:numPr>
      <w:adjustRightInd w:val="0"/>
      <w:spacing w:after="0"/>
      <w:jc w:val="both"/>
    </w:pPr>
    <w:rPr>
      <w:rFonts w:ascii="微软雅黑" w:hAnsi="微软雅黑" w:eastAsia="微软雅黑" w:cstheme="minorBidi"/>
    </w:rPr>
  </w:style>
  <w:style w:type="paragraph" w:customStyle="1" w:styleId="65">
    <w:name w:val="HPC题2"/>
    <w:basedOn w:val="64"/>
    <w:next w:val="62"/>
    <w:link w:val="68"/>
    <w:qFormat/>
    <w:uiPriority w:val="0"/>
    <w:pPr>
      <w:numPr>
        <w:ilvl w:val="1"/>
      </w:numPr>
      <w:snapToGrid w:val="0"/>
      <w:outlineLvl w:val="1"/>
    </w:pPr>
    <w:rPr>
      <w:sz w:val="28"/>
    </w:rPr>
  </w:style>
  <w:style w:type="paragraph" w:customStyle="1" w:styleId="66">
    <w:name w:val="HPC题3"/>
    <w:basedOn w:val="65"/>
    <w:next w:val="62"/>
    <w:link w:val="69"/>
    <w:qFormat/>
    <w:uiPriority w:val="0"/>
    <w:pPr>
      <w:numPr>
        <w:ilvl w:val="2"/>
      </w:numPr>
      <w:outlineLvl w:val="2"/>
    </w:pPr>
    <w:rPr>
      <w:sz w:val="24"/>
    </w:rPr>
  </w:style>
  <w:style w:type="character" w:customStyle="1" w:styleId="67">
    <w:name w:val="HPC题1 Char"/>
    <w:basedOn w:val="23"/>
    <w:link w:val="64"/>
    <w:qFormat/>
    <w:uiPriority w:val="0"/>
    <w:rPr>
      <w:rFonts w:ascii="微软雅黑" w:hAnsi="微软雅黑" w:eastAsia="微软雅黑" w:cstheme="minorBidi"/>
      <w:b/>
      <w:bCs/>
      <w:kern w:val="44"/>
      <w:sz w:val="32"/>
      <w:szCs w:val="44"/>
    </w:rPr>
  </w:style>
  <w:style w:type="character" w:customStyle="1" w:styleId="68">
    <w:name w:val="HPC题2 Char"/>
    <w:basedOn w:val="67"/>
    <w:link w:val="65"/>
    <w:qFormat/>
    <w:uiPriority w:val="0"/>
    <w:rPr>
      <w:rFonts w:ascii="微软雅黑" w:hAnsi="微软雅黑" w:eastAsia="微软雅黑" w:cstheme="minorBidi"/>
      <w:kern w:val="44"/>
      <w:sz w:val="28"/>
      <w:szCs w:val="44"/>
    </w:rPr>
  </w:style>
  <w:style w:type="character" w:customStyle="1" w:styleId="69">
    <w:name w:val="HPC题3 Char"/>
    <w:basedOn w:val="23"/>
    <w:link w:val="66"/>
    <w:qFormat/>
    <w:uiPriority w:val="0"/>
    <w:rPr>
      <w:rFonts w:ascii="微软雅黑" w:hAnsi="微软雅黑" w:eastAsia="微软雅黑" w:cstheme="minorBidi"/>
      <w:b/>
      <w:bCs/>
      <w:kern w:val="44"/>
      <w:sz w:val="24"/>
      <w:szCs w:val="44"/>
    </w:rPr>
  </w:style>
  <w:style w:type="paragraph" w:customStyle="1" w:styleId="70">
    <w:name w:val="HPC代码"/>
    <w:next w:val="62"/>
    <w:link w:val="74"/>
    <w:qFormat/>
    <w:uiPriority w:val="0"/>
    <w:pPr>
      <w:shd w:val="clear" w:color="538135" w:themeColor="accent6" w:themeShade="BF" w:fill="D8D8D8" w:themeFill="background1" w:themeFillShade="D9"/>
    </w:pPr>
    <w:rPr>
      <w:rFonts w:ascii="Courier New" w:hAnsi="Courier New" w:eastAsia="楷体" w:cstheme="minorBidi"/>
      <w:kern w:val="2"/>
      <w:sz w:val="21"/>
      <w:szCs w:val="21"/>
      <w:lang w:val="en-US" w:eastAsia="zh-CN" w:bidi="ar-SA"/>
    </w:rPr>
  </w:style>
  <w:style w:type="paragraph" w:customStyle="1" w:styleId="71">
    <w:name w:val="HPC题4"/>
    <w:basedOn w:val="66"/>
    <w:next w:val="62"/>
    <w:qFormat/>
    <w:uiPriority w:val="0"/>
    <w:pPr>
      <w:numPr>
        <w:ilvl w:val="3"/>
      </w:numPr>
      <w:ind w:left="1680" w:hanging="420"/>
      <w:jc w:val="left"/>
      <w:outlineLvl w:val="3"/>
    </w:pPr>
    <w:rPr>
      <w:rFonts w:cs="Times New Roman"/>
      <w:sz w:val="21"/>
    </w:rPr>
  </w:style>
  <w:style w:type="paragraph" w:customStyle="1" w:styleId="72">
    <w:name w:val="HPC题5"/>
    <w:basedOn w:val="71"/>
    <w:next w:val="62"/>
    <w:qFormat/>
    <w:uiPriority w:val="0"/>
    <w:pPr>
      <w:numPr>
        <w:ilvl w:val="4"/>
      </w:numPr>
      <w:ind w:left="2100" w:hanging="420"/>
      <w:outlineLvl w:val="4"/>
    </w:pPr>
  </w:style>
  <w:style w:type="paragraph" w:customStyle="1" w:styleId="73">
    <w:name w:val="HPC题6"/>
    <w:basedOn w:val="72"/>
    <w:next w:val="62"/>
    <w:qFormat/>
    <w:uiPriority w:val="0"/>
    <w:pPr>
      <w:numPr>
        <w:ilvl w:val="5"/>
      </w:numPr>
      <w:ind w:left="2520" w:hanging="420"/>
      <w:outlineLvl w:val="5"/>
    </w:pPr>
  </w:style>
  <w:style w:type="character" w:customStyle="1" w:styleId="74">
    <w:name w:val="HPC代码 Char"/>
    <w:link w:val="70"/>
    <w:qFormat/>
    <w:uiPriority w:val="0"/>
    <w:rPr>
      <w:rFonts w:ascii="Courier New" w:hAnsi="Courier New" w:eastAsia="楷体" w:cstheme="minorBidi"/>
      <w:kern w:val="2"/>
      <w:sz w:val="21"/>
      <w:szCs w:val="21"/>
      <w:shd w:val="clear" w:color="538135" w:themeColor="accent6" w:themeShade="BF" w:fill="D8D8D8" w:themeFill="background1" w:themeFillShade="D9"/>
    </w:rPr>
  </w:style>
  <w:style w:type="paragraph" w:customStyle="1" w:styleId="75">
    <w:name w:val="tabletext"/>
    <w:basedOn w:val="1"/>
    <w:qFormat/>
    <w:uiPriority w:val="0"/>
    <w:pPr>
      <w:spacing w:before="100" w:beforeAutospacing="1" w:after="100" w:afterAutospacing="1"/>
      <w:ind w:firstLine="0" w:firstLineChars="0"/>
    </w:pPr>
    <w:rPr>
      <w:rFonts w:ascii="宋体" w:hAnsi="宋体" w:eastAsia="宋体" w:cs="宋体"/>
      <w:kern w:val="0"/>
      <w:sz w:val="24"/>
      <w:szCs w:val="24"/>
    </w:rPr>
  </w:style>
  <w:style w:type="character" w:customStyle="1" w:styleId="76">
    <w:name w:val="日期 字符"/>
    <w:basedOn w:val="23"/>
    <w:link w:val="10"/>
    <w:semiHidden/>
    <w:qFormat/>
    <w:uiPriority w:val="99"/>
    <w:rPr>
      <w:rFonts w:ascii="仿宋" w:hAnsi="仿宋" w:eastAsia="仿宋_GB2312" w:cs="仿宋"/>
      <w:kern w:val="2"/>
      <w:sz w:val="28"/>
      <w:szCs w:val="28"/>
    </w:rPr>
  </w:style>
  <w:style w:type="paragraph" w:customStyle="1" w:styleId="77">
    <w:name w:val="修订2"/>
    <w:hidden/>
    <w:unhideWhenUsed/>
    <w:qFormat/>
    <w:uiPriority w:val="99"/>
    <w:rPr>
      <w:rFonts w:ascii="仿宋" w:hAnsi="仿宋" w:eastAsia="仿宋_GB2312" w:cs="仿宋"/>
      <w:kern w:val="2"/>
      <w:sz w:val="28"/>
      <w:szCs w:val="28"/>
      <w:lang w:val="en-US" w:eastAsia="zh-CN" w:bidi="ar-SA"/>
    </w:rPr>
  </w:style>
  <w:style w:type="character" w:customStyle="1" w:styleId="78">
    <w:name w:val="font11"/>
    <w:basedOn w:val="23"/>
    <w:qFormat/>
    <w:uiPriority w:val="0"/>
    <w:rPr>
      <w:rFonts w:hint="eastAsia" w:ascii="宋体" w:hAnsi="宋体" w:eastAsia="宋体" w:cs="宋体"/>
      <w:color w:val="000000"/>
      <w:sz w:val="24"/>
      <w:szCs w:val="24"/>
      <w:u w:val="none"/>
    </w:rPr>
  </w:style>
  <w:style w:type="paragraph" w:customStyle="1" w:styleId="79">
    <w:name w:val="修订3"/>
    <w:hidden/>
    <w:unhideWhenUsed/>
    <w:qFormat/>
    <w:uiPriority w:val="99"/>
    <w:rPr>
      <w:rFonts w:ascii="仿宋" w:hAnsi="仿宋" w:eastAsia="仿宋_GB2312" w:cs="仿宋"/>
      <w:kern w:val="2"/>
      <w:sz w:val="28"/>
      <w:szCs w:val="28"/>
      <w:lang w:val="en-US" w:eastAsia="zh-CN" w:bidi="ar-SA"/>
    </w:rPr>
  </w:style>
  <w:style w:type="character" w:customStyle="1" w:styleId="80">
    <w:name w:val="未处理的提及3"/>
    <w:basedOn w:val="23"/>
    <w:semiHidden/>
    <w:unhideWhenUsed/>
    <w:qFormat/>
    <w:uiPriority w:val="99"/>
    <w:rPr>
      <w:color w:val="605E5C"/>
      <w:shd w:val="clear" w:color="auto" w:fill="E1DFDD"/>
    </w:rPr>
  </w:style>
  <w:style w:type="paragraph" w:customStyle="1" w:styleId="81">
    <w:name w:val="修订4"/>
    <w:hidden/>
    <w:unhideWhenUsed/>
    <w:qFormat/>
    <w:uiPriority w:val="99"/>
    <w:rPr>
      <w:rFonts w:ascii="仿宋" w:hAnsi="仿宋" w:eastAsia="仿宋_GB2312" w:cs="仿宋"/>
      <w:kern w:val="2"/>
      <w:sz w:val="28"/>
      <w:szCs w:val="28"/>
      <w:lang w:val="en-US" w:eastAsia="zh-CN" w:bidi="ar-SA"/>
    </w:rPr>
  </w:style>
  <w:style w:type="paragraph" w:customStyle="1" w:styleId="8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3">
    <w:name w:val="Revision"/>
    <w:hidden/>
    <w:unhideWhenUsed/>
    <w:qFormat/>
    <w:uiPriority w:val="99"/>
    <w:rPr>
      <w:rFonts w:ascii="仿宋" w:hAnsi="仿宋" w:eastAsia="仿宋_GB2312" w:cs="仿宋"/>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783B0-D1BC-4D8E-A543-7136872332F9}">
  <ds:schemaRefs/>
</ds:datastoreItem>
</file>

<file path=docProps/app.xml><?xml version="1.0" encoding="utf-8"?>
<Properties xmlns="http://schemas.openxmlformats.org/officeDocument/2006/extended-properties" xmlns:vt="http://schemas.openxmlformats.org/officeDocument/2006/docPropsVTypes">
  <Template>Normal</Template>
  <Pages>10</Pages>
  <Words>1810</Words>
  <Characters>2142</Characters>
  <Lines>38</Lines>
  <Paragraphs>10</Paragraphs>
  <TotalTime>7</TotalTime>
  <ScaleCrop>false</ScaleCrop>
  <LinksUpToDate>false</LinksUpToDate>
  <CharactersWithSpaces>2212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2026-07-10T01:54:00Z</dcterms:created>
  <dc:creator>李征</dc:creator>
  <cp:lastModifiedBy>小丫</cp:lastModifiedBy>
  <cp:lastPrinted>2021-12-16T06:42:00Z</cp:lastPrinted>
  <dcterms:modified xsi:type="dcterms:W3CDTF">2026-07-14T07:01:23Z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eyJoZGlkIjoiNjQwZWY4ODQyOWVjNDNkMTdjOWY2ZTg4ZjNhNzJiNDIiLCJ1c2VySWQiOiI3NzIxMjk4NjYifQ==</vt:lpwstr>
  </property>
  <property fmtid="{D5CDD505-2E9C-101B-9397-08002B2CF9AE}" pid="3" name="KSOProductBuildVer">
    <vt:lpwstr>2052-12.1.0.26895</vt:lpwstr>
  </property>
  <property fmtid="{D5CDD505-2E9C-101B-9397-08002B2CF9AE}" pid="4" name="ICV">
    <vt:lpwstr>FC0C46500EBC4E25BBFFF9662976EA2B_13</vt:lpwstr>
  </property>
</Properties>
</file>