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56" w:beforeLines="50" w:line="360" w:lineRule="auto"/>
        <w:jc w:val="center"/>
        <w:rPr>
          <w:b/>
          <w:bCs/>
          <w:sz w:val="32"/>
          <w:szCs w:val="32"/>
          <w:u w:val="single"/>
        </w:rPr>
      </w:pPr>
      <w:r>
        <w:rPr>
          <w:rFonts w:hint="eastAsia"/>
          <w:b/>
          <w:bCs/>
          <w:sz w:val="32"/>
          <w:szCs w:val="32"/>
          <w:u w:val="single"/>
        </w:rPr>
        <w:t>紫荆学生公寓1-3、11-14号楼修缮搬家纸箱、编织袋</w:t>
      </w:r>
    </w:p>
    <w:p>
      <w:pPr>
        <w:spacing w:before="156" w:beforeLines="50" w:line="360" w:lineRule="auto"/>
        <w:jc w:val="center"/>
        <w:rPr>
          <w:b/>
          <w:bCs/>
          <w:sz w:val="32"/>
          <w:szCs w:val="52"/>
        </w:rPr>
      </w:pPr>
      <w:r>
        <w:rPr>
          <w:b/>
          <w:bCs/>
          <w:sz w:val="32"/>
          <w:szCs w:val="52"/>
        </w:rPr>
        <w:t>采购合同</w:t>
      </w:r>
    </w:p>
    <w:tbl>
      <w:tblPr>
        <w:tblStyle w:val="10"/>
        <w:tblpPr w:leftFromText="180" w:rightFromText="180" w:vertAnchor="text" w:horzAnchor="page" w:tblpX="2012" w:tblpY="293"/>
        <w:tblOverlap w:val="never"/>
        <w:tblW w:w="89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36"/>
        <w:gridCol w:w="43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3" w:hRule="atLeast"/>
        </w:trPr>
        <w:tc>
          <w:tcPr>
            <w:tcW w:w="4536" w:type="dxa"/>
          </w:tcPr>
          <w:p>
            <w:pPr>
              <w:spacing w:line="360" w:lineRule="auto"/>
              <w:rPr>
                <w:szCs w:val="21"/>
              </w:rPr>
            </w:pPr>
            <w:r>
              <w:rPr>
                <w:rFonts w:hint="eastAsia"/>
                <w:szCs w:val="21"/>
              </w:rPr>
              <w:t xml:space="preserve">甲方（盖章）：清华大学学生社区管理服务中心                </w:t>
            </w:r>
          </w:p>
          <w:p>
            <w:pPr>
              <w:spacing w:line="360" w:lineRule="auto"/>
              <w:rPr>
                <w:szCs w:val="21"/>
              </w:rPr>
            </w:pPr>
            <w:r>
              <w:rPr>
                <w:rFonts w:hint="eastAsia"/>
                <w:szCs w:val="21"/>
              </w:rPr>
              <w:t>负责人：（科长及分管主任）</w:t>
            </w:r>
          </w:p>
          <w:p>
            <w:pPr>
              <w:spacing w:line="360" w:lineRule="auto"/>
              <w:rPr>
                <w:szCs w:val="21"/>
              </w:rPr>
            </w:pPr>
            <w:r>
              <w:rPr>
                <w:szCs w:val="21"/>
              </w:rPr>
              <w:t>地址：北京市海淀区清华园</w:t>
            </w:r>
          </w:p>
          <w:p>
            <w:pPr>
              <w:spacing w:line="360" w:lineRule="auto"/>
              <w:rPr>
                <w:szCs w:val="21"/>
              </w:rPr>
            </w:pPr>
            <w:r>
              <w:rPr>
                <w:szCs w:val="21"/>
              </w:rPr>
              <w:t>开户银行：工行海淀西区支行</w:t>
            </w:r>
          </w:p>
          <w:p>
            <w:pPr>
              <w:spacing w:line="360" w:lineRule="auto"/>
              <w:rPr>
                <w:szCs w:val="21"/>
              </w:rPr>
            </w:pPr>
            <w:r>
              <w:rPr>
                <w:szCs w:val="21"/>
              </w:rPr>
              <w:t>税号：12100000400000624D</w:t>
            </w:r>
          </w:p>
          <w:p>
            <w:pPr>
              <w:spacing w:line="360" w:lineRule="auto"/>
              <w:rPr>
                <w:szCs w:val="21"/>
              </w:rPr>
            </w:pPr>
            <w:r>
              <w:rPr>
                <w:rFonts w:hint="eastAsia"/>
                <w:szCs w:val="21"/>
              </w:rPr>
              <w:t>银行账号：</w:t>
            </w:r>
            <w:r>
              <w:rPr>
                <w:rFonts w:eastAsiaTheme="minorEastAsia"/>
                <w:szCs w:val="21"/>
              </w:rPr>
              <w:t>0200004509089131550</w:t>
            </w:r>
          </w:p>
          <w:p>
            <w:pPr>
              <w:spacing w:line="360" w:lineRule="auto"/>
              <w:rPr>
                <w:szCs w:val="21"/>
              </w:rPr>
            </w:pPr>
            <w:r>
              <w:rPr>
                <w:rFonts w:hint="eastAsia"/>
                <w:szCs w:val="21"/>
              </w:rPr>
              <w:t>项目负责人（联系人）：</w:t>
            </w:r>
          </w:p>
          <w:p>
            <w:pPr>
              <w:spacing w:line="360" w:lineRule="auto"/>
              <w:rPr>
                <w:szCs w:val="21"/>
              </w:rPr>
            </w:pPr>
            <w:r>
              <w:rPr>
                <w:szCs w:val="21"/>
              </w:rPr>
              <w:t>联系</w:t>
            </w:r>
            <w:r>
              <w:rPr>
                <w:rFonts w:hint="eastAsia"/>
                <w:szCs w:val="21"/>
              </w:rPr>
              <w:t>电话</w:t>
            </w:r>
            <w:r>
              <w:rPr>
                <w:szCs w:val="21"/>
              </w:rPr>
              <w:t>：</w:t>
            </w:r>
          </w:p>
          <w:p>
            <w:pPr>
              <w:spacing w:line="360" w:lineRule="auto"/>
              <w:rPr>
                <w:szCs w:val="21"/>
              </w:rPr>
            </w:pPr>
            <w:r>
              <w:rPr>
                <w:rFonts w:hint="eastAsia"/>
                <w:szCs w:val="21"/>
              </w:rPr>
              <w:t>签署地点：清华大学</w:t>
            </w:r>
          </w:p>
          <w:p>
            <w:pPr>
              <w:spacing w:line="360" w:lineRule="auto"/>
              <w:rPr>
                <w:szCs w:val="21"/>
                <w:u w:val="single"/>
              </w:rPr>
            </w:pPr>
            <w:r>
              <w:rPr>
                <w:rFonts w:hint="eastAsia"/>
                <w:szCs w:val="21"/>
              </w:rPr>
              <w:t>签署日期：</w:t>
            </w:r>
          </w:p>
        </w:tc>
        <w:tc>
          <w:tcPr>
            <w:tcW w:w="4383" w:type="dxa"/>
          </w:tcPr>
          <w:p>
            <w:pPr>
              <w:spacing w:line="360" w:lineRule="auto"/>
              <w:rPr>
                <w:szCs w:val="21"/>
              </w:rPr>
            </w:pPr>
            <w:r>
              <w:rPr>
                <w:rFonts w:hint="eastAsia"/>
                <w:szCs w:val="21"/>
              </w:rPr>
              <w:t xml:space="preserve"> </w:t>
            </w:r>
            <w:r>
              <w:rPr>
                <w:b/>
                <w:sz w:val="22"/>
                <w:szCs w:val="22"/>
              </w:rPr>
              <w:t>乙方（盖章）</w:t>
            </w:r>
            <w:r>
              <w:rPr>
                <w:sz w:val="22"/>
                <w:szCs w:val="22"/>
              </w:rPr>
              <w:t>：</w:t>
            </w:r>
          </w:p>
          <w:p>
            <w:pPr>
              <w:spacing w:line="360" w:lineRule="auto"/>
              <w:rPr>
                <w:szCs w:val="21"/>
              </w:rPr>
            </w:pPr>
            <w:r>
              <w:rPr>
                <w:szCs w:val="21"/>
              </w:rPr>
              <w:t>法定代表人</w:t>
            </w:r>
          </w:p>
          <w:p>
            <w:pPr>
              <w:spacing w:line="360" w:lineRule="auto"/>
              <w:rPr>
                <w:szCs w:val="21"/>
              </w:rPr>
            </w:pPr>
            <w:r>
              <w:rPr>
                <w:rFonts w:hint="eastAsia"/>
                <w:szCs w:val="21"/>
              </w:rPr>
              <w:t>联系</w:t>
            </w:r>
            <w:r>
              <w:rPr>
                <w:szCs w:val="21"/>
              </w:rPr>
              <w:t xml:space="preserve">地址： </w:t>
            </w:r>
          </w:p>
          <w:p>
            <w:pPr>
              <w:spacing w:line="360" w:lineRule="auto"/>
              <w:rPr>
                <w:szCs w:val="21"/>
              </w:rPr>
            </w:pPr>
            <w:r>
              <w:rPr>
                <w:szCs w:val="21"/>
              </w:rPr>
              <w:t>开户行：</w:t>
            </w:r>
          </w:p>
          <w:p>
            <w:pPr>
              <w:spacing w:line="360" w:lineRule="auto"/>
              <w:rPr>
                <w:szCs w:val="21"/>
              </w:rPr>
            </w:pPr>
            <w:r>
              <w:rPr>
                <w:szCs w:val="21"/>
              </w:rPr>
              <w:t>银行账号：</w:t>
            </w:r>
          </w:p>
          <w:p>
            <w:pPr>
              <w:spacing w:line="360" w:lineRule="auto"/>
              <w:rPr>
                <w:szCs w:val="21"/>
              </w:rPr>
            </w:pPr>
            <w:r>
              <w:rPr>
                <w:rFonts w:hint="eastAsia"/>
                <w:szCs w:val="21"/>
              </w:rPr>
              <w:t>单位电话（固话）：</w:t>
            </w:r>
          </w:p>
          <w:p>
            <w:pPr>
              <w:spacing w:line="360" w:lineRule="auto"/>
              <w:rPr>
                <w:szCs w:val="21"/>
              </w:rPr>
            </w:pPr>
            <w:r>
              <w:rPr>
                <w:rFonts w:hint="eastAsia"/>
                <w:szCs w:val="21"/>
              </w:rPr>
              <w:t>联系人：</w:t>
            </w:r>
          </w:p>
          <w:p>
            <w:pPr>
              <w:spacing w:line="360" w:lineRule="auto"/>
              <w:rPr>
                <w:szCs w:val="21"/>
              </w:rPr>
            </w:pPr>
            <w:r>
              <w:rPr>
                <w:szCs w:val="21"/>
              </w:rPr>
              <w:t>联系</w:t>
            </w:r>
            <w:r>
              <w:rPr>
                <w:rFonts w:hint="eastAsia"/>
                <w:szCs w:val="21"/>
              </w:rPr>
              <w:t>电话</w:t>
            </w:r>
            <w:r>
              <w:rPr>
                <w:szCs w:val="21"/>
              </w:rPr>
              <w:t xml:space="preserve">： </w:t>
            </w:r>
          </w:p>
          <w:p>
            <w:pPr>
              <w:spacing w:line="360" w:lineRule="auto"/>
              <w:rPr>
                <w:szCs w:val="21"/>
              </w:rPr>
            </w:pPr>
            <w:r>
              <w:rPr>
                <w:rFonts w:hint="eastAsia"/>
                <w:szCs w:val="21"/>
              </w:rPr>
              <w:t>签署日期：</w:t>
            </w:r>
            <w:r>
              <w:rPr>
                <w:szCs w:val="21"/>
              </w:rPr>
              <w:t xml:space="preserve">                                                                                                                                                                                                                                                                                                                                                                                                                                                                                                                                                                                                                                                                                                                                                                                                                                                                                                                                                                                                                                                                                                                                                                                                                                                                                                                                                                                                                                                                                                                                                                                                                                                                                                                                                                                                                                                                                                                                                                                                                                                                                                                                                                                                                                                                                                                                                                                                                                                                                                                                                                                                                                                                                                                                                                                                                                                                                                                                                                                                                                                                                                                                                                                                                                                                                                                                                                                                                                                                                                                                                                                                                                                                                                                                                                                                                                                                                                                                                                                                                                                                                                                                                                                                                </w:t>
            </w:r>
            <w:r>
              <w:rPr>
                <w:szCs w:val="21"/>
              </w:rPr>
              <w:t xml:space="preserve">                                                                                                                                                                                                                                                                                                                                                                                                                                                                                                                                                                                                                                                                                                                                                                                                                               </w:t>
            </w:r>
          </w:p>
        </w:tc>
      </w:tr>
    </w:tbl>
    <w:p>
      <w:pPr>
        <w:spacing w:after="156" w:afterLines="50" w:line="360" w:lineRule="exact"/>
        <w:rPr>
          <w:szCs w:val="21"/>
        </w:rPr>
      </w:pPr>
    </w:p>
    <w:p>
      <w:pPr>
        <w:spacing w:after="156" w:afterLines="50" w:line="360" w:lineRule="exact"/>
        <w:ind w:firstLine="420" w:firstLineChars="200"/>
        <w:rPr>
          <w:szCs w:val="21"/>
        </w:rPr>
      </w:pPr>
      <w:r>
        <w:rPr>
          <w:szCs w:val="21"/>
        </w:rPr>
        <w:t>根据《中华人民共和国</w:t>
      </w:r>
      <w:r>
        <w:rPr>
          <w:rFonts w:hint="eastAsia"/>
          <w:szCs w:val="21"/>
        </w:rPr>
        <w:t>民法典</w:t>
      </w:r>
      <w:r>
        <w:rPr>
          <w:szCs w:val="21"/>
        </w:rPr>
        <w:t>》以及有关法律的规定，</w:t>
      </w:r>
      <w:r>
        <w:rPr>
          <w:rFonts w:hint="eastAsia"/>
          <w:szCs w:val="21"/>
        </w:rPr>
        <w:t>甲乙双方</w:t>
      </w:r>
      <w:r>
        <w:rPr>
          <w:szCs w:val="21"/>
        </w:rPr>
        <w:t>经过友好协商，本着诚实守信</w:t>
      </w:r>
      <w:r>
        <w:rPr>
          <w:rFonts w:hint="eastAsia"/>
          <w:szCs w:val="21"/>
        </w:rPr>
        <w:t>、</w:t>
      </w:r>
      <w:r>
        <w:rPr>
          <w:szCs w:val="21"/>
        </w:rPr>
        <w:t>公平公正的合作原则，就甲方向乙方购买</w:t>
      </w:r>
      <w:r>
        <w:rPr>
          <w:rFonts w:hint="eastAsia"/>
          <w:szCs w:val="21"/>
        </w:rPr>
        <w:t>货物</w:t>
      </w:r>
      <w:r>
        <w:rPr>
          <w:szCs w:val="21"/>
        </w:rPr>
        <w:t>事宜达成本合同，议定条款如下</w:t>
      </w:r>
      <w:r>
        <w:rPr>
          <w:rFonts w:hint="eastAsia"/>
          <w:szCs w:val="21"/>
        </w:rPr>
        <w:t>。</w:t>
      </w:r>
    </w:p>
    <w:p>
      <w:pPr>
        <w:pStyle w:val="2"/>
        <w:spacing w:before="0" w:after="156" w:afterLines="50" w:line="360" w:lineRule="auto"/>
        <w:rPr>
          <w:sz w:val="21"/>
          <w:szCs w:val="21"/>
          <w:lang w:val="en-US"/>
        </w:rPr>
      </w:pPr>
      <w:bookmarkStart w:id="0" w:name="_Toc48641594"/>
      <w:r>
        <w:rPr>
          <w:rFonts w:hint="eastAsia"/>
          <w:sz w:val="21"/>
          <w:szCs w:val="21"/>
        </w:rPr>
        <w:t>第一条</w:t>
      </w:r>
      <w:r>
        <w:rPr>
          <w:sz w:val="21"/>
          <w:szCs w:val="21"/>
        </w:rPr>
        <w:t xml:space="preserve"> 合同标的</w:t>
      </w:r>
      <w:bookmarkEnd w:id="0"/>
      <w:r>
        <w:rPr>
          <w:rFonts w:hint="eastAsia"/>
          <w:sz w:val="21"/>
          <w:szCs w:val="21"/>
          <w:lang w:val="en-US"/>
        </w:rPr>
        <w:t>物</w:t>
      </w:r>
    </w:p>
    <w:p>
      <w:pPr>
        <w:spacing w:after="156" w:afterLines="50" w:line="360" w:lineRule="auto"/>
        <w:jc w:val="center"/>
        <w:rPr>
          <w:b/>
          <w:bCs/>
          <w:szCs w:val="21"/>
        </w:rPr>
      </w:pPr>
      <w:r>
        <w:rPr>
          <w:rFonts w:hint="eastAsia"/>
          <w:b/>
          <w:bCs/>
          <w:szCs w:val="21"/>
        </w:rPr>
        <w:t>货物基本情况表</w:t>
      </w:r>
    </w:p>
    <w:tbl>
      <w:tblPr>
        <w:tblStyle w:val="9"/>
        <w:tblW w:w="8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
        <w:gridCol w:w="949"/>
        <w:gridCol w:w="1500"/>
        <w:gridCol w:w="1650"/>
        <w:gridCol w:w="1005"/>
        <w:gridCol w:w="975"/>
        <w:gridCol w:w="1185"/>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dxa"/>
            <w:vAlign w:val="center"/>
          </w:tcPr>
          <w:p>
            <w:pPr>
              <w:spacing w:line="360" w:lineRule="auto"/>
              <w:jc w:val="center"/>
              <w:rPr>
                <w:b/>
                <w:szCs w:val="21"/>
              </w:rPr>
            </w:pPr>
            <w:r>
              <w:rPr>
                <w:rFonts w:hint="eastAsia"/>
                <w:b/>
                <w:szCs w:val="21"/>
              </w:rPr>
              <w:t>序号</w:t>
            </w:r>
          </w:p>
        </w:tc>
        <w:tc>
          <w:tcPr>
            <w:tcW w:w="949" w:type="dxa"/>
            <w:vAlign w:val="center"/>
          </w:tcPr>
          <w:p>
            <w:pPr>
              <w:spacing w:line="360" w:lineRule="auto"/>
              <w:jc w:val="center"/>
              <w:rPr>
                <w:b/>
                <w:szCs w:val="21"/>
              </w:rPr>
            </w:pPr>
            <w:r>
              <w:rPr>
                <w:rFonts w:hint="eastAsia"/>
                <w:b/>
                <w:szCs w:val="21"/>
              </w:rPr>
              <w:t>货物</w:t>
            </w:r>
            <w:r>
              <w:rPr>
                <w:b/>
                <w:szCs w:val="21"/>
              </w:rPr>
              <w:t>名称</w:t>
            </w:r>
          </w:p>
        </w:tc>
        <w:tc>
          <w:tcPr>
            <w:tcW w:w="1500" w:type="dxa"/>
            <w:vAlign w:val="center"/>
          </w:tcPr>
          <w:p>
            <w:pPr>
              <w:spacing w:line="360" w:lineRule="auto"/>
              <w:jc w:val="center"/>
              <w:rPr>
                <w:b/>
                <w:szCs w:val="21"/>
              </w:rPr>
            </w:pPr>
            <w:r>
              <w:rPr>
                <w:rFonts w:hint="eastAsia"/>
                <w:b/>
                <w:szCs w:val="21"/>
              </w:rPr>
              <w:t>规格</w:t>
            </w:r>
          </w:p>
          <w:p>
            <w:pPr>
              <w:spacing w:line="360" w:lineRule="auto"/>
              <w:jc w:val="center"/>
              <w:rPr>
                <w:b/>
                <w:szCs w:val="21"/>
              </w:rPr>
            </w:pPr>
            <w:r>
              <w:rPr>
                <w:b/>
                <w:szCs w:val="21"/>
              </w:rPr>
              <w:t>型号</w:t>
            </w:r>
          </w:p>
        </w:tc>
        <w:tc>
          <w:tcPr>
            <w:tcW w:w="1650" w:type="dxa"/>
            <w:vAlign w:val="center"/>
          </w:tcPr>
          <w:p>
            <w:pPr>
              <w:spacing w:line="360" w:lineRule="auto"/>
              <w:jc w:val="center"/>
              <w:rPr>
                <w:b/>
                <w:szCs w:val="21"/>
              </w:rPr>
            </w:pPr>
            <w:r>
              <w:rPr>
                <w:rFonts w:hint="eastAsia"/>
                <w:b/>
                <w:szCs w:val="21"/>
              </w:rPr>
              <w:t>生产</w:t>
            </w:r>
          </w:p>
          <w:p>
            <w:pPr>
              <w:spacing w:line="360" w:lineRule="auto"/>
              <w:jc w:val="center"/>
              <w:rPr>
                <w:b/>
                <w:szCs w:val="21"/>
              </w:rPr>
            </w:pPr>
            <w:r>
              <w:rPr>
                <w:rFonts w:hint="eastAsia"/>
                <w:b/>
                <w:szCs w:val="21"/>
              </w:rPr>
              <w:t>厂家</w:t>
            </w:r>
          </w:p>
        </w:tc>
        <w:tc>
          <w:tcPr>
            <w:tcW w:w="1005" w:type="dxa"/>
            <w:vAlign w:val="center"/>
          </w:tcPr>
          <w:p>
            <w:pPr>
              <w:spacing w:line="360" w:lineRule="auto"/>
              <w:jc w:val="center"/>
              <w:rPr>
                <w:b/>
                <w:szCs w:val="21"/>
              </w:rPr>
            </w:pPr>
            <w:r>
              <w:rPr>
                <w:rFonts w:hint="eastAsia"/>
                <w:b/>
                <w:szCs w:val="21"/>
              </w:rPr>
              <w:t>单价（元）</w:t>
            </w:r>
          </w:p>
        </w:tc>
        <w:tc>
          <w:tcPr>
            <w:tcW w:w="975" w:type="dxa"/>
            <w:vAlign w:val="center"/>
          </w:tcPr>
          <w:p>
            <w:pPr>
              <w:spacing w:line="360" w:lineRule="auto"/>
              <w:jc w:val="center"/>
              <w:rPr>
                <w:b/>
                <w:szCs w:val="21"/>
              </w:rPr>
            </w:pPr>
            <w:r>
              <w:rPr>
                <w:rFonts w:hint="eastAsia"/>
                <w:b/>
                <w:szCs w:val="21"/>
              </w:rPr>
              <w:t>数量</w:t>
            </w:r>
          </w:p>
          <w:p>
            <w:pPr>
              <w:spacing w:line="360" w:lineRule="auto"/>
              <w:jc w:val="center"/>
              <w:rPr>
                <w:b/>
                <w:szCs w:val="21"/>
              </w:rPr>
            </w:pPr>
            <w:r>
              <w:rPr>
                <w:rFonts w:hint="eastAsia"/>
                <w:b/>
                <w:szCs w:val="21"/>
              </w:rPr>
              <w:t>（单位）</w:t>
            </w:r>
          </w:p>
        </w:tc>
        <w:tc>
          <w:tcPr>
            <w:tcW w:w="1185" w:type="dxa"/>
            <w:vAlign w:val="center"/>
          </w:tcPr>
          <w:p>
            <w:pPr>
              <w:spacing w:line="360" w:lineRule="auto"/>
              <w:jc w:val="center"/>
              <w:rPr>
                <w:b/>
                <w:szCs w:val="21"/>
              </w:rPr>
            </w:pPr>
            <w:r>
              <w:rPr>
                <w:rFonts w:hint="eastAsia"/>
                <w:b/>
                <w:szCs w:val="21"/>
              </w:rPr>
              <w:t>合计（元）</w:t>
            </w:r>
          </w:p>
        </w:tc>
        <w:tc>
          <w:tcPr>
            <w:tcW w:w="720" w:type="dxa"/>
            <w:vAlign w:val="center"/>
          </w:tcPr>
          <w:p>
            <w:pPr>
              <w:spacing w:line="360" w:lineRule="auto"/>
              <w:jc w:val="center"/>
              <w:rPr>
                <w:b/>
                <w:szCs w:val="21"/>
              </w:rPr>
            </w:pPr>
            <w:r>
              <w:rPr>
                <w:rFonts w:hint="eastAsia"/>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trPr>
        <w:tc>
          <w:tcPr>
            <w:tcW w:w="498" w:type="dxa"/>
          </w:tcPr>
          <w:p>
            <w:pPr>
              <w:spacing w:after="156" w:afterLines="50" w:line="360" w:lineRule="auto"/>
              <w:jc w:val="center"/>
              <w:rPr>
                <w:szCs w:val="21"/>
              </w:rPr>
            </w:pPr>
            <w:r>
              <w:rPr>
                <w:rFonts w:hint="eastAsia"/>
                <w:szCs w:val="21"/>
              </w:rPr>
              <w:t>1</w:t>
            </w:r>
          </w:p>
        </w:tc>
        <w:tc>
          <w:tcPr>
            <w:tcW w:w="949" w:type="dxa"/>
          </w:tcPr>
          <w:p>
            <w:pPr>
              <w:spacing w:after="156" w:afterLines="50" w:line="360" w:lineRule="auto"/>
              <w:ind w:firstLine="210" w:firstLineChars="100"/>
              <w:rPr>
                <w:szCs w:val="21"/>
              </w:rPr>
            </w:pPr>
            <w:r>
              <w:rPr>
                <w:rFonts w:hint="eastAsia"/>
                <w:szCs w:val="21"/>
              </w:rPr>
              <w:t>纸箱</w:t>
            </w:r>
          </w:p>
        </w:tc>
        <w:tc>
          <w:tcPr>
            <w:tcW w:w="1500" w:type="dxa"/>
          </w:tcPr>
          <w:p>
            <w:pPr>
              <w:spacing w:after="156" w:afterLines="50" w:line="360" w:lineRule="auto"/>
              <w:rPr>
                <w:szCs w:val="21"/>
              </w:rPr>
            </w:pPr>
            <w:r>
              <w:rPr>
                <w:rFonts w:hint="eastAsia"/>
                <w:szCs w:val="21"/>
              </w:rPr>
              <w:t>600mm*400mm*500mm</w:t>
            </w:r>
          </w:p>
        </w:tc>
        <w:tc>
          <w:tcPr>
            <w:tcW w:w="1650" w:type="dxa"/>
          </w:tcPr>
          <w:p>
            <w:pPr>
              <w:spacing w:after="156" w:afterLines="50" w:line="360" w:lineRule="auto"/>
              <w:rPr>
                <w:szCs w:val="21"/>
              </w:rPr>
            </w:pPr>
          </w:p>
        </w:tc>
        <w:tc>
          <w:tcPr>
            <w:tcW w:w="1005" w:type="dxa"/>
          </w:tcPr>
          <w:p>
            <w:pPr>
              <w:spacing w:after="156" w:afterLines="50" w:line="360" w:lineRule="auto"/>
              <w:rPr>
                <w:szCs w:val="21"/>
              </w:rPr>
            </w:pPr>
          </w:p>
        </w:tc>
        <w:tc>
          <w:tcPr>
            <w:tcW w:w="975" w:type="dxa"/>
          </w:tcPr>
          <w:p>
            <w:pPr>
              <w:spacing w:after="156" w:afterLines="50" w:line="360" w:lineRule="auto"/>
              <w:rPr>
                <w:szCs w:val="21"/>
              </w:rPr>
            </w:pPr>
          </w:p>
        </w:tc>
        <w:tc>
          <w:tcPr>
            <w:tcW w:w="1185" w:type="dxa"/>
          </w:tcPr>
          <w:p>
            <w:pPr>
              <w:spacing w:after="156" w:afterLines="50" w:line="360" w:lineRule="auto"/>
              <w:rPr>
                <w:szCs w:val="21"/>
              </w:rPr>
            </w:pPr>
          </w:p>
        </w:tc>
        <w:tc>
          <w:tcPr>
            <w:tcW w:w="720" w:type="dxa"/>
          </w:tcPr>
          <w:p>
            <w:pPr>
              <w:spacing w:after="156" w:afterLines="50" w:line="360" w:lineRule="auto"/>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498" w:type="dxa"/>
          </w:tcPr>
          <w:p>
            <w:pPr>
              <w:spacing w:after="156" w:afterLines="50" w:line="360" w:lineRule="auto"/>
              <w:jc w:val="center"/>
              <w:rPr>
                <w:szCs w:val="21"/>
              </w:rPr>
            </w:pPr>
            <w:r>
              <w:rPr>
                <w:rFonts w:hint="eastAsia"/>
                <w:szCs w:val="21"/>
              </w:rPr>
              <w:t>2</w:t>
            </w:r>
          </w:p>
        </w:tc>
        <w:tc>
          <w:tcPr>
            <w:tcW w:w="949" w:type="dxa"/>
          </w:tcPr>
          <w:p>
            <w:pPr>
              <w:spacing w:after="156" w:afterLines="50" w:line="360" w:lineRule="auto"/>
              <w:rPr>
                <w:szCs w:val="21"/>
              </w:rPr>
            </w:pPr>
            <w:r>
              <w:rPr>
                <w:rFonts w:hint="eastAsia"/>
                <w:szCs w:val="21"/>
              </w:rPr>
              <w:t>编织袋</w:t>
            </w:r>
          </w:p>
        </w:tc>
        <w:tc>
          <w:tcPr>
            <w:tcW w:w="1500" w:type="dxa"/>
          </w:tcPr>
          <w:p>
            <w:pPr>
              <w:spacing w:after="156" w:afterLines="50" w:line="360" w:lineRule="auto"/>
              <w:rPr>
                <w:szCs w:val="21"/>
              </w:rPr>
            </w:pPr>
            <w:r>
              <w:rPr>
                <w:rFonts w:hint="eastAsia"/>
                <w:szCs w:val="21"/>
              </w:rPr>
              <w:t>80*30*60cm</w:t>
            </w:r>
          </w:p>
        </w:tc>
        <w:tc>
          <w:tcPr>
            <w:tcW w:w="1650" w:type="dxa"/>
          </w:tcPr>
          <w:p>
            <w:pPr>
              <w:spacing w:after="156" w:afterLines="50" w:line="360" w:lineRule="auto"/>
              <w:rPr>
                <w:szCs w:val="21"/>
              </w:rPr>
            </w:pPr>
          </w:p>
        </w:tc>
        <w:tc>
          <w:tcPr>
            <w:tcW w:w="1005" w:type="dxa"/>
          </w:tcPr>
          <w:p>
            <w:pPr>
              <w:spacing w:after="156" w:afterLines="50" w:line="360" w:lineRule="auto"/>
              <w:rPr>
                <w:szCs w:val="21"/>
              </w:rPr>
            </w:pPr>
          </w:p>
        </w:tc>
        <w:tc>
          <w:tcPr>
            <w:tcW w:w="975" w:type="dxa"/>
          </w:tcPr>
          <w:p>
            <w:pPr>
              <w:spacing w:after="156" w:afterLines="50" w:line="360" w:lineRule="auto"/>
              <w:rPr>
                <w:szCs w:val="21"/>
              </w:rPr>
            </w:pPr>
          </w:p>
        </w:tc>
        <w:tc>
          <w:tcPr>
            <w:tcW w:w="1185" w:type="dxa"/>
          </w:tcPr>
          <w:p>
            <w:pPr>
              <w:spacing w:after="156" w:afterLines="50" w:line="360" w:lineRule="auto"/>
              <w:rPr>
                <w:szCs w:val="21"/>
              </w:rPr>
            </w:pPr>
          </w:p>
        </w:tc>
        <w:tc>
          <w:tcPr>
            <w:tcW w:w="720" w:type="dxa"/>
          </w:tcPr>
          <w:p>
            <w:pPr>
              <w:spacing w:after="156" w:afterLines="50" w:line="360" w:lineRule="auto"/>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2" w:type="dxa"/>
            <w:gridSpan w:val="5"/>
            <w:tcBorders>
              <w:right w:val="nil"/>
            </w:tcBorders>
          </w:tcPr>
          <w:p>
            <w:pPr>
              <w:spacing w:after="156" w:afterLines="50" w:line="360" w:lineRule="auto"/>
              <w:rPr>
                <w:b/>
                <w:bCs/>
                <w:szCs w:val="21"/>
              </w:rPr>
            </w:pPr>
            <w:r>
              <w:rPr>
                <w:rFonts w:hint="eastAsia"/>
                <w:b/>
                <w:bCs/>
                <w:szCs w:val="21"/>
              </w:rPr>
              <w:t>总价款（含税）（大写）：</w:t>
            </w:r>
          </w:p>
        </w:tc>
        <w:tc>
          <w:tcPr>
            <w:tcW w:w="2880" w:type="dxa"/>
            <w:gridSpan w:val="3"/>
            <w:tcBorders>
              <w:left w:val="nil"/>
            </w:tcBorders>
          </w:tcPr>
          <w:p>
            <w:pPr>
              <w:spacing w:after="156" w:afterLines="50" w:line="360" w:lineRule="auto"/>
              <w:rPr>
                <w:b/>
                <w:bCs/>
                <w:szCs w:val="21"/>
              </w:rPr>
            </w:pPr>
            <w:r>
              <w:rPr>
                <w:rFonts w:hint="eastAsia"/>
                <w:b/>
                <w:bCs/>
                <w:szCs w:val="21"/>
              </w:rPr>
              <w:t>（小写）：   元</w:t>
            </w:r>
          </w:p>
        </w:tc>
      </w:tr>
    </w:tbl>
    <w:p>
      <w:pPr>
        <w:spacing w:line="360" w:lineRule="exact"/>
        <w:rPr>
          <w:szCs w:val="21"/>
        </w:rPr>
      </w:pPr>
      <w:r>
        <w:rPr>
          <w:szCs w:val="21"/>
        </w:rPr>
        <w:t>乙方负责</w:t>
      </w:r>
      <w:r>
        <w:rPr>
          <w:rFonts w:hint="eastAsia"/>
          <w:szCs w:val="21"/>
        </w:rPr>
        <w:t>货物</w:t>
      </w:r>
      <w:r>
        <w:rPr>
          <w:szCs w:val="21"/>
        </w:rPr>
        <w:t>的</w:t>
      </w:r>
      <w:r>
        <w:rPr>
          <w:rFonts w:hint="eastAsia"/>
          <w:szCs w:val="21"/>
        </w:rPr>
        <w:t>供货、</w:t>
      </w:r>
      <w:r>
        <w:rPr>
          <w:szCs w:val="21"/>
        </w:rPr>
        <w:t>安装</w:t>
      </w:r>
      <w:r>
        <w:rPr>
          <w:rFonts w:hint="eastAsia"/>
          <w:szCs w:val="21"/>
        </w:rPr>
        <w:t>、运输、</w:t>
      </w:r>
      <w:r>
        <w:rPr>
          <w:szCs w:val="21"/>
        </w:rPr>
        <w:t>调试及售后服务等。</w:t>
      </w:r>
      <w:r>
        <w:rPr>
          <w:rFonts w:hint="eastAsia"/>
          <w:szCs w:val="21"/>
        </w:rPr>
        <w:t>以上为含税金额。有关货物的配置</w:t>
      </w:r>
      <w:r>
        <w:rPr>
          <w:szCs w:val="21"/>
        </w:rPr>
        <w:t>或</w:t>
      </w:r>
      <w:r>
        <w:rPr>
          <w:rFonts w:hint="eastAsia"/>
          <w:szCs w:val="21"/>
        </w:rPr>
        <w:t>技术协议详见</w:t>
      </w:r>
      <w:r>
        <w:rPr>
          <w:rFonts w:hint="eastAsia"/>
          <w:b/>
          <w:szCs w:val="21"/>
        </w:rPr>
        <w:t>：</w:t>
      </w:r>
      <w:r>
        <w:rPr>
          <w:rFonts w:hint="eastAsia"/>
          <w:b/>
          <w:szCs w:val="21"/>
          <w:u w:val="single"/>
        </w:rPr>
        <w:t>合同附件一</w:t>
      </w:r>
      <w:r>
        <w:rPr>
          <w:rFonts w:hint="eastAsia"/>
          <w:szCs w:val="21"/>
          <w:u w:val="single"/>
        </w:rPr>
        <w:t>。</w:t>
      </w:r>
    </w:p>
    <w:p>
      <w:pPr>
        <w:pStyle w:val="2"/>
        <w:spacing w:before="156" w:beforeLines="50" w:after="0" w:line="340" w:lineRule="exact"/>
        <w:rPr>
          <w:sz w:val="21"/>
          <w:szCs w:val="21"/>
        </w:rPr>
      </w:pPr>
      <w:bookmarkStart w:id="1" w:name="_Toc48641595"/>
      <w:r>
        <w:rPr>
          <w:rFonts w:hint="eastAsia"/>
          <w:sz w:val="21"/>
          <w:szCs w:val="21"/>
        </w:rPr>
        <w:t>第二条</w:t>
      </w:r>
      <w:r>
        <w:rPr>
          <w:sz w:val="21"/>
          <w:szCs w:val="21"/>
        </w:rPr>
        <w:t xml:space="preserve"> </w:t>
      </w:r>
      <w:r>
        <w:rPr>
          <w:rFonts w:hint="eastAsia"/>
          <w:sz w:val="21"/>
          <w:szCs w:val="21"/>
        </w:rPr>
        <w:t>价款支付</w:t>
      </w:r>
      <w:bookmarkEnd w:id="1"/>
    </w:p>
    <w:p>
      <w:pPr>
        <w:tabs>
          <w:tab w:val="left" w:pos="426"/>
        </w:tabs>
        <w:spacing w:line="380" w:lineRule="exact"/>
        <w:rPr>
          <w:rFonts w:hint="eastAsia" w:eastAsia="宋体"/>
          <w:szCs w:val="21"/>
          <w:u w:val="none"/>
          <w:lang w:eastAsia="zh-CN"/>
        </w:rPr>
      </w:pPr>
      <w:r>
        <w:rPr>
          <w:rFonts w:hint="eastAsia"/>
          <w:szCs w:val="21"/>
        </w:rPr>
        <w:t>2.1</w:t>
      </w:r>
      <w:r>
        <w:rPr>
          <w:szCs w:val="21"/>
        </w:rPr>
        <w:t xml:space="preserve"> </w:t>
      </w:r>
      <w:r>
        <w:rPr>
          <w:bCs/>
          <w:szCs w:val="21"/>
        </w:rPr>
        <w:t>合同</w:t>
      </w:r>
      <w:r>
        <w:rPr>
          <w:rFonts w:hint="eastAsia"/>
          <w:bCs/>
          <w:szCs w:val="21"/>
        </w:rPr>
        <w:t>总金额（</w:t>
      </w:r>
      <w:r>
        <w:rPr>
          <w:bCs/>
          <w:szCs w:val="21"/>
        </w:rPr>
        <w:t>人民币</w:t>
      </w:r>
      <w:r>
        <w:rPr>
          <w:rFonts w:hint="eastAsia"/>
          <w:bCs/>
          <w:szCs w:val="21"/>
        </w:rPr>
        <w:t>，大写）</w:t>
      </w:r>
      <w:r>
        <w:rPr>
          <w:bCs/>
          <w:szCs w:val="21"/>
          <w:u w:val="single"/>
        </w:rPr>
        <w:t xml:space="preserve">         </w:t>
      </w:r>
      <w:r>
        <w:rPr>
          <w:szCs w:val="21"/>
        </w:rPr>
        <w:t xml:space="preserve"> （</w:t>
      </w:r>
      <w:r>
        <w:rPr>
          <w:rFonts w:hint="eastAsia"/>
          <w:szCs w:val="21"/>
        </w:rPr>
        <w:t>小写</w:t>
      </w:r>
      <w:r>
        <w:rPr>
          <w:bCs/>
          <w:szCs w:val="21"/>
          <w:u w:val="single"/>
        </w:rPr>
        <w:t xml:space="preserve">    </w:t>
      </w:r>
      <w:r>
        <w:rPr>
          <w:rFonts w:hint="eastAsia"/>
          <w:bCs/>
          <w:szCs w:val="21"/>
          <w:u w:val="single"/>
        </w:rPr>
        <w:t xml:space="preserve">  </w:t>
      </w:r>
      <w:r>
        <w:rPr>
          <w:bCs/>
          <w:szCs w:val="21"/>
          <w:u w:val="single"/>
        </w:rPr>
        <w:t xml:space="preserve"> </w:t>
      </w:r>
      <w:r>
        <w:rPr>
          <w:bCs/>
          <w:szCs w:val="21"/>
        </w:rPr>
        <w:t>），</w:t>
      </w:r>
      <w:r>
        <w:rPr>
          <w:rFonts w:hint="eastAsia"/>
          <w:szCs w:val="21"/>
        </w:rPr>
        <w:t>本合同约定的总价款为全部</w:t>
      </w:r>
      <w:r>
        <w:rPr>
          <w:szCs w:val="21"/>
        </w:rPr>
        <w:t>价款，包括</w:t>
      </w:r>
      <w:r>
        <w:rPr>
          <w:rFonts w:hint="eastAsia"/>
          <w:szCs w:val="21"/>
        </w:rPr>
        <w:t>货物包装、运输、</w:t>
      </w:r>
      <w:r>
        <w:rPr>
          <w:szCs w:val="21"/>
        </w:rPr>
        <w:t>安装、调试及技</w:t>
      </w:r>
      <w:r>
        <w:rPr>
          <w:rFonts w:hint="eastAsia"/>
          <w:szCs w:val="21"/>
        </w:rPr>
        <w:t>术和</w:t>
      </w:r>
      <w:r>
        <w:rPr>
          <w:szCs w:val="21"/>
        </w:rPr>
        <w:t>售后服务</w:t>
      </w:r>
      <w:r>
        <w:rPr>
          <w:rFonts w:hint="eastAsia"/>
          <w:szCs w:val="21"/>
        </w:rPr>
        <w:t>、税费等各项费用，乙方无权依据合同再向甲方主张任何其他费用。在合同据实结算时，计价按照乙方已标价货物清单中的单价执行，数量以甲方确认为准，计算最终结算金额，年度结算总金额不得超过合</w:t>
      </w:r>
      <w:r>
        <w:rPr>
          <w:rFonts w:hint="eastAsia"/>
          <w:szCs w:val="21"/>
          <w:u w:val="none"/>
        </w:rPr>
        <w:t>同总金额</w:t>
      </w:r>
      <w:r>
        <w:rPr>
          <w:rFonts w:hint="eastAsia"/>
          <w:szCs w:val="21"/>
          <w:u w:val="none"/>
          <w:lang w:eastAsia="zh-CN"/>
        </w:rPr>
        <w:t>。</w:t>
      </w:r>
    </w:p>
    <w:p>
      <w:pPr>
        <w:spacing w:line="380" w:lineRule="exact"/>
        <w:ind w:firstLine="420" w:firstLineChars="200"/>
        <w:rPr>
          <w:szCs w:val="21"/>
        </w:rPr>
      </w:pPr>
      <w:r>
        <w:rPr>
          <w:szCs w:val="21"/>
        </w:rPr>
        <w:t xml:space="preserve">2.2 </w:t>
      </w:r>
      <w:r>
        <w:rPr>
          <w:rFonts w:hint="eastAsia"/>
          <w:szCs w:val="21"/>
        </w:rPr>
        <w:t>付款方式</w:t>
      </w:r>
      <w:bookmarkStart w:id="21" w:name="_GoBack"/>
      <w:bookmarkEnd w:id="21"/>
    </w:p>
    <w:p>
      <w:pPr>
        <w:spacing w:line="340" w:lineRule="exact"/>
        <w:ind w:firstLine="420" w:firstLineChars="200"/>
        <w:rPr>
          <w:szCs w:val="21"/>
        </w:rPr>
      </w:pPr>
      <w:r>
        <w:rPr>
          <w:szCs w:val="21"/>
        </w:rPr>
        <w:t>2.2</w:t>
      </w:r>
      <w:r>
        <w:rPr>
          <w:rFonts w:hint="eastAsia"/>
          <w:szCs w:val="21"/>
        </w:rPr>
        <w:t>1、一次性支付：</w:t>
      </w:r>
    </w:p>
    <w:p>
      <w:pPr>
        <w:spacing w:line="380" w:lineRule="exact"/>
        <w:ind w:firstLine="420" w:firstLineChars="200"/>
        <w:rPr>
          <w:szCs w:val="21"/>
        </w:rPr>
      </w:pPr>
      <w:r>
        <w:rPr>
          <w:rFonts w:hint="eastAsia"/>
          <w:szCs w:val="21"/>
        </w:rPr>
        <w:t>甲方在货物到货安装、调试、验收且</w:t>
      </w:r>
      <w:r>
        <w:rPr>
          <w:szCs w:val="21"/>
        </w:rPr>
        <w:t>收到乙方开具相应金额的</w:t>
      </w:r>
      <w:r>
        <w:rPr>
          <w:rFonts w:hint="eastAsia"/>
          <w:b/>
          <w:szCs w:val="21"/>
        </w:rPr>
        <w:t>增值税专用发票</w:t>
      </w:r>
      <w:r>
        <w:rPr>
          <w:szCs w:val="21"/>
        </w:rPr>
        <w:t>后</w:t>
      </w:r>
      <w:r>
        <w:rPr>
          <w:szCs w:val="21"/>
          <w:u w:val="single"/>
        </w:rPr>
        <w:t xml:space="preserve">    </w:t>
      </w:r>
      <w:r>
        <w:rPr>
          <w:rFonts w:hint="eastAsia"/>
          <w:szCs w:val="21"/>
          <w:u w:val="single"/>
        </w:rPr>
        <w:t>15</w:t>
      </w:r>
      <w:r>
        <w:rPr>
          <w:szCs w:val="21"/>
        </w:rPr>
        <w:t>个工作日内向乙方支付</w:t>
      </w:r>
      <w:r>
        <w:rPr>
          <w:rFonts w:hint="eastAsia"/>
          <w:szCs w:val="21"/>
        </w:rPr>
        <w:t>合同全部价款</w:t>
      </w:r>
      <w:r>
        <w:rPr>
          <w:szCs w:val="21"/>
        </w:rPr>
        <w:t>。</w:t>
      </w:r>
    </w:p>
    <w:p>
      <w:pPr>
        <w:pStyle w:val="2"/>
        <w:spacing w:before="156" w:beforeLines="50" w:after="0" w:line="340" w:lineRule="exact"/>
        <w:rPr>
          <w:sz w:val="21"/>
          <w:szCs w:val="21"/>
        </w:rPr>
      </w:pPr>
      <w:bookmarkStart w:id="2" w:name="_Toc48641596"/>
      <w:r>
        <w:rPr>
          <w:rFonts w:hint="eastAsia"/>
          <w:sz w:val="21"/>
          <w:szCs w:val="21"/>
        </w:rPr>
        <w:t>第三条</w:t>
      </w:r>
      <w:r>
        <w:rPr>
          <w:sz w:val="21"/>
          <w:szCs w:val="21"/>
        </w:rPr>
        <w:t xml:space="preserve"> 交货事宜</w:t>
      </w:r>
      <w:bookmarkEnd w:id="2"/>
    </w:p>
    <w:p>
      <w:pPr>
        <w:spacing w:line="340" w:lineRule="exact"/>
        <w:ind w:firstLine="420" w:firstLineChars="200"/>
        <w:rPr>
          <w:szCs w:val="21"/>
        </w:rPr>
      </w:pPr>
      <w:r>
        <w:rPr>
          <w:rFonts w:hint="eastAsia"/>
          <w:szCs w:val="21"/>
        </w:rPr>
        <w:t>3.1</w:t>
      </w:r>
      <w:r>
        <w:rPr>
          <w:szCs w:val="21"/>
        </w:rPr>
        <w:t xml:space="preserve"> 交货</w:t>
      </w:r>
      <w:r>
        <w:rPr>
          <w:rFonts w:hint="eastAsia"/>
          <w:szCs w:val="21"/>
        </w:rPr>
        <w:t>要求及期限</w:t>
      </w:r>
      <w:r>
        <w:rPr>
          <w:szCs w:val="21"/>
        </w:rPr>
        <w:t>：</w:t>
      </w:r>
    </w:p>
    <w:p>
      <w:pPr>
        <w:spacing w:line="340" w:lineRule="exact"/>
        <w:ind w:firstLine="420" w:firstLineChars="200"/>
        <w:rPr>
          <w:rFonts w:hint="eastAsia"/>
          <w:bCs/>
          <w:szCs w:val="21"/>
          <w:lang w:val="en-US" w:eastAsia="zh-CN"/>
        </w:rPr>
      </w:pPr>
      <w:r>
        <w:rPr>
          <w:szCs w:val="21"/>
        </w:rPr>
        <w:t>交货期为</w:t>
      </w:r>
      <w:r>
        <w:rPr>
          <w:rFonts w:hint="eastAsia"/>
          <w:szCs w:val="21"/>
        </w:rPr>
        <w:t>本</w:t>
      </w:r>
      <w:r>
        <w:rPr>
          <w:szCs w:val="21"/>
        </w:rPr>
        <w:t>合同</w:t>
      </w:r>
      <w:r>
        <w:rPr>
          <w:rFonts w:hint="eastAsia"/>
          <w:szCs w:val="21"/>
        </w:rPr>
        <w:t>生效</w:t>
      </w:r>
      <w:r>
        <w:rPr>
          <w:szCs w:val="21"/>
        </w:rPr>
        <w:t>后</w:t>
      </w:r>
      <w:r>
        <w:rPr>
          <w:szCs w:val="21"/>
          <w:u w:val="single"/>
        </w:rPr>
        <w:t xml:space="preserve">   </w:t>
      </w:r>
      <w:r>
        <w:rPr>
          <w:rFonts w:hint="eastAsia"/>
          <w:szCs w:val="21"/>
          <w:u w:val="single"/>
        </w:rPr>
        <w:t>90</w:t>
      </w:r>
      <w:r>
        <w:rPr>
          <w:szCs w:val="21"/>
          <w:u w:val="single"/>
        </w:rPr>
        <w:t xml:space="preserve">   </w:t>
      </w:r>
      <w:r>
        <w:rPr>
          <w:rFonts w:hint="eastAsia"/>
          <w:szCs w:val="21"/>
        </w:rPr>
        <w:t>日</w:t>
      </w:r>
      <w:r>
        <w:rPr>
          <w:szCs w:val="21"/>
        </w:rPr>
        <w:t>内</w:t>
      </w:r>
      <w:r>
        <w:rPr>
          <w:rFonts w:hint="eastAsia"/>
          <w:szCs w:val="21"/>
        </w:rPr>
        <w:t>，乙方在交货前应提供整套样品，经甲方确认样品合格后</w:t>
      </w:r>
      <w:r>
        <w:rPr>
          <w:rFonts w:hint="eastAsia"/>
          <w:szCs w:val="21"/>
          <w:lang w:eastAsia="zh-CN"/>
        </w:rPr>
        <w:t>，</w:t>
      </w:r>
      <w:r>
        <w:rPr>
          <w:rFonts w:hint="eastAsia"/>
          <w:szCs w:val="21"/>
          <w:lang w:val="en-US" w:eastAsia="zh-CN"/>
        </w:rPr>
        <w:t>方可</w:t>
      </w:r>
      <w:r>
        <w:rPr>
          <w:rFonts w:hint="eastAsia"/>
          <w:szCs w:val="21"/>
        </w:rPr>
        <w:t>进行分批次批量配送，每批次</w:t>
      </w:r>
      <w:r>
        <w:rPr>
          <w:rFonts w:hint="eastAsia"/>
          <w:bCs/>
          <w:szCs w:val="21"/>
        </w:rPr>
        <w:t>送货时间为接到甲方送货通知之日起</w:t>
      </w:r>
      <w:r>
        <w:rPr>
          <w:rFonts w:hint="eastAsia"/>
          <w:bCs/>
          <w:szCs w:val="21"/>
          <w:u w:val="single"/>
        </w:rPr>
        <w:t>1</w:t>
      </w:r>
      <w:r>
        <w:rPr>
          <w:bCs/>
          <w:szCs w:val="21"/>
          <w:u w:val="single"/>
        </w:rPr>
        <w:t>5</w:t>
      </w:r>
      <w:r>
        <w:rPr>
          <w:rFonts w:hint="eastAsia"/>
          <w:bCs/>
          <w:szCs w:val="21"/>
          <w:u w:val="single"/>
        </w:rPr>
        <w:t>日</w:t>
      </w:r>
      <w:r>
        <w:rPr>
          <w:rFonts w:hint="eastAsia"/>
          <w:bCs/>
          <w:szCs w:val="21"/>
        </w:rPr>
        <w:t>内送达</w:t>
      </w:r>
      <w:r>
        <w:rPr>
          <w:rFonts w:hint="eastAsia"/>
          <w:bCs/>
          <w:szCs w:val="21"/>
          <w:lang w:eastAsia="zh-CN"/>
        </w:rPr>
        <w:t>。</w:t>
      </w:r>
      <w:r>
        <w:rPr>
          <w:rFonts w:hint="eastAsia"/>
          <w:bCs/>
          <w:szCs w:val="21"/>
          <w:lang w:val="en-US" w:eastAsia="zh-CN"/>
        </w:rPr>
        <w:t xml:space="preserve">  如提供的样品连续两次不合格，甲方有权终止合同，并从第三方采购。  </w:t>
      </w:r>
    </w:p>
    <w:p>
      <w:pPr>
        <w:spacing w:line="340" w:lineRule="exact"/>
        <w:ind w:firstLine="420" w:firstLineChars="200"/>
        <w:rPr>
          <w:szCs w:val="21"/>
        </w:rPr>
      </w:pPr>
      <w:r>
        <w:rPr>
          <w:rFonts w:hint="eastAsia"/>
          <w:szCs w:val="21"/>
        </w:rPr>
        <w:t>3.2</w:t>
      </w:r>
      <w:r>
        <w:rPr>
          <w:szCs w:val="21"/>
        </w:rPr>
        <w:t xml:space="preserve"> 交货地点：</w:t>
      </w:r>
    </w:p>
    <w:p>
      <w:pPr>
        <w:spacing w:line="340" w:lineRule="exact"/>
        <w:ind w:firstLine="420" w:firstLineChars="200"/>
        <w:rPr>
          <w:szCs w:val="21"/>
        </w:rPr>
      </w:pPr>
      <w:r>
        <w:rPr>
          <w:szCs w:val="21"/>
        </w:rPr>
        <w:t>交货地点为</w:t>
      </w:r>
      <w:r>
        <w:rPr>
          <w:rFonts w:hint="eastAsia"/>
          <w:szCs w:val="21"/>
        </w:rPr>
        <w:t>（</w:t>
      </w:r>
      <w:r>
        <w:rPr>
          <w:szCs w:val="21"/>
        </w:rPr>
        <w:t>甲方指定的地点</w:t>
      </w:r>
      <w:r>
        <w:rPr>
          <w:rFonts w:hint="eastAsia"/>
          <w:szCs w:val="21"/>
        </w:rPr>
        <w:t>）</w:t>
      </w:r>
      <w:r>
        <w:rPr>
          <w:szCs w:val="21"/>
        </w:rPr>
        <w:t>：</w:t>
      </w:r>
      <w:r>
        <w:rPr>
          <w:rFonts w:hint="eastAsia"/>
          <w:szCs w:val="21"/>
          <w:u w:val="single"/>
        </w:rPr>
        <w:t xml:space="preserve"> </w:t>
      </w:r>
      <w:r>
        <w:rPr>
          <w:szCs w:val="21"/>
          <w:u w:val="single"/>
        </w:rPr>
        <w:t xml:space="preserve"> </w:t>
      </w:r>
      <w:r>
        <w:rPr>
          <w:rFonts w:hint="eastAsia"/>
          <w:bCs/>
          <w:szCs w:val="21"/>
          <w:u w:val="single"/>
        </w:rPr>
        <w:t xml:space="preserve">清华大学学生公寓各楼 </w:t>
      </w:r>
      <w:r>
        <w:rPr>
          <w:szCs w:val="21"/>
          <w:u w:val="single"/>
        </w:rPr>
        <w:t xml:space="preserve"> </w:t>
      </w:r>
      <w:r>
        <w:rPr>
          <w:rFonts w:hint="eastAsia"/>
          <w:szCs w:val="21"/>
        </w:rPr>
        <w:t>。</w:t>
      </w:r>
    </w:p>
    <w:p>
      <w:pPr>
        <w:spacing w:line="340" w:lineRule="exact"/>
        <w:ind w:firstLine="420" w:firstLineChars="200"/>
        <w:rPr>
          <w:szCs w:val="21"/>
        </w:rPr>
      </w:pPr>
      <w:r>
        <w:rPr>
          <w:szCs w:val="21"/>
        </w:rPr>
        <w:t>联系人</w:t>
      </w:r>
      <w:r>
        <w:rPr>
          <w:rFonts w:hint="eastAsia"/>
          <w:szCs w:val="21"/>
        </w:rPr>
        <w:t>及联系方式：</w:t>
      </w:r>
      <w:r>
        <w:rPr>
          <w:rFonts w:hint="eastAsia"/>
          <w:szCs w:val="21"/>
          <w:u w:val="single"/>
        </w:rPr>
        <w:t xml:space="preserve">  </w:t>
      </w:r>
      <w:r>
        <w:rPr>
          <w:szCs w:val="21"/>
          <w:u w:val="single"/>
        </w:rPr>
        <w:t xml:space="preserve">                                   </w:t>
      </w:r>
      <w:r>
        <w:rPr>
          <w:rFonts w:hint="eastAsia"/>
          <w:szCs w:val="21"/>
        </w:rPr>
        <w:t>。</w:t>
      </w:r>
    </w:p>
    <w:p>
      <w:pPr>
        <w:spacing w:line="340" w:lineRule="exact"/>
        <w:ind w:firstLine="420" w:firstLineChars="200"/>
        <w:rPr>
          <w:szCs w:val="21"/>
        </w:rPr>
      </w:pPr>
      <w:r>
        <w:rPr>
          <w:rFonts w:hint="eastAsia"/>
          <w:szCs w:val="21"/>
        </w:rPr>
        <w:t>3.3风险承担</w:t>
      </w:r>
    </w:p>
    <w:p>
      <w:pPr>
        <w:spacing w:line="340" w:lineRule="exact"/>
        <w:ind w:firstLine="420" w:firstLineChars="200"/>
        <w:rPr>
          <w:szCs w:val="21"/>
        </w:rPr>
      </w:pPr>
      <w:r>
        <w:rPr>
          <w:rFonts w:hint="eastAsia"/>
          <w:szCs w:val="21"/>
        </w:rPr>
        <w:t>货物交付甲方且经甲方验收合格前，所发</w:t>
      </w:r>
      <w:r>
        <w:rPr>
          <w:szCs w:val="21"/>
        </w:rPr>
        <w:t>生的一切风险均由乙方承担。</w:t>
      </w:r>
    </w:p>
    <w:p>
      <w:pPr>
        <w:spacing w:line="340" w:lineRule="exact"/>
        <w:ind w:firstLine="0" w:firstLineChars="0"/>
        <w:rPr>
          <w:rFonts w:hint="eastAsia"/>
          <w:szCs w:val="21"/>
        </w:rPr>
      </w:pPr>
    </w:p>
    <w:p>
      <w:pPr>
        <w:pStyle w:val="2"/>
        <w:spacing w:before="156" w:beforeLines="50" w:after="0" w:line="340" w:lineRule="exact"/>
        <w:rPr>
          <w:sz w:val="21"/>
          <w:szCs w:val="21"/>
        </w:rPr>
      </w:pPr>
      <w:bookmarkStart w:id="3" w:name="_Toc48641597"/>
      <w:r>
        <w:rPr>
          <w:rFonts w:hint="eastAsia"/>
          <w:sz w:val="21"/>
          <w:szCs w:val="21"/>
        </w:rPr>
        <w:t>第四条</w:t>
      </w:r>
      <w:r>
        <w:rPr>
          <w:sz w:val="21"/>
          <w:szCs w:val="21"/>
        </w:rPr>
        <w:t xml:space="preserve"> </w:t>
      </w:r>
      <w:r>
        <w:rPr>
          <w:rFonts w:hint="eastAsia"/>
          <w:sz w:val="21"/>
          <w:szCs w:val="21"/>
        </w:rPr>
        <w:t>货物的检验</w:t>
      </w:r>
      <w:bookmarkEnd w:id="3"/>
    </w:p>
    <w:p>
      <w:pPr>
        <w:spacing w:line="340" w:lineRule="exact"/>
        <w:ind w:firstLine="420" w:firstLineChars="200"/>
        <w:rPr>
          <w:szCs w:val="21"/>
        </w:rPr>
      </w:pPr>
      <w:r>
        <w:rPr>
          <w:rFonts w:hint="eastAsia"/>
          <w:szCs w:val="21"/>
        </w:rPr>
        <w:t>4.1</w:t>
      </w:r>
      <w:r>
        <w:rPr>
          <w:szCs w:val="21"/>
        </w:rPr>
        <w:t xml:space="preserve"> </w:t>
      </w:r>
      <w:r>
        <w:rPr>
          <w:rFonts w:hint="eastAsia"/>
          <w:szCs w:val="21"/>
        </w:rPr>
        <w:t>乙方应当出具货物的合格证书、出厂检测报告，提供原材料质量检测报告。进口货物还应当提供报关单等进口凭证。乙方未提供上述资料的，甲方有权拒绝接收货物。</w:t>
      </w:r>
    </w:p>
    <w:p>
      <w:pPr>
        <w:spacing w:line="340" w:lineRule="exact"/>
        <w:ind w:firstLine="420" w:firstLineChars="200"/>
        <w:rPr>
          <w:szCs w:val="21"/>
        </w:rPr>
      </w:pPr>
      <w:r>
        <w:rPr>
          <w:szCs w:val="21"/>
        </w:rPr>
        <w:t>4.</w:t>
      </w:r>
      <w:r>
        <w:rPr>
          <w:rFonts w:hint="eastAsia"/>
          <w:szCs w:val="21"/>
        </w:rPr>
        <w:t>2</w:t>
      </w:r>
      <w:r>
        <w:rPr>
          <w:szCs w:val="21"/>
        </w:rPr>
        <w:t xml:space="preserve"> </w:t>
      </w:r>
      <w:r>
        <w:rPr>
          <w:rFonts w:hint="eastAsia"/>
          <w:szCs w:val="21"/>
        </w:rPr>
        <w:t>甲方应当在货物交接时对货物的生产厂家、规格型号、数量、外观包装当场查验核实，并将验收情况在发货单上记录签字。对货物有异议的，甲方有权当场拒收。甲方也可在收到货物后</w:t>
      </w:r>
      <w:r>
        <w:rPr>
          <w:rFonts w:hint="eastAsia"/>
          <w:szCs w:val="21"/>
          <w:u w:val="single"/>
        </w:rPr>
        <w:t xml:space="preserve">  </w:t>
      </w:r>
      <w:r>
        <w:rPr>
          <w:szCs w:val="21"/>
          <w:u w:val="single"/>
        </w:rPr>
        <w:t xml:space="preserve"> </w:t>
      </w:r>
      <w:r>
        <w:rPr>
          <w:rFonts w:hint="eastAsia"/>
          <w:szCs w:val="21"/>
          <w:u w:val="single"/>
        </w:rPr>
        <w:t>3</w:t>
      </w:r>
      <w:r>
        <w:rPr>
          <w:szCs w:val="21"/>
          <w:u w:val="single"/>
        </w:rPr>
        <w:t xml:space="preserve"> </w:t>
      </w:r>
      <w:r>
        <w:rPr>
          <w:rFonts w:hint="eastAsia"/>
          <w:szCs w:val="21"/>
          <w:u w:val="single"/>
        </w:rPr>
        <w:t xml:space="preserve">   </w:t>
      </w:r>
      <w:r>
        <w:rPr>
          <w:rFonts w:hint="eastAsia"/>
          <w:szCs w:val="21"/>
        </w:rPr>
        <w:t>日内向乙方提出书面异议，经双方核实确属乙方责任的，甲方有权退货。</w:t>
      </w:r>
    </w:p>
    <w:p>
      <w:pPr>
        <w:pStyle w:val="2"/>
        <w:spacing w:before="156" w:beforeLines="50" w:after="0" w:line="340" w:lineRule="exact"/>
        <w:rPr>
          <w:sz w:val="21"/>
          <w:szCs w:val="21"/>
        </w:rPr>
      </w:pPr>
      <w:bookmarkStart w:id="4" w:name="_Toc48641598"/>
      <w:r>
        <w:rPr>
          <w:rFonts w:hint="eastAsia"/>
          <w:sz w:val="21"/>
          <w:szCs w:val="21"/>
        </w:rPr>
        <w:t>第五条 货物</w:t>
      </w:r>
      <w:r>
        <w:rPr>
          <w:sz w:val="21"/>
          <w:szCs w:val="21"/>
        </w:rPr>
        <w:t>的</w:t>
      </w:r>
      <w:r>
        <w:rPr>
          <w:rFonts w:hint="eastAsia"/>
          <w:sz w:val="21"/>
          <w:szCs w:val="21"/>
        </w:rPr>
        <w:t>包装、运输及</w:t>
      </w:r>
      <w:r>
        <w:rPr>
          <w:sz w:val="21"/>
          <w:szCs w:val="21"/>
        </w:rPr>
        <w:t>安装调试</w:t>
      </w:r>
      <w:bookmarkEnd w:id="4"/>
    </w:p>
    <w:p>
      <w:pPr>
        <w:pStyle w:val="21"/>
        <w:spacing w:line="340" w:lineRule="exact"/>
        <w:rPr>
          <w:szCs w:val="21"/>
        </w:rPr>
      </w:pPr>
      <w:r>
        <w:rPr>
          <w:szCs w:val="21"/>
        </w:rPr>
        <w:t xml:space="preserve">5.1 </w:t>
      </w:r>
      <w:r>
        <w:rPr>
          <w:rFonts w:hint="eastAsia"/>
          <w:szCs w:val="21"/>
        </w:rPr>
        <w:t>乙方的</w:t>
      </w:r>
      <w:r>
        <w:rPr>
          <w:szCs w:val="21"/>
        </w:rPr>
        <w:t>包装应符合国家或行业标准，如无相应的国家和行业标准，则由乙方按照通常包装方式进行包装，确保产品满足运输、装卸</w:t>
      </w:r>
      <w:r>
        <w:rPr>
          <w:rFonts w:hint="eastAsia"/>
          <w:szCs w:val="21"/>
        </w:rPr>
        <w:t>的</w:t>
      </w:r>
      <w:r>
        <w:rPr>
          <w:szCs w:val="21"/>
        </w:rPr>
        <w:t>需要。包装不回收。</w:t>
      </w:r>
    </w:p>
    <w:p>
      <w:pPr>
        <w:pStyle w:val="21"/>
        <w:spacing w:line="340" w:lineRule="exact"/>
        <w:rPr>
          <w:szCs w:val="21"/>
        </w:rPr>
      </w:pPr>
      <w:r>
        <w:rPr>
          <w:szCs w:val="21"/>
        </w:rPr>
        <w:t>5.2 乙方负责</w:t>
      </w:r>
      <w:r>
        <w:rPr>
          <w:rFonts w:hint="eastAsia"/>
          <w:szCs w:val="21"/>
        </w:rPr>
        <w:t>货物的</w:t>
      </w:r>
      <w:r>
        <w:rPr>
          <w:szCs w:val="21"/>
        </w:rPr>
        <w:t>运输</w:t>
      </w:r>
      <w:r>
        <w:rPr>
          <w:rFonts w:hint="eastAsia"/>
          <w:szCs w:val="21"/>
        </w:rPr>
        <w:t>服务</w:t>
      </w:r>
      <w:r>
        <w:rPr>
          <w:szCs w:val="21"/>
        </w:rPr>
        <w:t>，并承担运输过程中的一切费用和风险。甲方</w:t>
      </w:r>
      <w:r>
        <w:rPr>
          <w:rFonts w:hint="eastAsia"/>
          <w:szCs w:val="21"/>
        </w:rPr>
        <w:t>接收货物且验收合格</w:t>
      </w:r>
      <w:r>
        <w:rPr>
          <w:szCs w:val="21"/>
        </w:rPr>
        <w:t>前，所发生的一切风险均由乙方承担</w:t>
      </w:r>
      <w:r>
        <w:rPr>
          <w:rFonts w:hint="eastAsia"/>
          <w:szCs w:val="21"/>
        </w:rPr>
        <w:t>。</w:t>
      </w:r>
    </w:p>
    <w:p>
      <w:pPr>
        <w:pStyle w:val="21"/>
        <w:spacing w:line="340" w:lineRule="exact"/>
        <w:rPr>
          <w:szCs w:val="21"/>
        </w:rPr>
      </w:pPr>
      <w:r>
        <w:rPr>
          <w:szCs w:val="21"/>
        </w:rPr>
        <w:t xml:space="preserve">5.3 </w:t>
      </w:r>
      <w:r>
        <w:rPr>
          <w:rFonts w:hint="eastAsia"/>
          <w:szCs w:val="21"/>
        </w:rPr>
        <w:t>乙方按照甲方的要求按时完成货物的安装调试工作。</w:t>
      </w:r>
    </w:p>
    <w:p>
      <w:pPr>
        <w:pStyle w:val="21"/>
        <w:spacing w:line="340" w:lineRule="exact"/>
        <w:rPr>
          <w:szCs w:val="21"/>
        </w:rPr>
      </w:pPr>
      <w:r>
        <w:rPr>
          <w:szCs w:val="21"/>
        </w:rPr>
        <w:t>5.4</w:t>
      </w:r>
      <w:r>
        <w:rPr>
          <w:rFonts w:hint="eastAsia"/>
          <w:szCs w:val="21"/>
        </w:rPr>
        <w:t>如货物涉及搬运或安装，乙方应对沿途设备设施加以保护，并对搬运或安装时造成的设备设施损坏承担赔偿责任。</w:t>
      </w:r>
    </w:p>
    <w:p>
      <w:pPr>
        <w:pStyle w:val="21"/>
        <w:spacing w:line="340" w:lineRule="exact"/>
        <w:rPr>
          <w:szCs w:val="21"/>
        </w:rPr>
      </w:pPr>
      <w:r>
        <w:rPr>
          <w:szCs w:val="21"/>
        </w:rPr>
        <w:t>5.5</w:t>
      </w:r>
      <w:r>
        <w:rPr>
          <w:rFonts w:hint="eastAsia"/>
          <w:szCs w:val="21"/>
        </w:rPr>
        <w:t>乙方应对搬运及安装人员进行必要的安全警示教育，且有义务对项目实施过程中的风险隐患进行提示，乙方应对自身原因或管理疏忽造成的人员伤亡及财产损失承担全部赔偿责任。甲方拥有向相关责任方进行追责的权利。</w:t>
      </w:r>
    </w:p>
    <w:p>
      <w:pPr>
        <w:pStyle w:val="2"/>
        <w:spacing w:before="156" w:beforeLines="50" w:after="0" w:line="340" w:lineRule="exact"/>
        <w:rPr>
          <w:sz w:val="21"/>
          <w:szCs w:val="21"/>
        </w:rPr>
      </w:pPr>
      <w:bookmarkStart w:id="5" w:name="_Toc48641599"/>
      <w:r>
        <w:rPr>
          <w:rFonts w:hint="eastAsia"/>
          <w:sz w:val="21"/>
          <w:szCs w:val="21"/>
        </w:rPr>
        <w:t>第六条 货物</w:t>
      </w:r>
      <w:r>
        <w:rPr>
          <w:sz w:val="21"/>
          <w:szCs w:val="21"/>
        </w:rPr>
        <w:t>验收</w:t>
      </w:r>
      <w:bookmarkEnd w:id="5"/>
    </w:p>
    <w:p>
      <w:pPr>
        <w:spacing w:line="340" w:lineRule="exact"/>
        <w:ind w:firstLine="420" w:firstLineChars="200"/>
        <w:rPr>
          <w:szCs w:val="21"/>
        </w:rPr>
      </w:pPr>
      <w:r>
        <w:rPr>
          <w:szCs w:val="21"/>
        </w:rPr>
        <w:t xml:space="preserve">6.1 </w:t>
      </w:r>
      <w:r>
        <w:rPr>
          <w:rFonts w:hint="eastAsia"/>
          <w:szCs w:val="21"/>
        </w:rPr>
        <w:t>乙方保证所交付给甲方之货物完全符合本合同所列之货物规格，</w:t>
      </w:r>
      <w:r>
        <w:rPr>
          <w:szCs w:val="21"/>
        </w:rPr>
        <w:t>全部</w:t>
      </w:r>
      <w:r>
        <w:rPr>
          <w:rFonts w:hint="eastAsia"/>
          <w:szCs w:val="21"/>
        </w:rPr>
        <w:t>货物</w:t>
      </w:r>
      <w:r>
        <w:rPr>
          <w:szCs w:val="21"/>
        </w:rPr>
        <w:t>安装调试</w:t>
      </w:r>
      <w:r>
        <w:rPr>
          <w:rFonts w:hint="eastAsia"/>
          <w:szCs w:val="21"/>
        </w:rPr>
        <w:t>完毕</w:t>
      </w:r>
      <w:r>
        <w:rPr>
          <w:szCs w:val="21"/>
        </w:rPr>
        <w:t>后，乙方通知甲方进行验收</w:t>
      </w:r>
      <w:r>
        <w:rPr>
          <w:rFonts w:hint="eastAsia"/>
          <w:szCs w:val="21"/>
        </w:rPr>
        <w:t>。</w:t>
      </w:r>
      <w:r>
        <w:rPr>
          <w:szCs w:val="21"/>
        </w:rPr>
        <w:t>甲方应于收到乙方通知后的三日内指派专人和乙方共同验收。验收以乙方提供的</w:t>
      </w:r>
      <w:r>
        <w:rPr>
          <w:rFonts w:hint="eastAsia"/>
          <w:szCs w:val="21"/>
        </w:rPr>
        <w:t>并</w:t>
      </w:r>
      <w:r>
        <w:rPr>
          <w:szCs w:val="21"/>
        </w:rPr>
        <w:t>经甲方认可的验收报告为标准</w:t>
      </w:r>
      <w:r>
        <w:rPr>
          <w:rFonts w:hint="eastAsia"/>
          <w:szCs w:val="21"/>
        </w:rPr>
        <w:t>。</w:t>
      </w:r>
      <w:r>
        <w:rPr>
          <w:szCs w:val="21"/>
        </w:rPr>
        <w:t>验收结束</w:t>
      </w:r>
      <w:r>
        <w:rPr>
          <w:rFonts w:hint="eastAsia"/>
          <w:szCs w:val="21"/>
        </w:rPr>
        <w:t>，</w:t>
      </w:r>
      <w:r>
        <w:rPr>
          <w:szCs w:val="21"/>
        </w:rPr>
        <w:t>甲方没有异议则双方签署验收报告；如验收不合格，乙方应负责修复</w:t>
      </w:r>
      <w:r>
        <w:rPr>
          <w:rFonts w:hint="eastAsia"/>
          <w:szCs w:val="21"/>
        </w:rPr>
        <w:t>或根据甲方</w:t>
      </w:r>
      <w:r>
        <w:rPr>
          <w:szCs w:val="21"/>
        </w:rPr>
        <w:t>所需费用由乙方承担</w:t>
      </w:r>
      <w:r>
        <w:rPr>
          <w:rFonts w:hint="eastAsia"/>
          <w:szCs w:val="21"/>
        </w:rPr>
        <w:t>，如甲方要求更换</w:t>
      </w:r>
      <w:r>
        <w:rPr>
          <w:szCs w:val="21"/>
        </w:rPr>
        <w:t>，</w:t>
      </w:r>
      <w:r>
        <w:rPr>
          <w:rFonts w:hint="eastAsia"/>
          <w:szCs w:val="21"/>
        </w:rPr>
        <w:t>乙方同意无条件免费更换。</w:t>
      </w:r>
    </w:p>
    <w:p>
      <w:pPr>
        <w:spacing w:line="340" w:lineRule="exact"/>
        <w:ind w:firstLine="420" w:firstLineChars="200"/>
        <w:rPr>
          <w:szCs w:val="21"/>
        </w:rPr>
      </w:pPr>
      <w:r>
        <w:rPr>
          <w:szCs w:val="21"/>
        </w:rPr>
        <w:t>6.2 自双方签署货物验收报告之日起，进入</w:t>
      </w:r>
      <w:r>
        <w:rPr>
          <w:rFonts w:hint="eastAsia"/>
          <w:szCs w:val="21"/>
        </w:rPr>
        <w:t>质保</w:t>
      </w:r>
      <w:r>
        <w:rPr>
          <w:szCs w:val="21"/>
        </w:rPr>
        <w:t>期。</w:t>
      </w:r>
    </w:p>
    <w:p>
      <w:pPr>
        <w:pStyle w:val="2"/>
        <w:spacing w:before="156" w:beforeLines="50" w:after="0" w:line="340" w:lineRule="exact"/>
        <w:rPr>
          <w:sz w:val="21"/>
          <w:szCs w:val="21"/>
        </w:rPr>
      </w:pPr>
      <w:bookmarkStart w:id="6" w:name="_Toc48641600"/>
      <w:r>
        <w:rPr>
          <w:rFonts w:hint="eastAsia"/>
          <w:sz w:val="21"/>
          <w:szCs w:val="21"/>
        </w:rPr>
        <w:t xml:space="preserve">第七条 </w:t>
      </w:r>
      <w:r>
        <w:rPr>
          <w:rFonts w:hint="eastAsia"/>
          <w:sz w:val="21"/>
          <w:szCs w:val="21"/>
          <w:lang w:val="en-US"/>
        </w:rPr>
        <w:t>质保</w:t>
      </w:r>
      <w:r>
        <w:rPr>
          <w:sz w:val="21"/>
          <w:szCs w:val="21"/>
        </w:rPr>
        <w:t>及售后服务</w:t>
      </w:r>
      <w:bookmarkEnd w:id="6"/>
    </w:p>
    <w:p>
      <w:pPr>
        <w:spacing w:line="340" w:lineRule="exact"/>
        <w:ind w:firstLine="420" w:firstLineChars="200"/>
        <w:rPr>
          <w:szCs w:val="21"/>
        </w:rPr>
      </w:pPr>
      <w:r>
        <w:rPr>
          <w:szCs w:val="21"/>
        </w:rPr>
        <w:t>7.1 乙方向甲方</w:t>
      </w:r>
      <w:r>
        <w:rPr>
          <w:rFonts w:hint="eastAsia"/>
          <w:szCs w:val="21"/>
        </w:rPr>
        <w:t>提供</w:t>
      </w:r>
      <w:r>
        <w:rPr>
          <w:szCs w:val="21"/>
        </w:rPr>
        <w:t>为期</w:t>
      </w:r>
      <w:r>
        <w:rPr>
          <w:szCs w:val="21"/>
          <w:u w:val="single"/>
        </w:rPr>
        <w:t xml:space="preserve">  </w:t>
      </w:r>
      <w:r>
        <w:rPr>
          <w:rFonts w:hint="eastAsia"/>
          <w:szCs w:val="21"/>
          <w:u w:val="single"/>
        </w:rPr>
        <w:t>12</w:t>
      </w:r>
      <w:r>
        <w:rPr>
          <w:szCs w:val="21"/>
          <w:u w:val="single"/>
        </w:rPr>
        <w:t xml:space="preserve">  </w:t>
      </w:r>
      <w:r>
        <w:rPr>
          <w:rFonts w:hint="eastAsia"/>
          <w:szCs w:val="21"/>
        </w:rPr>
        <w:t>个月的质保，自全部货物验收通过之日起计算</w:t>
      </w:r>
      <w:r>
        <w:rPr>
          <w:szCs w:val="21"/>
        </w:rPr>
        <w:t>。</w:t>
      </w:r>
      <w:r>
        <w:rPr>
          <w:rFonts w:hint="eastAsia"/>
          <w:szCs w:val="21"/>
        </w:rPr>
        <w:t>质保</w:t>
      </w:r>
      <w:r>
        <w:rPr>
          <w:szCs w:val="21"/>
        </w:rPr>
        <w:t>期内</w:t>
      </w:r>
      <w:r>
        <w:rPr>
          <w:rFonts w:hint="eastAsia"/>
          <w:szCs w:val="21"/>
        </w:rPr>
        <w:t>，乙方为甲方免费提供维修或更换服务。</w:t>
      </w:r>
    </w:p>
    <w:p>
      <w:pPr>
        <w:spacing w:line="340" w:lineRule="exact"/>
        <w:ind w:firstLine="420" w:firstLineChars="200"/>
        <w:rPr>
          <w:szCs w:val="21"/>
        </w:rPr>
      </w:pPr>
      <w:r>
        <w:rPr>
          <w:szCs w:val="21"/>
        </w:rPr>
        <w:t xml:space="preserve">7.2 </w:t>
      </w:r>
      <w:r>
        <w:rPr>
          <w:rFonts w:hint="eastAsia"/>
          <w:szCs w:val="21"/>
        </w:rPr>
        <w:t>质保</w:t>
      </w:r>
      <w:r>
        <w:rPr>
          <w:szCs w:val="21"/>
        </w:rPr>
        <w:t>期内，正常维护、使用情况下，任何非人为操作或使用不当而发生的一般性系统故障，乙方应在接到甲方通知当日内给予答复，并在8个工作日内负责维修或故障排除；若出现紧急故障，乙方应在收到通知后的24小时内至现场排除故障。以上所述两种情况下，所有费用由乙方承担</w:t>
      </w:r>
      <w:r>
        <w:rPr>
          <w:rFonts w:hint="eastAsia"/>
          <w:szCs w:val="21"/>
        </w:rPr>
        <w:t>。</w:t>
      </w:r>
    </w:p>
    <w:p>
      <w:pPr>
        <w:spacing w:line="340" w:lineRule="exact"/>
        <w:ind w:firstLine="420" w:firstLineChars="200"/>
        <w:rPr>
          <w:szCs w:val="21"/>
        </w:rPr>
      </w:pPr>
      <w:r>
        <w:rPr>
          <w:szCs w:val="21"/>
        </w:rPr>
        <w:t>7.3 因甲方故意或疏忽、或因操作不当而导致的货物损坏，不属</w:t>
      </w:r>
      <w:r>
        <w:rPr>
          <w:rFonts w:hint="eastAsia"/>
          <w:szCs w:val="21"/>
        </w:rPr>
        <w:t>质保</w:t>
      </w:r>
      <w:r>
        <w:rPr>
          <w:szCs w:val="21"/>
        </w:rPr>
        <w:t>之列。因</w:t>
      </w:r>
      <w:r>
        <w:rPr>
          <w:rFonts w:hint="eastAsia"/>
          <w:szCs w:val="21"/>
        </w:rPr>
        <w:t>不可抗力</w:t>
      </w:r>
      <w:r>
        <w:rPr>
          <w:szCs w:val="21"/>
        </w:rPr>
        <w:t>（如火灾、水灾、地震、雷击等）而导致的货物损坏，不在</w:t>
      </w:r>
      <w:r>
        <w:rPr>
          <w:rFonts w:hint="eastAsia"/>
          <w:szCs w:val="21"/>
        </w:rPr>
        <w:t>质保</w:t>
      </w:r>
      <w:r>
        <w:rPr>
          <w:szCs w:val="21"/>
        </w:rPr>
        <w:t>范围内。但乙方承诺以优惠价格为甲方提供所需更换的硬件</w:t>
      </w:r>
      <w:r>
        <w:rPr>
          <w:rFonts w:hint="eastAsia"/>
          <w:szCs w:val="21"/>
        </w:rPr>
        <w:t>、软件。</w:t>
      </w:r>
    </w:p>
    <w:p>
      <w:pPr>
        <w:spacing w:line="340" w:lineRule="exact"/>
        <w:ind w:firstLine="420" w:firstLineChars="200"/>
        <w:rPr>
          <w:szCs w:val="21"/>
        </w:rPr>
      </w:pPr>
      <w:r>
        <w:rPr>
          <w:szCs w:val="21"/>
        </w:rPr>
        <w:t xml:space="preserve">7.4 </w:t>
      </w:r>
      <w:r>
        <w:rPr>
          <w:rFonts w:hint="eastAsia"/>
          <w:szCs w:val="21"/>
        </w:rPr>
        <w:t>质保</w:t>
      </w:r>
      <w:r>
        <w:rPr>
          <w:szCs w:val="21"/>
        </w:rPr>
        <w:t>期满后，如甲方继续</w:t>
      </w:r>
      <w:r>
        <w:rPr>
          <w:rFonts w:hint="eastAsia"/>
          <w:szCs w:val="21"/>
        </w:rPr>
        <w:t>需要</w:t>
      </w:r>
      <w:r>
        <w:rPr>
          <w:szCs w:val="21"/>
        </w:rPr>
        <w:t>乙方提供服务，乙方将为甲方提供有偿的优惠价格的维护服务</w:t>
      </w:r>
      <w:r>
        <w:rPr>
          <w:rFonts w:hint="eastAsia"/>
          <w:szCs w:val="21"/>
        </w:rPr>
        <w:t>。</w:t>
      </w:r>
    </w:p>
    <w:p>
      <w:pPr>
        <w:pStyle w:val="2"/>
        <w:spacing w:before="156" w:beforeLines="50" w:after="0" w:line="340" w:lineRule="exact"/>
        <w:rPr>
          <w:sz w:val="21"/>
          <w:szCs w:val="21"/>
        </w:rPr>
      </w:pPr>
      <w:bookmarkStart w:id="7" w:name="_Toc48641601"/>
      <w:r>
        <w:rPr>
          <w:rFonts w:hint="eastAsia"/>
          <w:sz w:val="21"/>
          <w:szCs w:val="21"/>
        </w:rPr>
        <w:t xml:space="preserve">第八条 </w:t>
      </w:r>
      <w:r>
        <w:rPr>
          <w:sz w:val="21"/>
          <w:szCs w:val="21"/>
        </w:rPr>
        <w:t>违约责任</w:t>
      </w:r>
      <w:bookmarkEnd w:id="7"/>
    </w:p>
    <w:p>
      <w:pPr>
        <w:spacing w:line="340" w:lineRule="exact"/>
        <w:ind w:firstLine="420" w:firstLineChars="200"/>
        <w:rPr>
          <w:szCs w:val="21"/>
        </w:rPr>
      </w:pPr>
      <w:r>
        <w:rPr>
          <w:rFonts w:hint="eastAsia"/>
          <w:szCs w:val="21"/>
        </w:rPr>
        <w:t>8</w:t>
      </w:r>
      <w:r>
        <w:rPr>
          <w:szCs w:val="21"/>
        </w:rPr>
        <w:t>.1</w:t>
      </w:r>
      <w:r>
        <w:rPr>
          <w:rFonts w:hint="eastAsia"/>
          <w:szCs w:val="21"/>
        </w:rPr>
        <w:t>乙方逾期交货的，应当每日按逾期合同价款的</w:t>
      </w:r>
      <w:r>
        <w:rPr>
          <w:szCs w:val="21"/>
          <w:u w:val="single"/>
        </w:rPr>
        <w:t xml:space="preserve"> 3 </w:t>
      </w:r>
      <w:r>
        <w:rPr>
          <w:szCs w:val="21"/>
        </w:rPr>
        <w:t>%</w:t>
      </w:r>
      <w:r>
        <w:rPr>
          <w:rFonts w:hint="eastAsia"/>
          <w:szCs w:val="21"/>
        </w:rPr>
        <w:t>向甲方支付违约金；违约金总额不超过合同总金额的</w:t>
      </w:r>
      <w:r>
        <w:rPr>
          <w:rFonts w:hint="eastAsia"/>
          <w:szCs w:val="21"/>
          <w:u w:val="single"/>
        </w:rPr>
        <w:t xml:space="preserve"> </w:t>
      </w:r>
      <w:r>
        <w:rPr>
          <w:szCs w:val="21"/>
          <w:u w:val="single"/>
        </w:rPr>
        <w:t xml:space="preserve"> </w:t>
      </w:r>
      <w:r>
        <w:rPr>
          <w:rFonts w:hint="eastAsia"/>
          <w:szCs w:val="21"/>
          <w:u w:val="single"/>
        </w:rPr>
        <w:t>30</w:t>
      </w:r>
      <w:r>
        <w:rPr>
          <w:szCs w:val="21"/>
          <w:u w:val="single"/>
        </w:rPr>
        <w:t xml:space="preserve">  </w:t>
      </w:r>
      <w:r>
        <w:rPr>
          <w:rFonts w:hint="eastAsia"/>
          <w:szCs w:val="21"/>
        </w:rPr>
        <w:t>%；逾期交货超过</w:t>
      </w:r>
      <w:r>
        <w:rPr>
          <w:rFonts w:hint="eastAsia"/>
          <w:szCs w:val="21"/>
          <w:u w:val="single"/>
        </w:rPr>
        <w:t xml:space="preserve"> </w:t>
      </w:r>
      <w:r>
        <w:rPr>
          <w:szCs w:val="21"/>
          <w:u w:val="single"/>
        </w:rPr>
        <w:t>10</w:t>
      </w:r>
      <w:r>
        <w:rPr>
          <w:rFonts w:hint="eastAsia"/>
          <w:szCs w:val="21"/>
          <w:u w:val="single"/>
        </w:rPr>
        <w:t xml:space="preserve"> </w:t>
      </w:r>
      <w:r>
        <w:rPr>
          <w:rFonts w:hint="eastAsia"/>
          <w:szCs w:val="21"/>
        </w:rPr>
        <w:t>日的，甲方有权解除合同。</w:t>
      </w:r>
    </w:p>
    <w:p>
      <w:pPr>
        <w:spacing w:line="340" w:lineRule="exact"/>
        <w:ind w:firstLine="420" w:firstLineChars="200"/>
        <w:rPr>
          <w:szCs w:val="21"/>
        </w:rPr>
      </w:pPr>
      <w:bookmarkStart w:id="8" w:name="OLE_LINK4"/>
      <w:bookmarkStart w:id="9" w:name="OLE_LINK3"/>
      <w:r>
        <w:rPr>
          <w:rFonts w:hint="eastAsia"/>
          <w:szCs w:val="21"/>
        </w:rPr>
        <w:t>8</w:t>
      </w:r>
      <w:r>
        <w:rPr>
          <w:szCs w:val="21"/>
        </w:rPr>
        <w:t>.2</w:t>
      </w:r>
      <w:bookmarkEnd w:id="8"/>
      <w:bookmarkEnd w:id="9"/>
      <w:r>
        <w:rPr>
          <w:rFonts w:hint="eastAsia"/>
          <w:szCs w:val="21"/>
        </w:rPr>
        <w:t>乙方交货后被甲方依合同约定拒收或退货的，乙方应当承担逾期交货的违约责任。</w:t>
      </w:r>
    </w:p>
    <w:p>
      <w:pPr>
        <w:spacing w:line="340" w:lineRule="exact"/>
        <w:ind w:firstLine="420" w:firstLineChars="200"/>
        <w:rPr>
          <w:szCs w:val="21"/>
        </w:rPr>
      </w:pPr>
      <w:r>
        <w:rPr>
          <w:rFonts w:hint="eastAsia"/>
          <w:szCs w:val="21"/>
        </w:rPr>
        <w:t>8</w:t>
      </w:r>
      <w:r>
        <w:rPr>
          <w:szCs w:val="21"/>
        </w:rPr>
        <w:t>.3</w:t>
      </w:r>
      <w:r>
        <w:rPr>
          <w:rFonts w:hint="eastAsia"/>
          <w:szCs w:val="21"/>
        </w:rPr>
        <w:t>如出现货物质量不符合约定，或其他乙方违约行为产生退货的，乙方应退回甲方为违约货物已支付的所有款项，并承担违约责任。</w:t>
      </w:r>
    </w:p>
    <w:p>
      <w:pPr>
        <w:spacing w:line="340" w:lineRule="exact"/>
        <w:ind w:firstLine="424" w:firstLineChars="202"/>
        <w:rPr>
          <w:szCs w:val="21"/>
        </w:rPr>
      </w:pPr>
      <w:r>
        <w:rPr>
          <w:rFonts w:hint="eastAsia"/>
          <w:szCs w:val="21"/>
        </w:rPr>
        <w:t>8</w:t>
      </w:r>
      <w:r>
        <w:rPr>
          <w:szCs w:val="21"/>
        </w:rPr>
        <w:t>.4</w:t>
      </w:r>
      <w:r>
        <w:rPr>
          <w:rFonts w:hint="eastAsia"/>
          <w:szCs w:val="21"/>
        </w:rPr>
        <w:t>乙方未按合同约定履行其他义务给甲方造成损失的，应当承担相应的赔偿责任。同时甲方有权解除合同，乙方承担违约责任。</w:t>
      </w:r>
    </w:p>
    <w:p>
      <w:pPr>
        <w:spacing w:line="340" w:lineRule="exact"/>
        <w:ind w:firstLine="424" w:firstLineChars="202"/>
        <w:rPr>
          <w:szCs w:val="21"/>
        </w:rPr>
      </w:pPr>
      <w:r>
        <w:rPr>
          <w:rFonts w:hint="eastAsia"/>
          <w:szCs w:val="21"/>
        </w:rPr>
        <w:t>8</w:t>
      </w:r>
      <w:r>
        <w:rPr>
          <w:szCs w:val="21"/>
        </w:rPr>
        <w:t>.5</w:t>
      </w:r>
      <w:r>
        <w:rPr>
          <w:rFonts w:hint="eastAsia"/>
          <w:szCs w:val="21"/>
        </w:rPr>
        <w:t>因乙方违约导致合同解除，或乙方主动解除合同的情况下，应向甲方支付合同总金额</w:t>
      </w:r>
      <w:r>
        <w:rPr>
          <w:rFonts w:hint="eastAsia"/>
          <w:szCs w:val="21"/>
          <w:u w:val="single"/>
        </w:rPr>
        <w:t xml:space="preserve"> </w:t>
      </w:r>
      <w:r>
        <w:rPr>
          <w:szCs w:val="21"/>
          <w:u w:val="single"/>
        </w:rPr>
        <w:t xml:space="preserve"> </w:t>
      </w:r>
      <w:r>
        <w:rPr>
          <w:rFonts w:hint="eastAsia"/>
          <w:szCs w:val="21"/>
          <w:u w:val="single"/>
        </w:rPr>
        <w:t>30</w:t>
      </w:r>
      <w:r>
        <w:rPr>
          <w:szCs w:val="21"/>
          <w:u w:val="single"/>
        </w:rPr>
        <w:t xml:space="preserve">  </w:t>
      </w:r>
      <w:r>
        <w:rPr>
          <w:rFonts w:hint="eastAsia"/>
          <w:szCs w:val="21"/>
        </w:rPr>
        <w:t>%的违约金</w:t>
      </w:r>
    </w:p>
    <w:p>
      <w:pPr>
        <w:pStyle w:val="2"/>
        <w:spacing w:before="156" w:beforeLines="50" w:after="0" w:line="340" w:lineRule="exact"/>
        <w:rPr>
          <w:sz w:val="21"/>
          <w:szCs w:val="21"/>
        </w:rPr>
      </w:pPr>
      <w:bookmarkStart w:id="10" w:name="_Toc48641602"/>
      <w:r>
        <w:rPr>
          <w:rFonts w:hint="eastAsia"/>
          <w:sz w:val="21"/>
          <w:szCs w:val="21"/>
        </w:rPr>
        <w:t>第九条</w:t>
      </w:r>
      <w:r>
        <w:rPr>
          <w:sz w:val="21"/>
          <w:szCs w:val="21"/>
        </w:rPr>
        <w:t xml:space="preserve"> </w:t>
      </w:r>
      <w:r>
        <w:rPr>
          <w:rFonts w:hint="eastAsia"/>
          <w:sz w:val="21"/>
          <w:szCs w:val="21"/>
        </w:rPr>
        <w:t>货物</w:t>
      </w:r>
      <w:r>
        <w:rPr>
          <w:sz w:val="21"/>
          <w:szCs w:val="21"/>
        </w:rPr>
        <w:t>的所有权及知识产权保证</w:t>
      </w:r>
      <w:bookmarkEnd w:id="10"/>
    </w:p>
    <w:p>
      <w:pPr>
        <w:spacing w:line="340" w:lineRule="exact"/>
        <w:ind w:firstLine="420" w:firstLineChars="200"/>
        <w:rPr>
          <w:szCs w:val="21"/>
        </w:rPr>
      </w:pPr>
      <w:r>
        <w:rPr>
          <w:rFonts w:hint="eastAsia"/>
          <w:szCs w:val="21"/>
        </w:rPr>
        <w:t xml:space="preserve">9.1 </w:t>
      </w:r>
      <w:r>
        <w:rPr>
          <w:szCs w:val="21"/>
        </w:rPr>
        <w:t>在甲方</w:t>
      </w:r>
      <w:r>
        <w:rPr>
          <w:rFonts w:hint="eastAsia"/>
          <w:szCs w:val="21"/>
        </w:rPr>
        <w:t>支付</w:t>
      </w:r>
      <w:r>
        <w:rPr>
          <w:szCs w:val="21"/>
        </w:rPr>
        <w:t>本合同</w:t>
      </w:r>
      <w:r>
        <w:rPr>
          <w:rFonts w:hint="eastAsia"/>
          <w:szCs w:val="21"/>
        </w:rPr>
        <w:t>约定</w:t>
      </w:r>
      <w:r>
        <w:rPr>
          <w:szCs w:val="21"/>
        </w:rPr>
        <w:t>的</w:t>
      </w:r>
      <w:r>
        <w:rPr>
          <w:rFonts w:hint="eastAsia"/>
          <w:szCs w:val="21"/>
        </w:rPr>
        <w:t>款项</w:t>
      </w:r>
      <w:r>
        <w:rPr>
          <w:szCs w:val="21"/>
        </w:rPr>
        <w:t>前，本合同</w:t>
      </w:r>
      <w:r>
        <w:rPr>
          <w:rFonts w:hint="eastAsia"/>
          <w:szCs w:val="21"/>
        </w:rPr>
        <w:t>约定</w:t>
      </w:r>
      <w:r>
        <w:rPr>
          <w:szCs w:val="21"/>
        </w:rPr>
        <w:t>之</w:t>
      </w:r>
      <w:r>
        <w:rPr>
          <w:rFonts w:hint="eastAsia"/>
          <w:szCs w:val="21"/>
        </w:rPr>
        <w:t>货物</w:t>
      </w:r>
      <w:r>
        <w:rPr>
          <w:szCs w:val="21"/>
        </w:rPr>
        <w:t>的所有权属于乙方。在甲方付清本合同</w:t>
      </w:r>
      <w:r>
        <w:rPr>
          <w:rFonts w:hint="eastAsia"/>
          <w:szCs w:val="21"/>
        </w:rPr>
        <w:t>约定</w:t>
      </w:r>
      <w:r>
        <w:rPr>
          <w:szCs w:val="21"/>
        </w:rPr>
        <w:t>的</w:t>
      </w:r>
      <w:r>
        <w:rPr>
          <w:rFonts w:hint="eastAsia"/>
          <w:szCs w:val="21"/>
        </w:rPr>
        <w:t>安装验收款</w:t>
      </w:r>
      <w:r>
        <w:rPr>
          <w:szCs w:val="21"/>
        </w:rPr>
        <w:t>后，</w:t>
      </w:r>
      <w:r>
        <w:rPr>
          <w:rFonts w:hint="eastAsia"/>
          <w:szCs w:val="21"/>
        </w:rPr>
        <w:t>本</w:t>
      </w:r>
      <w:r>
        <w:rPr>
          <w:szCs w:val="21"/>
        </w:rPr>
        <w:t>合同</w:t>
      </w:r>
      <w:r>
        <w:rPr>
          <w:rFonts w:hint="eastAsia"/>
          <w:szCs w:val="21"/>
        </w:rPr>
        <w:t>约定之货物的</w:t>
      </w:r>
      <w:r>
        <w:rPr>
          <w:szCs w:val="21"/>
        </w:rPr>
        <w:t>所有权归属甲方。</w:t>
      </w:r>
    </w:p>
    <w:p>
      <w:pPr>
        <w:spacing w:line="340" w:lineRule="exact"/>
        <w:ind w:firstLine="420" w:firstLineChars="200"/>
        <w:rPr>
          <w:szCs w:val="21"/>
        </w:rPr>
      </w:pPr>
      <w:r>
        <w:rPr>
          <w:rFonts w:hint="eastAsia"/>
          <w:szCs w:val="21"/>
        </w:rPr>
        <w:t>9.2 乙方保证：向甲方所提供的货物等不存在侵犯任何第三人知识产权的情况，因知识产权问题引起的一切法律责任由乙方承担。</w:t>
      </w:r>
    </w:p>
    <w:p>
      <w:pPr>
        <w:pStyle w:val="2"/>
        <w:spacing w:before="156" w:beforeLines="50" w:after="0" w:line="340" w:lineRule="exact"/>
        <w:rPr>
          <w:sz w:val="21"/>
          <w:szCs w:val="21"/>
        </w:rPr>
      </w:pPr>
      <w:bookmarkStart w:id="11" w:name="_Toc48641603"/>
      <w:r>
        <w:rPr>
          <w:rFonts w:hint="eastAsia"/>
          <w:sz w:val="21"/>
          <w:szCs w:val="21"/>
        </w:rPr>
        <w:t>第十条</w:t>
      </w:r>
      <w:r>
        <w:rPr>
          <w:sz w:val="21"/>
          <w:szCs w:val="21"/>
        </w:rPr>
        <w:t xml:space="preserve"> 争议解决</w:t>
      </w:r>
      <w:bookmarkEnd w:id="11"/>
    </w:p>
    <w:p>
      <w:pPr>
        <w:spacing w:line="340" w:lineRule="exact"/>
        <w:ind w:firstLine="420" w:firstLineChars="200"/>
        <w:rPr>
          <w:szCs w:val="21"/>
        </w:rPr>
      </w:pPr>
      <w:r>
        <w:rPr>
          <w:rFonts w:hint="eastAsia"/>
          <w:szCs w:val="21"/>
        </w:rPr>
        <w:t>10</w:t>
      </w:r>
      <w:r>
        <w:rPr>
          <w:szCs w:val="21"/>
        </w:rPr>
        <w:t>.1 合同执行过程中所发生的一切争执，双方应在相互体谅及友好协商的基础上</w:t>
      </w:r>
      <w:r>
        <w:rPr>
          <w:rFonts w:hint="eastAsia"/>
          <w:szCs w:val="21"/>
        </w:rPr>
        <w:t>协商</w:t>
      </w:r>
      <w:r>
        <w:rPr>
          <w:szCs w:val="21"/>
        </w:rPr>
        <w:t>解决</w:t>
      </w:r>
      <w:r>
        <w:rPr>
          <w:rFonts w:hint="eastAsia"/>
          <w:szCs w:val="21"/>
        </w:rPr>
        <w:t>；</w:t>
      </w:r>
      <w:r>
        <w:rPr>
          <w:szCs w:val="21"/>
        </w:rPr>
        <w:t>如协商解决</w:t>
      </w:r>
      <w:r>
        <w:rPr>
          <w:rFonts w:hint="eastAsia"/>
          <w:szCs w:val="21"/>
        </w:rPr>
        <w:t>无法达成一致</w:t>
      </w:r>
      <w:r>
        <w:rPr>
          <w:szCs w:val="21"/>
        </w:rPr>
        <w:t>，双方任何一方均可向甲方所在地</w:t>
      </w:r>
      <w:r>
        <w:rPr>
          <w:rFonts w:hint="eastAsia"/>
          <w:szCs w:val="21"/>
        </w:rPr>
        <w:t>有管辖权的</w:t>
      </w:r>
      <w:r>
        <w:rPr>
          <w:szCs w:val="21"/>
        </w:rPr>
        <w:t>人民法院提出诉讼</w:t>
      </w:r>
      <w:r>
        <w:rPr>
          <w:rFonts w:hint="eastAsia"/>
          <w:szCs w:val="21"/>
        </w:rPr>
        <w:t>。解决争议期间，除争议事项外，双方应继续履行本合同规定的其他各项条款。</w:t>
      </w:r>
    </w:p>
    <w:p>
      <w:pPr>
        <w:spacing w:line="340" w:lineRule="exact"/>
        <w:ind w:firstLine="420" w:firstLineChars="200"/>
        <w:rPr>
          <w:szCs w:val="21"/>
        </w:rPr>
      </w:pPr>
      <w:r>
        <w:rPr>
          <w:rFonts w:hint="eastAsia"/>
          <w:szCs w:val="21"/>
        </w:rPr>
        <w:t>10</w:t>
      </w:r>
      <w:r>
        <w:rPr>
          <w:szCs w:val="21"/>
        </w:rPr>
        <w:t>.2 诉讼期间，合同中没有争议的部分应继续执行</w:t>
      </w:r>
      <w:r>
        <w:rPr>
          <w:rFonts w:hint="eastAsia"/>
          <w:szCs w:val="21"/>
        </w:rPr>
        <w:t>。因诉讼所产生的费用由败诉方承担，包括但不限于诉讼费、保全费、律师费、公证费、取证费用、差旅费用等。</w:t>
      </w:r>
    </w:p>
    <w:p>
      <w:pPr>
        <w:pStyle w:val="2"/>
        <w:spacing w:before="156" w:beforeLines="50" w:after="0" w:line="340" w:lineRule="exact"/>
        <w:rPr>
          <w:sz w:val="21"/>
          <w:szCs w:val="21"/>
        </w:rPr>
      </w:pPr>
      <w:bookmarkStart w:id="12" w:name="_Toc48641604"/>
      <w:r>
        <w:rPr>
          <w:rFonts w:hint="eastAsia"/>
          <w:sz w:val="21"/>
          <w:szCs w:val="21"/>
        </w:rPr>
        <w:t>第十一条 通知与送达</w:t>
      </w:r>
      <w:bookmarkEnd w:id="12"/>
    </w:p>
    <w:p>
      <w:pPr>
        <w:spacing w:line="340" w:lineRule="exact"/>
        <w:ind w:firstLine="420" w:firstLineChars="200"/>
        <w:rPr>
          <w:szCs w:val="21"/>
        </w:rPr>
      </w:pPr>
      <w:r>
        <w:rPr>
          <w:rFonts w:hint="eastAsia"/>
          <w:szCs w:val="21"/>
        </w:rPr>
        <w:t>11.1 本合同所列明的地址为本合同履行过程中向对方发出或者提供所有通知、文件、文书等资料的有效送达地址。</w:t>
      </w:r>
    </w:p>
    <w:p>
      <w:pPr>
        <w:spacing w:line="340" w:lineRule="exact"/>
        <w:ind w:firstLine="420" w:firstLineChars="200"/>
        <w:rPr>
          <w:szCs w:val="21"/>
        </w:rPr>
      </w:pPr>
      <w:r>
        <w:rPr>
          <w:rFonts w:hint="eastAsia"/>
          <w:szCs w:val="21"/>
        </w:rPr>
        <w:t>11.2 本合同履行过程中发生任何纠纷，则本合同所列明的地址视为法院邮寄法律文书及守约方邮寄律师函等文书的法定送达地址。因受送达人本人或者受送达人指定的代收人拒绝签收，导致诉讼文书未能被受送达人实际接收的，文书退回之日视为送达之日。</w:t>
      </w:r>
    </w:p>
    <w:p>
      <w:pPr>
        <w:spacing w:line="340" w:lineRule="exact"/>
        <w:ind w:firstLine="420" w:firstLineChars="200"/>
        <w:rPr>
          <w:szCs w:val="21"/>
        </w:rPr>
      </w:pPr>
      <w:r>
        <w:rPr>
          <w:rFonts w:hint="eastAsia"/>
          <w:szCs w:val="21"/>
        </w:rPr>
        <w:t>11.3 一方如果迁址、变更电话，应当书面通知对方，未履行书面通知义务的，一方按原地址邮寄相关材料或通知相关信息即视为已履行送达义务。</w:t>
      </w:r>
    </w:p>
    <w:p>
      <w:pPr>
        <w:spacing w:line="340" w:lineRule="exact"/>
        <w:ind w:firstLine="420" w:firstLineChars="200"/>
        <w:rPr>
          <w:szCs w:val="21"/>
        </w:rPr>
      </w:pPr>
      <w:r>
        <w:rPr>
          <w:rFonts w:hint="eastAsia"/>
          <w:szCs w:val="21"/>
        </w:rPr>
        <w:t>11.4 当面交付上述材料的，在交付之时视为送达；以邮寄方式交付的，寄出、发出或者投邮后即视为送达。</w:t>
      </w:r>
    </w:p>
    <w:p>
      <w:pPr>
        <w:pStyle w:val="2"/>
        <w:spacing w:before="156" w:beforeLines="50" w:after="0" w:line="340" w:lineRule="exact"/>
        <w:rPr>
          <w:sz w:val="21"/>
          <w:szCs w:val="21"/>
        </w:rPr>
      </w:pPr>
      <w:bookmarkStart w:id="13" w:name="_Toc48641605"/>
      <w:r>
        <w:rPr>
          <w:rFonts w:hint="eastAsia"/>
          <w:sz w:val="21"/>
          <w:szCs w:val="21"/>
        </w:rPr>
        <w:t xml:space="preserve">第十二条 </w:t>
      </w:r>
      <w:r>
        <w:rPr>
          <w:sz w:val="21"/>
          <w:szCs w:val="21"/>
        </w:rPr>
        <w:t>合同生效</w:t>
      </w:r>
      <w:bookmarkEnd w:id="13"/>
    </w:p>
    <w:p>
      <w:pPr>
        <w:spacing w:line="340" w:lineRule="exact"/>
        <w:ind w:firstLine="420" w:firstLineChars="200"/>
        <w:rPr>
          <w:szCs w:val="21"/>
        </w:rPr>
      </w:pPr>
      <w:r>
        <w:rPr>
          <w:szCs w:val="21"/>
        </w:rPr>
        <w:t>1</w:t>
      </w:r>
      <w:r>
        <w:rPr>
          <w:rFonts w:hint="eastAsia"/>
          <w:szCs w:val="21"/>
        </w:rPr>
        <w:t>2</w:t>
      </w:r>
      <w:r>
        <w:rPr>
          <w:szCs w:val="21"/>
        </w:rPr>
        <w:t>.1</w:t>
      </w:r>
      <w:r>
        <w:rPr>
          <w:rFonts w:hint="eastAsia"/>
          <w:szCs w:val="21"/>
        </w:rPr>
        <w:t xml:space="preserve"> 本合同经双方加盖公章或合同专用章后即行生效。合同签订日期以双方中最后一方加盖公章或合同专用章的日期为准。</w:t>
      </w:r>
    </w:p>
    <w:p>
      <w:pPr>
        <w:spacing w:line="340" w:lineRule="exact"/>
        <w:ind w:firstLine="420" w:firstLineChars="200"/>
        <w:rPr>
          <w:szCs w:val="21"/>
        </w:rPr>
      </w:pPr>
      <w:r>
        <w:rPr>
          <w:szCs w:val="21"/>
        </w:rPr>
        <w:t>1</w:t>
      </w:r>
      <w:r>
        <w:rPr>
          <w:rFonts w:hint="eastAsia"/>
          <w:szCs w:val="21"/>
        </w:rPr>
        <w:t>2</w:t>
      </w:r>
      <w:r>
        <w:rPr>
          <w:szCs w:val="21"/>
        </w:rPr>
        <w:t>.2 本合同生效后，对本合同的任何条款修改、变动或者增减</w:t>
      </w:r>
      <w:r>
        <w:rPr>
          <w:rFonts w:hint="eastAsia"/>
          <w:szCs w:val="21"/>
        </w:rPr>
        <w:t>需要以书面形式</w:t>
      </w:r>
      <w:r>
        <w:rPr>
          <w:szCs w:val="21"/>
        </w:rPr>
        <w:t>，</w:t>
      </w:r>
      <w:r>
        <w:rPr>
          <w:rFonts w:hint="eastAsia"/>
          <w:szCs w:val="21"/>
        </w:rPr>
        <w:t>并</w:t>
      </w:r>
      <w:r>
        <w:rPr>
          <w:szCs w:val="21"/>
        </w:rPr>
        <w:t>经双方加盖公章</w:t>
      </w:r>
      <w:r>
        <w:rPr>
          <w:rFonts w:hint="eastAsia"/>
          <w:szCs w:val="21"/>
        </w:rPr>
        <w:t>或合同专用章</w:t>
      </w:r>
      <w:r>
        <w:rPr>
          <w:szCs w:val="21"/>
        </w:rPr>
        <w:t>后生效</w:t>
      </w:r>
      <w:r>
        <w:rPr>
          <w:rFonts w:hint="eastAsia"/>
          <w:szCs w:val="21"/>
        </w:rPr>
        <w:t>。合同附件为本合同的组成部分，与本合同正文具有同等法律效力。</w:t>
      </w:r>
    </w:p>
    <w:p>
      <w:pPr>
        <w:spacing w:line="340" w:lineRule="exact"/>
        <w:ind w:firstLine="420" w:firstLineChars="200"/>
        <w:rPr>
          <w:szCs w:val="21"/>
        </w:rPr>
      </w:pPr>
      <w:r>
        <w:rPr>
          <w:rFonts w:hint="eastAsia"/>
          <w:szCs w:val="21"/>
        </w:rPr>
        <w:t>12.3</w:t>
      </w:r>
      <w:r>
        <w:rPr>
          <w:szCs w:val="21"/>
        </w:rPr>
        <w:t xml:space="preserve"> </w:t>
      </w:r>
      <w:r>
        <w:rPr>
          <w:rFonts w:hint="eastAsia"/>
          <w:szCs w:val="21"/>
        </w:rPr>
        <w:t>合同有效期：自本合同生效日期之日起至本合同权利义务履行完毕之日止。</w:t>
      </w:r>
    </w:p>
    <w:p>
      <w:pPr>
        <w:pStyle w:val="2"/>
        <w:spacing w:before="156" w:beforeLines="50" w:after="0" w:line="340" w:lineRule="exact"/>
        <w:rPr>
          <w:sz w:val="21"/>
          <w:szCs w:val="21"/>
        </w:rPr>
      </w:pPr>
      <w:r>
        <w:rPr>
          <w:sz w:val="21"/>
          <w:szCs w:val="21"/>
        </w:rPr>
        <w:t>第</w:t>
      </w:r>
      <w:r>
        <w:rPr>
          <w:rFonts w:hint="eastAsia"/>
          <w:sz w:val="21"/>
          <w:szCs w:val="21"/>
        </w:rPr>
        <w:t>十三</w:t>
      </w:r>
      <w:r>
        <w:rPr>
          <w:sz w:val="21"/>
          <w:szCs w:val="21"/>
        </w:rPr>
        <w:t xml:space="preserve">条 </w:t>
      </w:r>
      <w:r>
        <w:rPr>
          <w:rFonts w:hint="eastAsia"/>
          <w:sz w:val="21"/>
          <w:szCs w:val="21"/>
        </w:rPr>
        <w:t>廉洁条款</w:t>
      </w:r>
    </w:p>
    <w:p>
      <w:pPr>
        <w:spacing w:line="340" w:lineRule="exact"/>
        <w:ind w:firstLine="420" w:firstLineChars="200"/>
        <w:rPr>
          <w:rFonts w:ascii="宋体" w:hAnsi="宋体"/>
        </w:rPr>
      </w:pPr>
      <w:r>
        <w:rPr>
          <w:rFonts w:ascii="宋体" w:hAnsi="宋体"/>
          <w:szCs w:val="21"/>
        </w:rPr>
        <w:t>13.1</w:t>
      </w:r>
      <w:bookmarkStart w:id="14" w:name="OLE_LINK11"/>
      <w:bookmarkStart w:id="15" w:name="OLE_LINK12"/>
      <w:r>
        <w:rPr>
          <w:rFonts w:ascii="宋体" w:hAnsi="宋体"/>
          <w:szCs w:val="21"/>
        </w:rPr>
        <w:t>在</w:t>
      </w:r>
      <w:r>
        <w:rPr>
          <w:rFonts w:hint="eastAsia" w:ascii="宋体" w:hAnsi="宋体"/>
          <w:szCs w:val="21"/>
        </w:rPr>
        <w:t>项目</w:t>
      </w:r>
      <w:r>
        <w:rPr>
          <w:rFonts w:ascii="宋体" w:hAnsi="宋体"/>
          <w:szCs w:val="21"/>
        </w:rPr>
        <w:t>采购、合同签订、履行过程中，</w:t>
      </w:r>
      <w:r>
        <w:rPr>
          <w:rFonts w:hint="eastAsia" w:ascii="宋体" w:hAnsi="宋体"/>
          <w:szCs w:val="21"/>
        </w:rPr>
        <w:t>甲方的项目相关负责人员不得存在如下关联关系：</w:t>
      </w:r>
      <w:r>
        <w:rPr>
          <w:rFonts w:ascii="宋体" w:hAnsi="宋体"/>
          <w:szCs w:val="21"/>
        </w:rPr>
        <w:t>(1)</w:t>
      </w:r>
      <w:r>
        <w:rPr>
          <w:rFonts w:hint="eastAsia" w:ascii="宋体" w:hAnsi="宋体"/>
          <w:szCs w:val="21"/>
        </w:rPr>
        <w:t>与作为合同相对方的自然人有配偶关系、直系血亲关系、三代以内旁系血亲或者姻亲关系;</w:t>
      </w:r>
      <w:r>
        <w:rPr>
          <w:rFonts w:ascii="宋体" w:hAnsi="宋体"/>
          <w:szCs w:val="21"/>
        </w:rPr>
        <w:t>(2)</w:t>
      </w:r>
      <w:r>
        <w:rPr>
          <w:rFonts w:hint="eastAsia" w:ascii="宋体" w:hAnsi="宋体"/>
          <w:szCs w:val="21"/>
        </w:rPr>
        <w:t>在合同相对方任职或者兼职;</w:t>
      </w:r>
      <w:r>
        <w:rPr>
          <w:rFonts w:ascii="宋体" w:hAnsi="宋体"/>
          <w:szCs w:val="21"/>
        </w:rPr>
        <w:t>(3)</w:t>
      </w:r>
      <w:r>
        <w:rPr>
          <w:rFonts w:hint="eastAsia" w:ascii="宋体" w:hAnsi="宋体"/>
          <w:szCs w:val="21"/>
        </w:rPr>
        <w:t>本人亲属在合同相对方担任具有决策权的重要职务;</w:t>
      </w:r>
      <w:r>
        <w:rPr>
          <w:rFonts w:ascii="宋体" w:hAnsi="宋体"/>
          <w:szCs w:val="21"/>
        </w:rPr>
        <w:t>(4)</w:t>
      </w:r>
      <w:r>
        <w:rPr>
          <w:rFonts w:hint="eastAsia" w:ascii="宋体" w:hAnsi="宋体"/>
          <w:szCs w:val="21"/>
        </w:rPr>
        <w:t>本人及其近亲属直接、间接、共同控制合同相对方或者可对合同相对方施加重大影响</w:t>
      </w:r>
      <w:bookmarkEnd w:id="14"/>
      <w:bookmarkEnd w:id="15"/>
      <w:r>
        <w:rPr>
          <w:rFonts w:hint="eastAsia" w:ascii="宋体" w:hAnsi="宋体"/>
          <w:szCs w:val="21"/>
        </w:rPr>
        <w:t>。</w:t>
      </w:r>
    </w:p>
    <w:p>
      <w:pPr>
        <w:spacing w:line="340" w:lineRule="exact"/>
        <w:ind w:firstLine="420" w:firstLineChars="200"/>
        <w:rPr>
          <w:rFonts w:ascii="宋体" w:hAnsi="宋体"/>
          <w:szCs w:val="21"/>
        </w:rPr>
      </w:pPr>
      <w:r>
        <w:rPr>
          <w:rFonts w:ascii="宋体" w:hAnsi="宋体"/>
          <w:szCs w:val="21"/>
        </w:rPr>
        <w:t>13.2乙方保证并承诺，在</w:t>
      </w:r>
      <w:r>
        <w:rPr>
          <w:rFonts w:hint="eastAsia" w:ascii="宋体" w:hAnsi="宋体"/>
          <w:szCs w:val="21"/>
        </w:rPr>
        <w:t>项目</w:t>
      </w:r>
      <w:r>
        <w:rPr>
          <w:rFonts w:ascii="宋体" w:hAnsi="宋体"/>
          <w:szCs w:val="21"/>
        </w:rPr>
        <w:t>采购、合同签订、履行过程中，未向评标委员会、竞争性谈判小组或者询价小组成员、采购代理机构工作人员、甲方工作人员行贿或者提供其他不正当利益。</w:t>
      </w:r>
    </w:p>
    <w:p>
      <w:pPr>
        <w:pStyle w:val="2"/>
        <w:spacing w:before="156" w:beforeLines="50" w:after="156" w:afterLines="50" w:line="340" w:lineRule="exact"/>
        <w:rPr>
          <w:sz w:val="21"/>
          <w:szCs w:val="21"/>
        </w:rPr>
      </w:pPr>
      <w:bookmarkStart w:id="16" w:name="_Toc48641606"/>
      <w:bookmarkStart w:id="17" w:name="_Toc48638953"/>
      <w:r>
        <w:rPr>
          <w:sz w:val="21"/>
          <w:szCs w:val="21"/>
        </w:rPr>
        <w:t>第</w:t>
      </w:r>
      <w:r>
        <w:rPr>
          <w:rFonts w:hint="eastAsia"/>
          <w:sz w:val="21"/>
          <w:szCs w:val="21"/>
        </w:rPr>
        <w:t>十四</w:t>
      </w:r>
      <w:r>
        <w:rPr>
          <w:sz w:val="21"/>
          <w:szCs w:val="21"/>
        </w:rPr>
        <w:t xml:space="preserve">条 </w:t>
      </w:r>
      <w:r>
        <w:rPr>
          <w:rFonts w:hint="eastAsia"/>
          <w:sz w:val="21"/>
          <w:szCs w:val="21"/>
        </w:rPr>
        <w:t>特别约定</w:t>
      </w:r>
    </w:p>
    <w:p>
      <w:pPr>
        <w:spacing w:line="340" w:lineRule="exact"/>
        <w:ind w:firstLine="420" w:firstLineChars="200"/>
        <w:rPr>
          <w:szCs w:val="21"/>
        </w:rPr>
      </w:pPr>
      <w:r>
        <w:rPr>
          <w:rFonts w:hint="eastAsia"/>
          <w:szCs w:val="21"/>
        </w:rPr>
        <w:t>1</w:t>
      </w:r>
      <w:r>
        <w:rPr>
          <w:szCs w:val="21"/>
        </w:rPr>
        <w:t xml:space="preserve">4.1 </w:t>
      </w:r>
      <w:r>
        <w:rPr>
          <w:rFonts w:hint="eastAsia"/>
          <w:szCs w:val="21"/>
        </w:rPr>
        <w:t>因乙方原因造成本合同解除的，乙方应退还甲方未实际履约对应部分的已付款项，未达到甲方使用标准的，应退还甲方所有已付款项。乙方同时承担违约责任，赔偿甲方损失。</w:t>
      </w:r>
    </w:p>
    <w:p>
      <w:pPr>
        <w:spacing w:line="340" w:lineRule="exact"/>
        <w:ind w:firstLine="420" w:firstLineChars="200"/>
        <w:rPr>
          <w:szCs w:val="21"/>
        </w:rPr>
      </w:pPr>
      <w:r>
        <w:rPr>
          <w:szCs w:val="21"/>
        </w:rPr>
        <w:t xml:space="preserve">14.2 </w:t>
      </w:r>
      <w:r>
        <w:rPr>
          <w:rFonts w:hint="eastAsia"/>
          <w:szCs w:val="21"/>
        </w:rPr>
        <w:t>本特别约定是合同各方经协商后对合同其他条款的修改或补充，如有不一致，以特别约定为准。</w:t>
      </w:r>
    </w:p>
    <w:p>
      <w:pPr>
        <w:pStyle w:val="25"/>
        <w:spacing w:line="340" w:lineRule="exact"/>
        <w:ind w:firstLine="371" w:firstLineChars="177"/>
        <w:rPr>
          <w:bCs/>
          <w:sz w:val="21"/>
          <w:szCs w:val="21"/>
          <w:lang w:val="en-US"/>
        </w:rPr>
      </w:pPr>
      <w:r>
        <w:rPr>
          <w:bCs/>
          <w:sz w:val="21"/>
          <w:szCs w:val="21"/>
          <w:lang w:val="en-US"/>
        </w:rPr>
        <w:t>双方已充分理解并同意本合同项下全部条款、权利、义务以及风险，且不存在任何其他不明条款，故签订本合同。</w:t>
      </w:r>
    </w:p>
    <w:p>
      <w:pPr>
        <w:pStyle w:val="25"/>
        <w:spacing w:line="340" w:lineRule="exact"/>
        <w:ind w:firstLine="371" w:firstLineChars="177"/>
        <w:rPr>
          <w:bCs/>
          <w:sz w:val="21"/>
          <w:szCs w:val="21"/>
          <w:lang w:val="en-US"/>
        </w:rPr>
      </w:pPr>
    </w:p>
    <w:bookmarkEnd w:id="16"/>
    <w:bookmarkEnd w:id="17"/>
    <w:p>
      <w:pPr>
        <w:pStyle w:val="25"/>
        <w:spacing w:line="340" w:lineRule="exact"/>
        <w:ind w:firstLine="420" w:firstLineChars="200"/>
        <w:rPr>
          <w:bCs/>
          <w:sz w:val="21"/>
          <w:szCs w:val="21"/>
          <w:lang w:val="en-US"/>
        </w:rPr>
      </w:pPr>
      <w:r>
        <w:rPr>
          <w:rFonts w:hint="eastAsia"/>
          <w:bCs/>
          <w:sz w:val="21"/>
          <w:szCs w:val="21"/>
          <w:lang w:val="en-US"/>
        </w:rPr>
        <w:t>合同附件1：</w:t>
      </w:r>
      <w:r>
        <w:rPr>
          <w:rFonts w:hint="eastAsia" w:ascii="Times New Roman" w:hAnsi="Times New Roman" w:cs="Times New Roman"/>
          <w:b w:val="0"/>
          <w:bCs/>
          <w:sz w:val="21"/>
          <w:szCs w:val="21"/>
          <w:lang w:val="en-US" w:bidi="ar-SA"/>
        </w:rPr>
        <w:t>技术参数及质量要求</w:t>
      </w:r>
      <w:r>
        <w:rPr>
          <w:rFonts w:hint="eastAsia"/>
          <w:bCs/>
          <w:sz w:val="21"/>
          <w:szCs w:val="21"/>
          <w:lang w:val="en-US"/>
        </w:rPr>
        <w:t>。</w:t>
      </w:r>
    </w:p>
    <w:p>
      <w:pPr>
        <w:pStyle w:val="25"/>
        <w:spacing w:line="360" w:lineRule="exact"/>
        <w:rPr>
          <w:bCs/>
          <w:sz w:val="21"/>
          <w:szCs w:val="21"/>
          <w:lang w:val="en-US"/>
        </w:rPr>
      </w:pPr>
    </w:p>
    <w:p>
      <w:pPr>
        <w:spacing w:line="360" w:lineRule="exact"/>
      </w:pPr>
    </w:p>
    <w:p>
      <w:pPr>
        <w:spacing w:line="360" w:lineRule="exact"/>
      </w:pPr>
    </w:p>
    <w:p>
      <w:pPr>
        <w:spacing w:line="360" w:lineRule="exact"/>
      </w:pPr>
    </w:p>
    <w:p>
      <w:pPr>
        <w:spacing w:line="360" w:lineRule="exact"/>
      </w:pPr>
    </w:p>
    <w:p>
      <w:pPr>
        <w:spacing w:line="360" w:lineRule="exact"/>
      </w:pPr>
    </w:p>
    <w:p>
      <w:pPr>
        <w:spacing w:line="360" w:lineRule="exact"/>
      </w:pPr>
    </w:p>
    <w:p>
      <w:pPr>
        <w:spacing w:line="360" w:lineRule="exact"/>
      </w:pPr>
    </w:p>
    <w:p>
      <w:pPr>
        <w:spacing w:line="360" w:lineRule="exact"/>
      </w:pPr>
    </w:p>
    <w:p>
      <w:pPr>
        <w:spacing w:line="360" w:lineRule="exact"/>
      </w:pPr>
    </w:p>
    <w:p>
      <w:pPr>
        <w:widowControl/>
        <w:rPr>
          <w:rFonts w:ascii="宋体" w:hAnsi="宋体" w:cs="宋体"/>
          <w:b/>
          <w:bCs/>
          <w:kern w:val="0"/>
          <w:sz w:val="24"/>
          <w:szCs w:val="24"/>
          <w:lang w:bidi="ar"/>
        </w:rPr>
      </w:pPr>
    </w:p>
    <w:p>
      <w:pPr>
        <w:spacing w:line="360" w:lineRule="exact"/>
      </w:pPr>
    </w:p>
    <w:p>
      <w:pPr>
        <w:widowControl/>
        <w:jc w:val="left"/>
        <w:rPr>
          <w:rFonts w:ascii="宋体" w:hAnsi="宋体" w:cs="宋体"/>
          <w:b/>
          <w:bCs/>
          <w:kern w:val="0"/>
          <w:sz w:val="24"/>
          <w:szCs w:val="24"/>
          <w:lang w:bidi="ar"/>
        </w:rPr>
      </w:pPr>
      <w:r>
        <w:rPr>
          <w:rFonts w:hint="eastAsia" w:ascii="宋体" w:hAnsi="宋体" w:cs="宋体"/>
          <w:b/>
          <w:bCs/>
          <w:kern w:val="0"/>
          <w:sz w:val="24"/>
          <w:szCs w:val="24"/>
          <w:lang w:bidi="ar"/>
        </w:rPr>
        <w:t>附件1：技术参数及质量要求</w:t>
      </w:r>
    </w:p>
    <w:p>
      <w:pPr>
        <w:widowControl/>
        <w:jc w:val="left"/>
        <w:rPr>
          <w:rFonts w:ascii="宋体" w:hAnsi="宋体" w:cs="宋体"/>
          <w:b/>
          <w:bCs/>
          <w:kern w:val="0"/>
          <w:sz w:val="24"/>
          <w:szCs w:val="24"/>
          <w:lang w:bidi="ar"/>
        </w:rPr>
      </w:pPr>
    </w:p>
    <w:tbl>
      <w:tblPr>
        <w:tblStyle w:val="9"/>
        <w:tblW w:w="4675" w:type="pct"/>
        <w:tblInd w:w="259" w:type="dxa"/>
        <w:tblLayout w:type="fixed"/>
        <w:tblCellMar>
          <w:top w:w="15" w:type="dxa"/>
          <w:left w:w="15" w:type="dxa"/>
          <w:bottom w:w="15" w:type="dxa"/>
          <w:right w:w="15" w:type="dxa"/>
        </w:tblCellMar>
      </w:tblPr>
      <w:tblGrid>
        <w:gridCol w:w="1261"/>
        <w:gridCol w:w="1020"/>
        <w:gridCol w:w="4515"/>
        <w:gridCol w:w="1274"/>
      </w:tblGrid>
      <w:tr>
        <w:tblPrEx>
          <w:tblCellMar>
            <w:top w:w="15" w:type="dxa"/>
            <w:left w:w="15" w:type="dxa"/>
            <w:bottom w:w="15" w:type="dxa"/>
            <w:right w:w="15" w:type="dxa"/>
          </w:tblCellMar>
        </w:tblPrEx>
        <w:trPr>
          <w:tblHeader/>
        </w:trPr>
        <w:tc>
          <w:tcPr>
            <w:tcW w:w="781"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b/>
                <w:bCs/>
              </w:rPr>
            </w:pPr>
            <w:r>
              <w:rPr>
                <w:rFonts w:ascii="宋体" w:hAnsi="宋体" w:cs="宋体"/>
                <w:b/>
                <w:bCs/>
                <w:kern w:val="0"/>
                <w:sz w:val="24"/>
                <w:szCs w:val="24"/>
                <w:lang w:bidi="ar"/>
              </w:rPr>
              <w:t>货物名称</w:t>
            </w:r>
            <w:r>
              <w:rPr>
                <w:rFonts w:hint="eastAsia" w:ascii="宋体" w:hAnsi="宋体" w:cs="宋体"/>
                <w:b/>
                <w:bCs/>
                <w:kern w:val="0"/>
                <w:sz w:val="24"/>
                <w:szCs w:val="24"/>
                <w:lang w:bidi="ar"/>
              </w:rPr>
              <w:t>及规格</w:t>
            </w:r>
          </w:p>
        </w:tc>
        <w:tc>
          <w:tcPr>
            <w:tcW w:w="631"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b/>
                <w:bCs/>
              </w:rPr>
            </w:pPr>
            <w:r>
              <w:rPr>
                <w:rFonts w:ascii="宋体" w:hAnsi="宋体" w:cs="宋体"/>
                <w:b/>
                <w:bCs/>
                <w:kern w:val="0"/>
                <w:sz w:val="24"/>
                <w:szCs w:val="24"/>
                <w:lang w:bidi="ar"/>
              </w:rPr>
              <w:t>项目</w:t>
            </w:r>
          </w:p>
        </w:tc>
        <w:tc>
          <w:tcPr>
            <w:tcW w:w="2797"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b/>
                <w:bCs/>
              </w:rPr>
            </w:pPr>
            <w:r>
              <w:rPr>
                <w:rFonts w:ascii="宋体" w:hAnsi="宋体" w:cs="宋体"/>
                <w:b/>
                <w:bCs/>
                <w:kern w:val="0"/>
                <w:sz w:val="24"/>
                <w:szCs w:val="24"/>
                <w:lang w:bidi="ar"/>
              </w:rPr>
              <w:t>技术参数及质量要求</w:t>
            </w:r>
          </w:p>
        </w:tc>
        <w:tc>
          <w:tcPr>
            <w:tcW w:w="78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rFonts w:ascii="宋体" w:hAnsi="宋体" w:cs="宋体"/>
                <w:b/>
                <w:bCs/>
                <w:kern w:val="0"/>
                <w:sz w:val="24"/>
                <w:szCs w:val="24"/>
                <w:lang w:bidi="ar"/>
              </w:rPr>
            </w:pPr>
            <w:r>
              <w:rPr>
                <w:rFonts w:hint="eastAsia" w:ascii="宋体" w:hAnsi="宋体" w:cs="宋体"/>
                <w:b/>
                <w:bCs/>
                <w:kern w:val="0"/>
                <w:sz w:val="24"/>
                <w:szCs w:val="24"/>
                <w:lang w:bidi="ar"/>
              </w:rPr>
              <w:t>备注</w:t>
            </w:r>
          </w:p>
        </w:tc>
      </w:tr>
      <w:tr>
        <w:tblPrEx>
          <w:tblCellMar>
            <w:top w:w="15" w:type="dxa"/>
            <w:left w:w="15" w:type="dxa"/>
            <w:bottom w:w="15" w:type="dxa"/>
            <w:right w:w="15" w:type="dxa"/>
          </w:tblCellMar>
        </w:tblPrEx>
        <w:tc>
          <w:tcPr>
            <w:tcW w:w="781" w:type="pct"/>
            <w:vMerge w:val="restart"/>
            <w:tcBorders>
              <w:top w:val="single" w:color="CCCCCC" w:sz="6" w:space="0"/>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szCs w:val="21"/>
                <w:lang w:bidi="ar"/>
              </w:rPr>
            </w:pPr>
            <w:r>
              <w:rPr>
                <w:rFonts w:hint="eastAsia"/>
                <w:szCs w:val="21"/>
                <w:lang w:bidi="ar"/>
              </w:rPr>
              <w:t>纸箱600*400*500mm</w:t>
            </w:r>
          </w:p>
        </w:tc>
        <w:tc>
          <w:tcPr>
            <w:tcW w:w="631"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szCs w:val="21"/>
                <w:lang w:bidi="ar"/>
              </w:rPr>
            </w:pPr>
            <w:r>
              <w:rPr>
                <w:rFonts w:hint="eastAsia"/>
                <w:szCs w:val="21"/>
                <w:lang w:bidi="ar"/>
              </w:rPr>
              <w:t>尺寸</w:t>
            </w:r>
          </w:p>
        </w:tc>
        <w:tc>
          <w:tcPr>
            <w:tcW w:w="2797"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pPr>
            <w:r>
              <w:rPr>
                <w:rFonts w:hint="eastAsia"/>
                <w:szCs w:val="21"/>
                <w:lang w:bidi="ar"/>
              </w:rPr>
              <w:t>600mm*400mm*500mm（大号 5 层 AB 楞）</w:t>
            </w:r>
          </w:p>
        </w:tc>
        <w:tc>
          <w:tcPr>
            <w:tcW w:w="789" w:type="pct"/>
            <w:vMerge w:val="restart"/>
            <w:tcBorders>
              <w:top w:val="single" w:color="CCCCCC" w:sz="6" w:space="0"/>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质保期 12 个月</w:t>
            </w:r>
          </w:p>
          <w:p>
            <w:pPr>
              <w:widowControl/>
              <w:jc w:val="left"/>
              <w:rPr>
                <w:szCs w:val="21"/>
                <w:lang w:bidi="ar"/>
              </w:rPr>
            </w:pPr>
            <w:r>
              <w:rPr>
                <w:rFonts w:hint="eastAsia"/>
                <w:szCs w:val="21"/>
                <w:lang w:bidi="ar"/>
              </w:rPr>
              <w:t>人工搬运至 3 楼（无电梯）</w:t>
            </w:r>
          </w:p>
        </w:tc>
      </w:tr>
      <w:tr>
        <w:tblPrEx>
          <w:tblCellMar>
            <w:top w:w="15" w:type="dxa"/>
            <w:left w:w="15" w:type="dxa"/>
            <w:bottom w:w="15" w:type="dxa"/>
            <w:right w:w="15" w:type="dxa"/>
          </w:tblCellMar>
        </w:tblPrEx>
        <w:trPr>
          <w:trHeight w:val="4495" w:hRule="atLeast"/>
        </w:trPr>
        <w:tc>
          <w:tcPr>
            <w:tcW w:w="781"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31"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szCs w:val="21"/>
                <w:lang w:bidi="ar"/>
              </w:rPr>
            </w:pPr>
            <w:r>
              <w:rPr>
                <w:rFonts w:hint="eastAsia"/>
                <w:szCs w:val="21"/>
                <w:lang w:bidi="ar"/>
              </w:rPr>
              <w:t>标准</w:t>
            </w:r>
          </w:p>
        </w:tc>
        <w:tc>
          <w:tcPr>
            <w:tcW w:w="2797"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spacing w:line="340" w:lineRule="exact"/>
              <w:ind w:firstLine="420" w:firstLineChars="200"/>
              <w:jc w:val="both"/>
              <w:rPr>
                <w:rFonts w:hint="eastAsia"/>
                <w:szCs w:val="21"/>
                <w:lang w:bidi="ar"/>
              </w:rPr>
            </w:pPr>
            <w:r>
              <w:rPr>
                <w:rFonts w:hint="eastAsia"/>
                <w:szCs w:val="21"/>
                <w:lang w:bidi="ar"/>
              </w:rPr>
              <w:t>符合GB/T 6543-2025</w:t>
            </w:r>
            <w:r>
              <w:rPr>
                <w:rFonts w:ascii="宋体" w:hAnsi="宋体" w:eastAsia="宋体" w:cs="宋体"/>
                <w:sz w:val="24"/>
                <w:szCs w:val="24"/>
              </w:rPr>
              <w:t>《运输包装用单瓦楞纸箱和双瓦楞纸箱》</w:t>
            </w:r>
            <w:r>
              <w:rPr>
                <w:rFonts w:hint="eastAsia"/>
                <w:szCs w:val="21"/>
                <w:lang w:bidi="ar"/>
              </w:rPr>
              <w:t>；</w:t>
            </w:r>
          </w:p>
          <w:p>
            <w:pPr>
              <w:widowControl/>
              <w:spacing w:line="340" w:lineRule="exact"/>
              <w:ind w:firstLine="480" w:firstLineChars="200"/>
              <w:jc w:val="both"/>
              <w:rPr>
                <w:rFonts w:hint="eastAsia"/>
                <w:szCs w:val="21"/>
                <w:lang w:bidi="ar"/>
              </w:rPr>
            </w:pPr>
            <w:r>
              <w:rPr>
                <w:rFonts w:ascii="宋体" w:hAnsi="宋体" w:eastAsia="宋体" w:cs="宋体"/>
                <w:sz w:val="24"/>
                <w:szCs w:val="24"/>
              </w:rPr>
              <w:t>双瓦楞结构</w:t>
            </w:r>
            <w:r>
              <w:rPr>
                <w:rFonts w:hint="eastAsia" w:ascii="宋体" w:hAnsi="宋体" w:cs="宋体"/>
                <w:color w:val="auto"/>
                <w:sz w:val="24"/>
                <w:szCs w:val="24"/>
                <w:lang w:eastAsia="zh-CN"/>
              </w:rPr>
              <w:t>：</w:t>
            </w:r>
            <w:r>
              <w:rPr>
                <w:rFonts w:ascii="宋体" w:hAnsi="宋体" w:eastAsia="宋体" w:cs="宋体"/>
                <w:color w:val="auto"/>
                <w:sz w:val="24"/>
                <w:szCs w:val="24"/>
              </w:rPr>
              <w:t>面纸 250g，</w:t>
            </w:r>
            <w:r>
              <w:rPr>
                <w:rFonts w:ascii="宋体" w:hAnsi="宋体" w:eastAsia="宋体" w:cs="宋体"/>
                <w:sz w:val="24"/>
                <w:szCs w:val="24"/>
              </w:rPr>
              <w:t>A 楞 140g，芯纸 120g，B 楞 140g，面纸 250g</w:t>
            </w:r>
            <w:r>
              <w:rPr>
                <w:rFonts w:hint="eastAsia"/>
                <w:szCs w:val="21"/>
                <w:lang w:bidi="ar"/>
              </w:rPr>
              <w:t>；</w:t>
            </w:r>
          </w:p>
          <w:p>
            <w:pPr>
              <w:widowControl/>
              <w:spacing w:line="340" w:lineRule="exact"/>
              <w:ind w:firstLine="420" w:firstLineChars="200"/>
              <w:jc w:val="both"/>
              <w:rPr>
                <w:rFonts w:hint="eastAsia"/>
                <w:szCs w:val="21"/>
                <w:lang w:bidi="ar"/>
              </w:rPr>
            </w:pPr>
            <w:r>
              <w:rPr>
                <w:rFonts w:hint="eastAsia"/>
                <w:szCs w:val="21"/>
                <w:lang w:bidi="ar"/>
              </w:rPr>
              <w:t>涂层均匀无起泡、露底、粘结</w:t>
            </w:r>
            <w:r>
              <w:rPr>
                <w:rFonts w:hint="eastAsia"/>
                <w:szCs w:val="21"/>
                <w:lang w:eastAsia="zh-CN" w:bidi="ar"/>
              </w:rPr>
              <w:t>，</w:t>
            </w:r>
            <w:r>
              <w:rPr>
                <w:rFonts w:ascii="宋体" w:hAnsi="宋体" w:eastAsia="宋体" w:cs="宋体"/>
                <w:sz w:val="24"/>
                <w:szCs w:val="24"/>
              </w:rPr>
              <w:t>无明显色差、无破损、划痕、压痕</w:t>
            </w:r>
            <w:r>
              <w:rPr>
                <w:rFonts w:hint="eastAsia"/>
                <w:szCs w:val="21"/>
                <w:lang w:bidi="ar"/>
              </w:rPr>
              <w:t>；</w:t>
            </w:r>
          </w:p>
          <w:p>
            <w:pPr>
              <w:widowControl/>
              <w:spacing w:line="340" w:lineRule="exact"/>
              <w:ind w:firstLine="420" w:firstLineChars="200"/>
              <w:jc w:val="both"/>
              <w:rPr>
                <w:rFonts w:hint="eastAsia"/>
                <w:szCs w:val="21"/>
                <w:lang w:bidi="ar"/>
              </w:rPr>
            </w:pPr>
            <w:r>
              <w:rPr>
                <w:rFonts w:hint="eastAsia"/>
                <w:szCs w:val="21"/>
                <w:lang w:val="en-US" w:eastAsia="zh-CN" w:bidi="ar"/>
              </w:rPr>
              <w:t>粘接：</w:t>
            </w:r>
            <w:r>
              <w:rPr>
                <w:rFonts w:ascii="宋体" w:hAnsi="宋体" w:eastAsia="宋体" w:cs="宋体"/>
                <w:sz w:val="24"/>
                <w:szCs w:val="24"/>
              </w:rPr>
              <w:t>搭接宽度 ≥30mm，无开胶，粘合强度符合 GB/T 6548；内控脱胶面积 ≤20cm²/㎡</w:t>
            </w:r>
            <w:r>
              <w:rPr>
                <w:rFonts w:hint="eastAsia"/>
                <w:szCs w:val="21"/>
                <w:lang w:bidi="ar"/>
              </w:rPr>
              <w:t>；</w:t>
            </w:r>
          </w:p>
          <w:p>
            <w:pPr>
              <w:widowControl/>
              <w:spacing w:line="340" w:lineRule="exact"/>
              <w:ind w:firstLine="480" w:firstLineChars="200"/>
              <w:jc w:val="both"/>
              <w:rPr>
                <w:szCs w:val="21"/>
                <w:lang w:bidi="ar"/>
              </w:rPr>
            </w:pPr>
            <w:r>
              <w:rPr>
                <w:rFonts w:ascii="宋体" w:hAnsi="宋体" w:eastAsia="宋体" w:cs="宋体"/>
                <w:sz w:val="24"/>
                <w:szCs w:val="24"/>
              </w:rPr>
              <w:t>内装物最大质量 ≤40kg；空箱抗压强度符合 GB/T 6543-2025 计算值要求</w:t>
            </w:r>
            <w:r>
              <w:rPr>
                <w:rFonts w:hint="eastAsia"/>
                <w:szCs w:val="21"/>
                <w:lang w:bidi="ar"/>
              </w:rPr>
              <w:t>（供应商提供承诺书）</w:t>
            </w:r>
          </w:p>
        </w:tc>
        <w:tc>
          <w:tcPr>
            <w:tcW w:w="78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c>
          <w:tcPr>
            <w:tcW w:w="781"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31"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szCs w:val="21"/>
                <w:lang w:bidi="ar"/>
              </w:rPr>
            </w:pPr>
            <w:r>
              <w:rPr>
                <w:rFonts w:hint="eastAsia"/>
                <w:szCs w:val="21"/>
                <w:lang w:bidi="ar"/>
              </w:rPr>
              <w:t>外观</w:t>
            </w:r>
          </w:p>
        </w:tc>
        <w:tc>
          <w:tcPr>
            <w:tcW w:w="2797"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spacing w:line="340" w:lineRule="exact"/>
              <w:ind w:firstLine="420" w:firstLineChars="200"/>
              <w:jc w:val="left"/>
              <w:rPr>
                <w:szCs w:val="21"/>
                <w:lang w:bidi="ar"/>
              </w:rPr>
            </w:pPr>
            <w:r>
              <w:rPr>
                <w:rFonts w:hint="eastAsia"/>
                <w:szCs w:val="21"/>
                <w:lang w:bidi="ar"/>
              </w:rPr>
              <w:t>刀口光洁无毛刺，表面平整，无缺料、薄边、污迹、褶皱；污点＜1mm²；粘合牢固、无异味</w:t>
            </w:r>
          </w:p>
        </w:tc>
        <w:tc>
          <w:tcPr>
            <w:tcW w:w="78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rPr>
          <w:trHeight w:val="1125" w:hRule="atLeast"/>
        </w:trPr>
        <w:tc>
          <w:tcPr>
            <w:tcW w:w="781"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31"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szCs w:val="21"/>
                <w:lang w:bidi="ar"/>
              </w:rPr>
            </w:pPr>
            <w:r>
              <w:rPr>
                <w:rFonts w:hint="eastAsia"/>
                <w:szCs w:val="21"/>
                <w:lang w:bidi="ar"/>
              </w:rPr>
              <w:t>钉合</w:t>
            </w:r>
          </w:p>
        </w:tc>
        <w:tc>
          <w:tcPr>
            <w:tcW w:w="2797"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spacing w:line="340" w:lineRule="exact"/>
              <w:ind w:firstLine="420" w:firstLineChars="200"/>
              <w:jc w:val="left"/>
              <w:rPr>
                <w:szCs w:val="21"/>
                <w:lang w:bidi="ar"/>
              </w:rPr>
            </w:pPr>
            <w:r>
              <w:rPr>
                <w:rFonts w:hint="eastAsia"/>
                <w:szCs w:val="21"/>
                <w:lang w:bidi="ar"/>
              </w:rPr>
              <w:t>无叠钉、缺钉、翘钉、曲钉、转角；钉丝无锈斑、龟裂；单排钉距 55mm，误差＜5mm</w:t>
            </w:r>
          </w:p>
        </w:tc>
        <w:tc>
          <w:tcPr>
            <w:tcW w:w="78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rPr>
          <w:trHeight w:val="732" w:hRule="atLeast"/>
        </w:trPr>
        <w:tc>
          <w:tcPr>
            <w:tcW w:w="781"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31"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szCs w:val="21"/>
                <w:lang w:bidi="ar"/>
              </w:rPr>
            </w:pPr>
            <w:r>
              <w:rPr>
                <w:rFonts w:hint="eastAsia"/>
                <w:szCs w:val="21"/>
                <w:lang w:bidi="ar"/>
              </w:rPr>
              <w:t>配件</w:t>
            </w:r>
          </w:p>
        </w:tc>
        <w:tc>
          <w:tcPr>
            <w:tcW w:w="2797"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ind w:firstLine="420" w:firstLineChars="200"/>
              <w:jc w:val="left"/>
              <w:rPr>
                <w:szCs w:val="21"/>
                <w:lang w:bidi="ar"/>
              </w:rPr>
            </w:pPr>
            <w:r>
              <w:rPr>
                <w:rFonts w:hint="eastAsia"/>
                <w:szCs w:val="21"/>
                <w:lang w:bidi="ar"/>
              </w:rPr>
              <w:t>两侧配全新塑料扣手</w:t>
            </w:r>
          </w:p>
        </w:tc>
        <w:tc>
          <w:tcPr>
            <w:tcW w:w="78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c>
          <w:tcPr>
            <w:tcW w:w="781"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31"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szCs w:val="21"/>
                <w:lang w:bidi="ar"/>
              </w:rPr>
            </w:pPr>
            <w:r>
              <w:rPr>
                <w:rFonts w:hint="eastAsia"/>
                <w:szCs w:val="21"/>
                <w:lang w:bidi="ar"/>
              </w:rPr>
              <w:t>检测</w:t>
            </w:r>
          </w:p>
        </w:tc>
        <w:tc>
          <w:tcPr>
            <w:tcW w:w="2797"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 xml:space="preserve">采购人有权将供货后的纸箱送至正规检测机构进行抽检（费用由供货商承担），检测标准符合：戳穿 GB/T 2679.7-2005、耐破 GB/T 1539-2026、含水率 GB/T 462-2023、厚度 GB/T 6547-1998、边压 GB/T 6546-2021、摇盖耐折 GB/T 6543-2025、平压 GB/T 22874-2008； </w:t>
            </w:r>
          </w:p>
        </w:tc>
        <w:tc>
          <w:tcPr>
            <w:tcW w:w="78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c>
          <w:tcPr>
            <w:tcW w:w="781"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31"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szCs w:val="21"/>
                <w:lang w:bidi="ar"/>
              </w:rPr>
            </w:pPr>
            <w:r>
              <w:rPr>
                <w:rFonts w:hint="eastAsia"/>
                <w:szCs w:val="21"/>
                <w:lang w:bidi="ar"/>
              </w:rPr>
              <w:t>生产配送周期</w:t>
            </w:r>
          </w:p>
        </w:tc>
        <w:tc>
          <w:tcPr>
            <w:tcW w:w="2797"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按采购人要求分批送货，预计分6次；总送货周期 90 日历天</w:t>
            </w:r>
          </w:p>
        </w:tc>
        <w:tc>
          <w:tcPr>
            <w:tcW w:w="78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c>
          <w:tcPr>
            <w:tcW w:w="781"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31"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szCs w:val="21"/>
                <w:lang w:bidi="ar"/>
              </w:rPr>
            </w:pPr>
            <w:r>
              <w:rPr>
                <w:rFonts w:hint="eastAsia"/>
                <w:szCs w:val="21"/>
                <w:lang w:bidi="ar"/>
              </w:rPr>
              <w:t>送货地点</w:t>
            </w:r>
          </w:p>
        </w:tc>
        <w:tc>
          <w:tcPr>
            <w:tcW w:w="2797"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清华大学学生社区管理服务中心各公寓楼，送至指定楼宇、楼层，人工搬运至</w:t>
            </w:r>
            <w:r>
              <w:rPr>
                <w:rFonts w:hint="eastAsia"/>
                <w:szCs w:val="21"/>
                <w:lang w:val="en-US" w:eastAsia="zh-CN" w:bidi="ar"/>
              </w:rPr>
              <w:t>3</w:t>
            </w:r>
            <w:r>
              <w:rPr>
                <w:rFonts w:hint="eastAsia"/>
                <w:szCs w:val="21"/>
                <w:lang w:bidi="ar"/>
              </w:rPr>
              <w:t xml:space="preserve"> 层（无电梯）</w:t>
            </w:r>
          </w:p>
        </w:tc>
        <w:tc>
          <w:tcPr>
            <w:tcW w:w="78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rPr>
          <w:trHeight w:val="90" w:hRule="atLeast"/>
        </w:trPr>
        <w:tc>
          <w:tcPr>
            <w:tcW w:w="781"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31"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szCs w:val="21"/>
                <w:lang w:bidi="ar"/>
              </w:rPr>
            </w:pPr>
            <w:r>
              <w:rPr>
                <w:rFonts w:hint="eastAsia"/>
                <w:szCs w:val="21"/>
                <w:lang w:bidi="ar"/>
              </w:rPr>
              <w:t>采购数量</w:t>
            </w:r>
          </w:p>
        </w:tc>
        <w:tc>
          <w:tcPr>
            <w:tcW w:w="2797"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约 2</w:t>
            </w:r>
            <w:r>
              <w:rPr>
                <w:rFonts w:hint="eastAsia"/>
                <w:szCs w:val="21"/>
                <w:lang w:val="en-US" w:eastAsia="zh-CN" w:bidi="ar"/>
              </w:rPr>
              <w:t>48</w:t>
            </w:r>
            <w:r>
              <w:rPr>
                <w:rFonts w:hint="eastAsia"/>
                <w:szCs w:val="21"/>
                <w:lang w:bidi="ar"/>
              </w:rPr>
              <w:t>00个，</w:t>
            </w:r>
            <w:bookmarkStart w:id="18" w:name="OLE_LINK2"/>
            <w:r>
              <w:rPr>
                <w:rFonts w:hint="eastAsia"/>
                <w:szCs w:val="21"/>
                <w:lang w:bidi="ar"/>
              </w:rPr>
              <w:t>最终</w:t>
            </w:r>
            <w:r>
              <w:rPr>
                <w:rFonts w:hint="eastAsia"/>
                <w:szCs w:val="21"/>
                <w:lang w:val="en-US" w:eastAsia="zh-CN" w:bidi="ar"/>
              </w:rPr>
              <w:t>数量</w:t>
            </w:r>
            <w:r>
              <w:rPr>
                <w:rFonts w:hint="eastAsia"/>
                <w:szCs w:val="21"/>
                <w:lang w:bidi="ar"/>
              </w:rPr>
              <w:t>以甲方实际需求为准，据实结算</w:t>
            </w:r>
            <w:bookmarkEnd w:id="18"/>
          </w:p>
        </w:tc>
        <w:tc>
          <w:tcPr>
            <w:tcW w:w="78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bl>
    <w:p>
      <w:pPr>
        <w:widowControl/>
        <w:jc w:val="left"/>
        <w:rPr>
          <w:rFonts w:ascii="宋体" w:hAnsi="宋体" w:cs="宋体"/>
          <w:b/>
          <w:bCs/>
          <w:kern w:val="0"/>
          <w:sz w:val="24"/>
          <w:szCs w:val="24"/>
          <w:lang w:bidi="ar"/>
        </w:rPr>
      </w:pPr>
    </w:p>
    <w:p>
      <w:pPr>
        <w:widowControl/>
        <w:jc w:val="left"/>
        <w:rPr>
          <w:rFonts w:hint="eastAsia" w:ascii="宋体" w:hAnsi="宋体" w:eastAsia="宋体" w:cs="宋体"/>
          <w:b/>
          <w:bCs/>
          <w:kern w:val="0"/>
          <w:sz w:val="24"/>
          <w:szCs w:val="24"/>
          <w:lang w:val="en-US" w:eastAsia="zh-CN" w:bidi="ar"/>
        </w:rPr>
      </w:pPr>
      <w:r>
        <w:rPr>
          <w:rFonts w:hint="eastAsia" w:ascii="宋体" w:hAnsi="宋体" w:cs="宋体"/>
          <w:b/>
          <w:bCs/>
          <w:kern w:val="0"/>
          <w:sz w:val="24"/>
          <w:szCs w:val="24"/>
          <w:lang w:val="en-US" w:eastAsia="zh-CN" w:bidi="ar"/>
        </w:rPr>
        <w:t>3</w:t>
      </w:r>
    </w:p>
    <w:tbl>
      <w:tblPr>
        <w:tblStyle w:val="9"/>
        <w:tblW w:w="4727" w:type="pct"/>
        <w:tblInd w:w="199" w:type="dxa"/>
        <w:tblLayout w:type="autofit"/>
        <w:tblCellMar>
          <w:top w:w="15" w:type="dxa"/>
          <w:left w:w="15" w:type="dxa"/>
          <w:bottom w:w="15" w:type="dxa"/>
          <w:right w:w="15" w:type="dxa"/>
        </w:tblCellMar>
      </w:tblPr>
      <w:tblGrid>
        <w:gridCol w:w="1337"/>
        <w:gridCol w:w="999"/>
        <w:gridCol w:w="4503"/>
        <w:gridCol w:w="1321"/>
      </w:tblGrid>
      <w:tr>
        <w:tblPrEx>
          <w:tblCellMar>
            <w:top w:w="15" w:type="dxa"/>
            <w:left w:w="15" w:type="dxa"/>
            <w:bottom w:w="15" w:type="dxa"/>
            <w:right w:w="15" w:type="dxa"/>
          </w:tblCellMar>
        </w:tblPrEx>
        <w:trPr>
          <w:tblHeader/>
        </w:trPr>
        <w:tc>
          <w:tcPr>
            <w:tcW w:w="81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b/>
                <w:bCs/>
              </w:rPr>
            </w:pPr>
            <w:r>
              <w:rPr>
                <w:rFonts w:ascii="宋体" w:hAnsi="宋体" w:cs="宋体"/>
                <w:b/>
                <w:bCs/>
                <w:kern w:val="0"/>
                <w:sz w:val="24"/>
                <w:szCs w:val="24"/>
                <w:lang w:bidi="ar"/>
              </w:rPr>
              <w:t>货物名称</w:t>
            </w:r>
            <w:r>
              <w:rPr>
                <w:rFonts w:hint="eastAsia" w:ascii="宋体" w:hAnsi="宋体" w:cs="宋体"/>
                <w:b/>
                <w:bCs/>
                <w:kern w:val="0"/>
                <w:sz w:val="24"/>
                <w:szCs w:val="24"/>
                <w:lang w:bidi="ar"/>
              </w:rPr>
              <w:t>及规格</w:t>
            </w:r>
          </w:p>
        </w:tc>
        <w:tc>
          <w:tcPr>
            <w:tcW w:w="61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b/>
                <w:bCs/>
              </w:rPr>
            </w:pPr>
            <w:r>
              <w:rPr>
                <w:rFonts w:ascii="宋体" w:hAnsi="宋体" w:cs="宋体"/>
                <w:b/>
                <w:bCs/>
                <w:kern w:val="0"/>
                <w:sz w:val="24"/>
                <w:szCs w:val="24"/>
                <w:lang w:bidi="ar"/>
              </w:rPr>
              <w:t>项目</w:t>
            </w:r>
          </w:p>
        </w:tc>
        <w:tc>
          <w:tcPr>
            <w:tcW w:w="275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b/>
                <w:bCs/>
              </w:rPr>
            </w:pPr>
            <w:r>
              <w:rPr>
                <w:rFonts w:ascii="宋体" w:hAnsi="宋体" w:cs="宋体"/>
                <w:b/>
                <w:bCs/>
                <w:kern w:val="0"/>
                <w:sz w:val="24"/>
                <w:szCs w:val="24"/>
                <w:lang w:bidi="ar"/>
              </w:rPr>
              <w:t>技术参数及质量要求</w:t>
            </w:r>
          </w:p>
        </w:tc>
        <w:tc>
          <w:tcPr>
            <w:tcW w:w="809"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center"/>
              <w:rPr>
                <w:rFonts w:ascii="宋体" w:hAnsi="宋体" w:cs="宋体"/>
                <w:b/>
                <w:bCs/>
                <w:kern w:val="0"/>
                <w:sz w:val="24"/>
                <w:szCs w:val="24"/>
                <w:lang w:bidi="ar"/>
              </w:rPr>
            </w:pPr>
            <w:r>
              <w:rPr>
                <w:rFonts w:hint="eastAsia" w:ascii="宋体" w:hAnsi="宋体" w:cs="宋体"/>
                <w:b/>
                <w:bCs/>
                <w:kern w:val="0"/>
                <w:sz w:val="24"/>
                <w:szCs w:val="24"/>
                <w:lang w:bidi="ar"/>
              </w:rPr>
              <w:t>备注</w:t>
            </w:r>
          </w:p>
        </w:tc>
      </w:tr>
      <w:tr>
        <w:tblPrEx>
          <w:tblCellMar>
            <w:top w:w="15" w:type="dxa"/>
            <w:left w:w="15" w:type="dxa"/>
            <w:bottom w:w="15" w:type="dxa"/>
            <w:right w:w="15" w:type="dxa"/>
          </w:tblCellMar>
        </w:tblPrEx>
        <w:trPr>
          <w:trHeight w:val="1056" w:hRule="atLeast"/>
        </w:trPr>
        <w:tc>
          <w:tcPr>
            <w:tcW w:w="819" w:type="pct"/>
            <w:vMerge w:val="restart"/>
            <w:tcBorders>
              <w:top w:val="single" w:color="CCCCCC" w:sz="6" w:space="0"/>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bookmarkStart w:id="19" w:name="OLE_LINK1"/>
            <w:r>
              <w:rPr>
                <w:rFonts w:hint="eastAsia"/>
                <w:szCs w:val="21"/>
                <w:lang w:bidi="ar"/>
              </w:rPr>
              <w:t>编织袋80*30*60cm</w:t>
            </w:r>
          </w:p>
        </w:tc>
        <w:tc>
          <w:tcPr>
            <w:tcW w:w="61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生产标准与认证</w:t>
            </w:r>
          </w:p>
        </w:tc>
        <w:tc>
          <w:tcPr>
            <w:tcW w:w="275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pPr>
            <w:r>
              <w:rPr>
                <w:rFonts w:hint="eastAsia"/>
                <w:szCs w:val="21"/>
                <w:lang w:bidi="ar"/>
              </w:rPr>
              <w:t>严格按照国家环保标准执行生产，产品通过 ISO9001 质量管理体系认证</w:t>
            </w:r>
          </w:p>
        </w:tc>
        <w:tc>
          <w:tcPr>
            <w:tcW w:w="809" w:type="pct"/>
            <w:vMerge w:val="restart"/>
            <w:tcBorders>
              <w:top w:val="single" w:color="CCCCCC" w:sz="6" w:space="0"/>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质保期 12 个月</w:t>
            </w:r>
          </w:p>
          <w:p>
            <w:pPr>
              <w:widowControl/>
              <w:jc w:val="left"/>
              <w:rPr>
                <w:szCs w:val="21"/>
                <w:lang w:bidi="ar"/>
              </w:rPr>
            </w:pPr>
            <w:r>
              <w:rPr>
                <w:rFonts w:hint="eastAsia"/>
                <w:szCs w:val="21"/>
                <w:lang w:bidi="ar"/>
              </w:rPr>
              <w:t>人工搬运至 3 楼（无电梯）</w:t>
            </w:r>
          </w:p>
        </w:tc>
      </w:tr>
      <w:bookmarkEnd w:id="19"/>
      <w:tr>
        <w:tblPrEx>
          <w:tblCellMar>
            <w:top w:w="15" w:type="dxa"/>
            <w:left w:w="15" w:type="dxa"/>
            <w:bottom w:w="15" w:type="dxa"/>
            <w:right w:w="15" w:type="dxa"/>
          </w:tblCellMar>
        </w:tblPrEx>
        <w:trPr>
          <w:trHeight w:val="1026" w:hRule="atLeast"/>
        </w:trPr>
        <w:tc>
          <w:tcPr>
            <w:tcW w:w="81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1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执行标准及断丝要求</w:t>
            </w:r>
          </w:p>
        </w:tc>
        <w:tc>
          <w:tcPr>
            <w:tcW w:w="275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符合GB/T 8946-2013《塑料编织袋通用技术要求》（现行最新标准）；同处经、纬之和断丝小于 3 根</w:t>
            </w:r>
          </w:p>
        </w:tc>
        <w:tc>
          <w:tcPr>
            <w:tcW w:w="80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c>
          <w:tcPr>
            <w:tcW w:w="81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1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缝合与切边工艺</w:t>
            </w:r>
          </w:p>
        </w:tc>
        <w:tc>
          <w:tcPr>
            <w:tcW w:w="275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缝合不允许脱针、断线、未缝住卷折现象；切边不允许散边；边缘包角二次加固；双针车工走线，均匀平整</w:t>
            </w:r>
          </w:p>
        </w:tc>
        <w:tc>
          <w:tcPr>
            <w:tcW w:w="80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rPr>
          <w:trHeight w:val="729" w:hRule="atLeast"/>
        </w:trPr>
        <w:tc>
          <w:tcPr>
            <w:tcW w:w="81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1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提带</w:t>
            </w:r>
          </w:p>
        </w:tc>
        <w:tc>
          <w:tcPr>
            <w:tcW w:w="275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加宽加固十字横提手带，≥3.5cm 平纹加密织带</w:t>
            </w:r>
          </w:p>
        </w:tc>
        <w:tc>
          <w:tcPr>
            <w:tcW w:w="80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c>
          <w:tcPr>
            <w:tcW w:w="81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1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拉链</w:t>
            </w:r>
          </w:p>
        </w:tc>
        <w:tc>
          <w:tcPr>
            <w:tcW w:w="275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8 号双合金尼龙双向拉链，配 2 个拉头；开合顺畅、齿间严丝合缝</w:t>
            </w:r>
          </w:p>
        </w:tc>
        <w:tc>
          <w:tcPr>
            <w:tcW w:w="80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c>
          <w:tcPr>
            <w:tcW w:w="81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1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承重</w:t>
            </w:r>
          </w:p>
        </w:tc>
        <w:tc>
          <w:tcPr>
            <w:tcW w:w="275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bookmarkStart w:id="20" w:name="OLE_LINK5"/>
            <w:r>
              <w:rPr>
                <w:rFonts w:hint="eastAsia"/>
                <w:szCs w:val="21"/>
                <w:lang w:bidi="ar"/>
              </w:rPr>
              <w:t>≥50KG</w:t>
            </w:r>
            <w:bookmarkEnd w:id="20"/>
          </w:p>
        </w:tc>
        <w:tc>
          <w:tcPr>
            <w:tcW w:w="80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c>
          <w:tcPr>
            <w:tcW w:w="81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1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规格与容量</w:t>
            </w:r>
          </w:p>
        </w:tc>
        <w:tc>
          <w:tcPr>
            <w:tcW w:w="275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尺寸≥80</w:t>
            </w:r>
            <w:r>
              <w:rPr>
                <w:rFonts w:hint="eastAsia"/>
                <w:szCs w:val="21"/>
                <w:lang w:val="en-US" w:eastAsia="zh-CN" w:bidi="ar"/>
              </w:rPr>
              <w:t>*</w:t>
            </w:r>
            <w:r>
              <w:rPr>
                <w:rFonts w:hint="eastAsia"/>
                <w:szCs w:val="21"/>
                <w:lang w:bidi="ar"/>
              </w:rPr>
              <w:t>30</w:t>
            </w:r>
            <w:r>
              <w:rPr>
                <w:rFonts w:hint="eastAsia"/>
                <w:szCs w:val="21"/>
                <w:lang w:val="en-US" w:eastAsia="zh-CN" w:bidi="ar"/>
              </w:rPr>
              <w:t>*</w:t>
            </w:r>
            <w:r>
              <w:rPr>
                <w:rFonts w:hint="eastAsia"/>
                <w:szCs w:val="21"/>
                <w:lang w:bidi="ar"/>
              </w:rPr>
              <w:t>60CM，偏差≤±1CM；容量≥110 升</w:t>
            </w:r>
          </w:p>
        </w:tc>
        <w:tc>
          <w:tcPr>
            <w:tcW w:w="80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c>
          <w:tcPr>
            <w:tcW w:w="81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1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材质</w:t>
            </w:r>
          </w:p>
        </w:tc>
        <w:tc>
          <w:tcPr>
            <w:tcW w:w="275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600D 加固加厚环保牛津布；防水防潮、不发霉、无异味、抗撕裂、耐刮、不掉色</w:t>
            </w:r>
          </w:p>
        </w:tc>
        <w:tc>
          <w:tcPr>
            <w:tcW w:w="80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c>
          <w:tcPr>
            <w:tcW w:w="81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1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生产配送周期</w:t>
            </w:r>
          </w:p>
        </w:tc>
        <w:tc>
          <w:tcPr>
            <w:tcW w:w="275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按采购人要求分批送货，预计分 6 次；总送货周期 90 日历天</w:t>
            </w:r>
          </w:p>
        </w:tc>
        <w:tc>
          <w:tcPr>
            <w:tcW w:w="80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c>
          <w:tcPr>
            <w:tcW w:w="81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1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送货地点</w:t>
            </w:r>
          </w:p>
        </w:tc>
        <w:tc>
          <w:tcPr>
            <w:tcW w:w="275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 xml:space="preserve">清华大学学生社区管理服务中心各公寓楼，送至指定楼宇、楼层，人工搬运至 </w:t>
            </w:r>
            <w:r>
              <w:rPr>
                <w:rFonts w:hint="eastAsia"/>
                <w:szCs w:val="21"/>
                <w:lang w:val="en-US" w:eastAsia="zh-CN" w:bidi="ar"/>
              </w:rPr>
              <w:t>3</w:t>
            </w:r>
            <w:r>
              <w:rPr>
                <w:rFonts w:hint="eastAsia"/>
                <w:szCs w:val="21"/>
                <w:lang w:bidi="ar"/>
              </w:rPr>
              <w:t>层（无电梯）</w:t>
            </w:r>
          </w:p>
        </w:tc>
        <w:tc>
          <w:tcPr>
            <w:tcW w:w="809" w:type="pct"/>
            <w:vMerge w:val="continue"/>
            <w:tcBorders>
              <w:left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r>
        <w:tblPrEx>
          <w:tblCellMar>
            <w:top w:w="15" w:type="dxa"/>
            <w:left w:w="15" w:type="dxa"/>
            <w:bottom w:w="15" w:type="dxa"/>
            <w:right w:w="15" w:type="dxa"/>
          </w:tblCellMar>
        </w:tblPrEx>
        <w:tc>
          <w:tcPr>
            <w:tcW w:w="819" w:type="pct"/>
            <w:vMerge w:val="continue"/>
            <w:tcBorders>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c>
          <w:tcPr>
            <w:tcW w:w="612"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采购数量</w:t>
            </w:r>
          </w:p>
        </w:tc>
        <w:tc>
          <w:tcPr>
            <w:tcW w:w="2758" w:type="pct"/>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r>
              <w:rPr>
                <w:rFonts w:hint="eastAsia"/>
                <w:szCs w:val="21"/>
                <w:lang w:bidi="ar"/>
              </w:rPr>
              <w:t>约 1</w:t>
            </w:r>
            <w:r>
              <w:rPr>
                <w:rFonts w:hint="eastAsia"/>
                <w:szCs w:val="21"/>
                <w:lang w:val="en-US" w:eastAsia="zh-CN" w:bidi="ar"/>
              </w:rPr>
              <w:t>3</w:t>
            </w:r>
            <w:r>
              <w:rPr>
                <w:rFonts w:hint="eastAsia"/>
                <w:szCs w:val="21"/>
                <w:lang w:bidi="ar"/>
              </w:rPr>
              <w:t>000个，最终</w:t>
            </w:r>
            <w:r>
              <w:rPr>
                <w:rFonts w:hint="eastAsia"/>
                <w:szCs w:val="21"/>
                <w:lang w:val="en-US" w:eastAsia="zh-CN" w:bidi="ar"/>
              </w:rPr>
              <w:t>数量</w:t>
            </w:r>
            <w:r>
              <w:rPr>
                <w:rFonts w:hint="eastAsia"/>
                <w:szCs w:val="21"/>
                <w:lang w:bidi="ar"/>
              </w:rPr>
              <w:t>以甲方实际需求为准，据实结算</w:t>
            </w:r>
          </w:p>
        </w:tc>
        <w:tc>
          <w:tcPr>
            <w:tcW w:w="809" w:type="pct"/>
            <w:vMerge w:val="continue"/>
            <w:tcBorders>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pPr>
              <w:widowControl/>
              <w:jc w:val="left"/>
              <w:rPr>
                <w:szCs w:val="21"/>
                <w:lang w:bidi="ar"/>
              </w:rPr>
            </w:pPr>
          </w:p>
        </w:tc>
      </w:tr>
    </w:tbl>
    <w:p>
      <w:pPr>
        <w:pStyle w:val="25"/>
        <w:spacing w:line="360" w:lineRule="exact"/>
        <w:rPr>
          <w:bCs/>
          <w:sz w:val="21"/>
          <w:szCs w:val="21"/>
          <w:lang w:val="en-US"/>
        </w:rPr>
      </w:pPr>
    </w:p>
    <w:sectPr>
      <w:headerReference r:id="rId3" w:type="default"/>
      <w:footerReference r:id="rId4" w:type="default"/>
      <w:pgSz w:w="11906" w:h="16838"/>
      <w:pgMar w:top="969" w:right="1757" w:bottom="967" w:left="1758" w:header="314" w:footer="324"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691442"/>
    </w:sdtPr>
    <w:sdtContent>
      <w:sdt>
        <w:sdtPr>
          <w:id w:val="1728636285"/>
        </w:sdtPr>
        <w:sdtContent>
          <w:p>
            <w:pPr>
              <w:pStyle w:val="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6</w:t>
            </w:r>
            <w:r>
              <w:rPr>
                <w:b/>
                <w:bCs/>
                <w:sz w:val="24"/>
                <w:szCs w:val="24"/>
              </w:rPr>
              <w:fldChar w:fldCharType="end"/>
            </w:r>
          </w:p>
        </w:sdtContent>
      </w:sdt>
    </w:sdtContent>
  </w:sdt>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ascii="华文仿宋" w:hAnsi="华文仿宋" w:eastAsia="华文仿宋"/>
        <w:sz w:val="28"/>
        <w:szCs w:val="28"/>
      </w:rPr>
    </w:pPr>
    <w:r>
      <w:rPr>
        <w:rFonts w:ascii="华文仿宋" w:hAnsi="华文仿宋" w:eastAsia="华文仿宋"/>
        <w:sz w:val="28"/>
        <w:szCs w:val="28"/>
      </w:rPr>
      <w:t>货物</w:t>
    </w:r>
    <w:r>
      <w:rPr>
        <w:rFonts w:hint="eastAsia" w:ascii="华文仿宋" w:hAnsi="华文仿宋" w:eastAsia="华文仿宋"/>
        <w:sz w:val="28"/>
        <w:szCs w:val="28"/>
      </w:rPr>
      <w:t>类</w:t>
    </w:r>
    <w:r>
      <w:rPr>
        <w:rFonts w:ascii="华文仿宋" w:hAnsi="华文仿宋" w:eastAsia="华文仿宋"/>
        <w:sz w:val="28"/>
        <w:szCs w:val="28"/>
      </w:rPr>
      <w:t>采购合同</w:t>
    </w:r>
  </w:p>
  <w:p>
    <w:pPr>
      <w:jc w:val="left"/>
      <w:rPr>
        <w:b/>
        <w:szCs w:val="21"/>
      </w:rPr>
    </w:pPr>
    <w:r>
      <w:rPr>
        <w:b/>
        <w:szCs w:val="21"/>
      </w:rPr>
      <mc:AlternateContent>
        <mc:Choice Requires="wps">
          <w:drawing>
            <wp:anchor distT="0" distB="0" distL="114300" distR="114300" simplePos="0" relativeHeight="251659264" behindDoc="0" locked="0" layoutInCell="1" allowOverlap="1">
              <wp:simplePos x="0" y="0"/>
              <wp:positionH relativeFrom="column">
                <wp:posOffset>-209550</wp:posOffset>
              </wp:positionH>
              <wp:positionV relativeFrom="paragraph">
                <wp:posOffset>127635</wp:posOffset>
              </wp:positionV>
              <wp:extent cx="5844540" cy="0"/>
              <wp:effectExtent l="0" t="0" r="22860" b="19050"/>
              <wp:wrapNone/>
              <wp:docPr id="2" name="直接连接符 2"/>
              <wp:cNvGraphicFramePr/>
              <a:graphic xmlns:a="http://schemas.openxmlformats.org/drawingml/2006/main">
                <a:graphicData uri="http://schemas.microsoft.com/office/word/2010/wordprocessingShape">
                  <wps:wsp>
                    <wps:cNvCnPr/>
                    <wps:spPr>
                      <a:xfrm>
                        <a:off x="0" y="0"/>
                        <a:ext cx="58445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6.5pt;margin-top:10.05pt;height:0pt;width:460.2pt;z-index:251659264;mso-width-relative:page;mso-height-relative:page;" filled="f" stroked="t" coordsize="21600,21600" o:gfxdata="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3HGJq9cAAAAJAQAADwAAAAAAAAAB&#10;ACAAAAAiAAAAZHJzL2Rvd25yZXYueG1sUEsBAhQAFAAAAAgAh07iQAm+dKPYAQAAmgMAAA4AAAAA&#10;AAAAAQAgAAAAJgEAAGRycy9lMm9Eb2MueG1sUEsFBgAAAAAGAAYAWQEAAHAFAAAAAA==&#10;">
              <v:fill on="f" focussize="0,0"/>
              <v:stroke color="#000000 [3213]" joinstyle="round"/>
              <v:imagedata o:title=""/>
              <o:lock v:ext="edit" aspectratio="f"/>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kYzkwZGEzZjU4YzZmMjhjMzMyNDIyNjkxNjVmNDYifQ=="/>
  </w:docVars>
  <w:rsids>
    <w:rsidRoot w:val="00606DA0"/>
    <w:rsid w:val="0000707D"/>
    <w:rsid w:val="00011189"/>
    <w:rsid w:val="00013EF4"/>
    <w:rsid w:val="00016AD1"/>
    <w:rsid w:val="00022E42"/>
    <w:rsid w:val="00031441"/>
    <w:rsid w:val="000327F5"/>
    <w:rsid w:val="00040506"/>
    <w:rsid w:val="000420FF"/>
    <w:rsid w:val="00042968"/>
    <w:rsid w:val="000548C5"/>
    <w:rsid w:val="00065B96"/>
    <w:rsid w:val="00071A0E"/>
    <w:rsid w:val="00071A6B"/>
    <w:rsid w:val="00072079"/>
    <w:rsid w:val="00073306"/>
    <w:rsid w:val="00073A10"/>
    <w:rsid w:val="00075413"/>
    <w:rsid w:val="000755D4"/>
    <w:rsid w:val="00083340"/>
    <w:rsid w:val="000852FD"/>
    <w:rsid w:val="0008603C"/>
    <w:rsid w:val="00095ED6"/>
    <w:rsid w:val="0009690D"/>
    <w:rsid w:val="00097AFD"/>
    <w:rsid w:val="00097CB0"/>
    <w:rsid w:val="000A21AA"/>
    <w:rsid w:val="000A7581"/>
    <w:rsid w:val="000B138F"/>
    <w:rsid w:val="000B5A69"/>
    <w:rsid w:val="000D0893"/>
    <w:rsid w:val="000D1035"/>
    <w:rsid w:val="000D4D0B"/>
    <w:rsid w:val="000D509E"/>
    <w:rsid w:val="000E4194"/>
    <w:rsid w:val="000F1B2C"/>
    <w:rsid w:val="000F3104"/>
    <w:rsid w:val="00107630"/>
    <w:rsid w:val="00111536"/>
    <w:rsid w:val="00117505"/>
    <w:rsid w:val="00117FDD"/>
    <w:rsid w:val="0012382F"/>
    <w:rsid w:val="00126664"/>
    <w:rsid w:val="001271A9"/>
    <w:rsid w:val="00127611"/>
    <w:rsid w:val="00130F2B"/>
    <w:rsid w:val="00140997"/>
    <w:rsid w:val="00144C4B"/>
    <w:rsid w:val="00146F80"/>
    <w:rsid w:val="00147CE0"/>
    <w:rsid w:val="00155800"/>
    <w:rsid w:val="0016330B"/>
    <w:rsid w:val="00165FBB"/>
    <w:rsid w:val="00165FFF"/>
    <w:rsid w:val="00166C40"/>
    <w:rsid w:val="0017258E"/>
    <w:rsid w:val="00172A27"/>
    <w:rsid w:val="001763F1"/>
    <w:rsid w:val="0018032F"/>
    <w:rsid w:val="001814E3"/>
    <w:rsid w:val="001874AD"/>
    <w:rsid w:val="0019215E"/>
    <w:rsid w:val="00196D19"/>
    <w:rsid w:val="001A12F2"/>
    <w:rsid w:val="001A6FEB"/>
    <w:rsid w:val="001B014D"/>
    <w:rsid w:val="001B2A22"/>
    <w:rsid w:val="001B373C"/>
    <w:rsid w:val="001B540D"/>
    <w:rsid w:val="001B66DA"/>
    <w:rsid w:val="001D35D8"/>
    <w:rsid w:val="001D3E59"/>
    <w:rsid w:val="001E0B99"/>
    <w:rsid w:val="001E1297"/>
    <w:rsid w:val="001E3A3E"/>
    <w:rsid w:val="001F047D"/>
    <w:rsid w:val="001F3A82"/>
    <w:rsid w:val="001F6FEF"/>
    <w:rsid w:val="001F79E6"/>
    <w:rsid w:val="00203CF2"/>
    <w:rsid w:val="0020606E"/>
    <w:rsid w:val="00207EC7"/>
    <w:rsid w:val="002103F0"/>
    <w:rsid w:val="0022270A"/>
    <w:rsid w:val="002227F0"/>
    <w:rsid w:val="00226EAC"/>
    <w:rsid w:val="002377F1"/>
    <w:rsid w:val="00237C9C"/>
    <w:rsid w:val="00242D8D"/>
    <w:rsid w:val="00245853"/>
    <w:rsid w:val="00256082"/>
    <w:rsid w:val="002609D0"/>
    <w:rsid w:val="00261A33"/>
    <w:rsid w:val="002626AC"/>
    <w:rsid w:val="00263081"/>
    <w:rsid w:val="00274C4C"/>
    <w:rsid w:val="0027681E"/>
    <w:rsid w:val="00277202"/>
    <w:rsid w:val="00283D60"/>
    <w:rsid w:val="00285D40"/>
    <w:rsid w:val="00286698"/>
    <w:rsid w:val="00293B54"/>
    <w:rsid w:val="00294BBB"/>
    <w:rsid w:val="002A0A45"/>
    <w:rsid w:val="002A1801"/>
    <w:rsid w:val="002A2554"/>
    <w:rsid w:val="002B3103"/>
    <w:rsid w:val="002B34C9"/>
    <w:rsid w:val="002B42B9"/>
    <w:rsid w:val="002C0B0A"/>
    <w:rsid w:val="002C15F7"/>
    <w:rsid w:val="002C4CA1"/>
    <w:rsid w:val="002D08E1"/>
    <w:rsid w:val="002D235C"/>
    <w:rsid w:val="002D4E35"/>
    <w:rsid w:val="002E0222"/>
    <w:rsid w:val="002E1AF9"/>
    <w:rsid w:val="002E6CD9"/>
    <w:rsid w:val="002E70ED"/>
    <w:rsid w:val="002F0ED3"/>
    <w:rsid w:val="002F112E"/>
    <w:rsid w:val="002F4596"/>
    <w:rsid w:val="002F712A"/>
    <w:rsid w:val="003027E9"/>
    <w:rsid w:val="0031637E"/>
    <w:rsid w:val="00326764"/>
    <w:rsid w:val="00341099"/>
    <w:rsid w:val="003417AA"/>
    <w:rsid w:val="00344CA8"/>
    <w:rsid w:val="00345C94"/>
    <w:rsid w:val="00352742"/>
    <w:rsid w:val="00354674"/>
    <w:rsid w:val="00354FF0"/>
    <w:rsid w:val="00362597"/>
    <w:rsid w:val="003710AB"/>
    <w:rsid w:val="00371B7B"/>
    <w:rsid w:val="0037231C"/>
    <w:rsid w:val="003819F0"/>
    <w:rsid w:val="00390300"/>
    <w:rsid w:val="0039042F"/>
    <w:rsid w:val="003A10F9"/>
    <w:rsid w:val="003A12E7"/>
    <w:rsid w:val="003B2DC9"/>
    <w:rsid w:val="003B45BB"/>
    <w:rsid w:val="003C5918"/>
    <w:rsid w:val="003D15BE"/>
    <w:rsid w:val="003D2CDC"/>
    <w:rsid w:val="003D71D8"/>
    <w:rsid w:val="003D7F70"/>
    <w:rsid w:val="003E110F"/>
    <w:rsid w:val="003E247C"/>
    <w:rsid w:val="003E34E1"/>
    <w:rsid w:val="003E4EEE"/>
    <w:rsid w:val="003E64FB"/>
    <w:rsid w:val="003E7A52"/>
    <w:rsid w:val="003F1DAF"/>
    <w:rsid w:val="003F2A09"/>
    <w:rsid w:val="003F40F9"/>
    <w:rsid w:val="00410E62"/>
    <w:rsid w:val="004129ED"/>
    <w:rsid w:val="004172B8"/>
    <w:rsid w:val="0041742A"/>
    <w:rsid w:val="004205BA"/>
    <w:rsid w:val="00423D86"/>
    <w:rsid w:val="00427F69"/>
    <w:rsid w:val="004308D7"/>
    <w:rsid w:val="00434351"/>
    <w:rsid w:val="004344CF"/>
    <w:rsid w:val="00440E1D"/>
    <w:rsid w:val="004436D3"/>
    <w:rsid w:val="00444FD7"/>
    <w:rsid w:val="00445E59"/>
    <w:rsid w:val="004571FD"/>
    <w:rsid w:val="00462ED6"/>
    <w:rsid w:val="00467EBE"/>
    <w:rsid w:val="00473E62"/>
    <w:rsid w:val="00486204"/>
    <w:rsid w:val="00490D96"/>
    <w:rsid w:val="00495EA5"/>
    <w:rsid w:val="00496A32"/>
    <w:rsid w:val="004A3C94"/>
    <w:rsid w:val="004A5B9A"/>
    <w:rsid w:val="004B3D56"/>
    <w:rsid w:val="004B509B"/>
    <w:rsid w:val="004B5C76"/>
    <w:rsid w:val="004C5391"/>
    <w:rsid w:val="004C5EE0"/>
    <w:rsid w:val="004C7D3D"/>
    <w:rsid w:val="004D1C9B"/>
    <w:rsid w:val="004E0499"/>
    <w:rsid w:val="004E7BAA"/>
    <w:rsid w:val="00502C7C"/>
    <w:rsid w:val="00512B13"/>
    <w:rsid w:val="0053312F"/>
    <w:rsid w:val="00533A43"/>
    <w:rsid w:val="00534497"/>
    <w:rsid w:val="00536788"/>
    <w:rsid w:val="00536CE9"/>
    <w:rsid w:val="005453F0"/>
    <w:rsid w:val="00551C0A"/>
    <w:rsid w:val="0055483E"/>
    <w:rsid w:val="00555F12"/>
    <w:rsid w:val="005575BB"/>
    <w:rsid w:val="00566D60"/>
    <w:rsid w:val="005679EB"/>
    <w:rsid w:val="0058452B"/>
    <w:rsid w:val="00586CBD"/>
    <w:rsid w:val="005870C4"/>
    <w:rsid w:val="0059711E"/>
    <w:rsid w:val="005A1E0F"/>
    <w:rsid w:val="005A220E"/>
    <w:rsid w:val="005A2CFB"/>
    <w:rsid w:val="005A3C37"/>
    <w:rsid w:val="005A479A"/>
    <w:rsid w:val="005A6AF2"/>
    <w:rsid w:val="005B4E28"/>
    <w:rsid w:val="005B66ED"/>
    <w:rsid w:val="005B78D3"/>
    <w:rsid w:val="005C1C1A"/>
    <w:rsid w:val="005C546C"/>
    <w:rsid w:val="005C57A7"/>
    <w:rsid w:val="005C6BBA"/>
    <w:rsid w:val="005C6D42"/>
    <w:rsid w:val="005C7693"/>
    <w:rsid w:val="005C7F35"/>
    <w:rsid w:val="005D1A71"/>
    <w:rsid w:val="005D6571"/>
    <w:rsid w:val="005E5328"/>
    <w:rsid w:val="005F1C77"/>
    <w:rsid w:val="005F1F67"/>
    <w:rsid w:val="005F2324"/>
    <w:rsid w:val="005F2B6C"/>
    <w:rsid w:val="005F4026"/>
    <w:rsid w:val="00606DA0"/>
    <w:rsid w:val="006100DF"/>
    <w:rsid w:val="0061288F"/>
    <w:rsid w:val="00613EF7"/>
    <w:rsid w:val="00617A95"/>
    <w:rsid w:val="00617F57"/>
    <w:rsid w:val="00622C17"/>
    <w:rsid w:val="0062517F"/>
    <w:rsid w:val="006258C1"/>
    <w:rsid w:val="00635636"/>
    <w:rsid w:val="0063697F"/>
    <w:rsid w:val="006403B4"/>
    <w:rsid w:val="00653445"/>
    <w:rsid w:val="0065629B"/>
    <w:rsid w:val="00656EE7"/>
    <w:rsid w:val="00662F48"/>
    <w:rsid w:val="00666671"/>
    <w:rsid w:val="006674B2"/>
    <w:rsid w:val="00672600"/>
    <w:rsid w:val="00673DE6"/>
    <w:rsid w:val="00677221"/>
    <w:rsid w:val="0068179C"/>
    <w:rsid w:val="00685695"/>
    <w:rsid w:val="00685BE8"/>
    <w:rsid w:val="00686825"/>
    <w:rsid w:val="0069055A"/>
    <w:rsid w:val="006B1BEA"/>
    <w:rsid w:val="006B4A8F"/>
    <w:rsid w:val="006C2BCC"/>
    <w:rsid w:val="006C4B9C"/>
    <w:rsid w:val="006C7800"/>
    <w:rsid w:val="006D4413"/>
    <w:rsid w:val="006D56C0"/>
    <w:rsid w:val="006E1BE7"/>
    <w:rsid w:val="006F6DDB"/>
    <w:rsid w:val="00700D93"/>
    <w:rsid w:val="00702343"/>
    <w:rsid w:val="007031C0"/>
    <w:rsid w:val="00705911"/>
    <w:rsid w:val="0071425C"/>
    <w:rsid w:val="00720501"/>
    <w:rsid w:val="007221E6"/>
    <w:rsid w:val="0072384D"/>
    <w:rsid w:val="00726377"/>
    <w:rsid w:val="00735599"/>
    <w:rsid w:val="00736EAF"/>
    <w:rsid w:val="00743958"/>
    <w:rsid w:val="00746BD2"/>
    <w:rsid w:val="00747D05"/>
    <w:rsid w:val="00753C64"/>
    <w:rsid w:val="00755ED4"/>
    <w:rsid w:val="00756DC1"/>
    <w:rsid w:val="007575E1"/>
    <w:rsid w:val="0076316C"/>
    <w:rsid w:val="007638BD"/>
    <w:rsid w:val="00766F29"/>
    <w:rsid w:val="00771112"/>
    <w:rsid w:val="00776F0D"/>
    <w:rsid w:val="00781AFF"/>
    <w:rsid w:val="007879E1"/>
    <w:rsid w:val="0079116C"/>
    <w:rsid w:val="00792418"/>
    <w:rsid w:val="00792505"/>
    <w:rsid w:val="00792C19"/>
    <w:rsid w:val="007A1111"/>
    <w:rsid w:val="007A5F91"/>
    <w:rsid w:val="007A600B"/>
    <w:rsid w:val="007B08F7"/>
    <w:rsid w:val="007C0CCB"/>
    <w:rsid w:val="007C1680"/>
    <w:rsid w:val="007C1E81"/>
    <w:rsid w:val="007C7F5F"/>
    <w:rsid w:val="007D1177"/>
    <w:rsid w:val="007D2283"/>
    <w:rsid w:val="007D68F2"/>
    <w:rsid w:val="007E009E"/>
    <w:rsid w:val="007E7997"/>
    <w:rsid w:val="007F671E"/>
    <w:rsid w:val="00801DEF"/>
    <w:rsid w:val="00802BC0"/>
    <w:rsid w:val="00804F28"/>
    <w:rsid w:val="00806202"/>
    <w:rsid w:val="00820456"/>
    <w:rsid w:val="008304A5"/>
    <w:rsid w:val="00835F5D"/>
    <w:rsid w:val="00836447"/>
    <w:rsid w:val="00845EC3"/>
    <w:rsid w:val="0085119C"/>
    <w:rsid w:val="00853BD8"/>
    <w:rsid w:val="008603B6"/>
    <w:rsid w:val="0086518C"/>
    <w:rsid w:val="00876FE3"/>
    <w:rsid w:val="00887C14"/>
    <w:rsid w:val="00894AFA"/>
    <w:rsid w:val="008A190E"/>
    <w:rsid w:val="008B268F"/>
    <w:rsid w:val="008B5C66"/>
    <w:rsid w:val="008C36AB"/>
    <w:rsid w:val="008D5D1A"/>
    <w:rsid w:val="008D7ADF"/>
    <w:rsid w:val="008E3FBA"/>
    <w:rsid w:val="008E4A20"/>
    <w:rsid w:val="008E7952"/>
    <w:rsid w:val="009020DB"/>
    <w:rsid w:val="009045BC"/>
    <w:rsid w:val="0091207C"/>
    <w:rsid w:val="00913811"/>
    <w:rsid w:val="00913C27"/>
    <w:rsid w:val="00927176"/>
    <w:rsid w:val="00927937"/>
    <w:rsid w:val="00932A24"/>
    <w:rsid w:val="009354FD"/>
    <w:rsid w:val="00946C50"/>
    <w:rsid w:val="00957D36"/>
    <w:rsid w:val="00966491"/>
    <w:rsid w:val="009812C0"/>
    <w:rsid w:val="00984C18"/>
    <w:rsid w:val="00993345"/>
    <w:rsid w:val="0099502D"/>
    <w:rsid w:val="00997516"/>
    <w:rsid w:val="00997FBC"/>
    <w:rsid w:val="009A107B"/>
    <w:rsid w:val="009A185B"/>
    <w:rsid w:val="009A207D"/>
    <w:rsid w:val="009A2530"/>
    <w:rsid w:val="009A5693"/>
    <w:rsid w:val="009A5EFB"/>
    <w:rsid w:val="009A6035"/>
    <w:rsid w:val="009B1EFB"/>
    <w:rsid w:val="009C497D"/>
    <w:rsid w:val="009C5F8A"/>
    <w:rsid w:val="009D4710"/>
    <w:rsid w:val="009D66B3"/>
    <w:rsid w:val="009D73BD"/>
    <w:rsid w:val="009E197B"/>
    <w:rsid w:val="009E3C66"/>
    <w:rsid w:val="009E4CFB"/>
    <w:rsid w:val="009E4E60"/>
    <w:rsid w:val="009E4FA7"/>
    <w:rsid w:val="009E7372"/>
    <w:rsid w:val="009F79DB"/>
    <w:rsid w:val="00A03554"/>
    <w:rsid w:val="00A041EF"/>
    <w:rsid w:val="00A10C6B"/>
    <w:rsid w:val="00A13F6C"/>
    <w:rsid w:val="00A17169"/>
    <w:rsid w:val="00A20C22"/>
    <w:rsid w:val="00A211D0"/>
    <w:rsid w:val="00A3001B"/>
    <w:rsid w:val="00A30403"/>
    <w:rsid w:val="00A32085"/>
    <w:rsid w:val="00A320AF"/>
    <w:rsid w:val="00A32CA4"/>
    <w:rsid w:val="00A3301F"/>
    <w:rsid w:val="00A43711"/>
    <w:rsid w:val="00A45E38"/>
    <w:rsid w:val="00A47539"/>
    <w:rsid w:val="00A47F03"/>
    <w:rsid w:val="00A47F40"/>
    <w:rsid w:val="00A520AB"/>
    <w:rsid w:val="00A55496"/>
    <w:rsid w:val="00A651D1"/>
    <w:rsid w:val="00A73490"/>
    <w:rsid w:val="00A777E9"/>
    <w:rsid w:val="00A855E2"/>
    <w:rsid w:val="00A97937"/>
    <w:rsid w:val="00AA241A"/>
    <w:rsid w:val="00AA2855"/>
    <w:rsid w:val="00AA637E"/>
    <w:rsid w:val="00AB0226"/>
    <w:rsid w:val="00AB11E5"/>
    <w:rsid w:val="00AB1C3F"/>
    <w:rsid w:val="00AC79B0"/>
    <w:rsid w:val="00AD0A71"/>
    <w:rsid w:val="00AE13E4"/>
    <w:rsid w:val="00AE5992"/>
    <w:rsid w:val="00AF1DBE"/>
    <w:rsid w:val="00AF374B"/>
    <w:rsid w:val="00AF4C42"/>
    <w:rsid w:val="00AF659A"/>
    <w:rsid w:val="00B048DC"/>
    <w:rsid w:val="00B04B69"/>
    <w:rsid w:val="00B0694D"/>
    <w:rsid w:val="00B208B5"/>
    <w:rsid w:val="00B2115B"/>
    <w:rsid w:val="00B24902"/>
    <w:rsid w:val="00B31B69"/>
    <w:rsid w:val="00B3341D"/>
    <w:rsid w:val="00B36DB8"/>
    <w:rsid w:val="00B36F9C"/>
    <w:rsid w:val="00B37BE7"/>
    <w:rsid w:val="00B40404"/>
    <w:rsid w:val="00B47851"/>
    <w:rsid w:val="00B64BB2"/>
    <w:rsid w:val="00B70958"/>
    <w:rsid w:val="00B75976"/>
    <w:rsid w:val="00B76C0C"/>
    <w:rsid w:val="00B8224F"/>
    <w:rsid w:val="00B84100"/>
    <w:rsid w:val="00B876D2"/>
    <w:rsid w:val="00B95747"/>
    <w:rsid w:val="00B97BE0"/>
    <w:rsid w:val="00BA111F"/>
    <w:rsid w:val="00BA6DC7"/>
    <w:rsid w:val="00BA722E"/>
    <w:rsid w:val="00BB19A6"/>
    <w:rsid w:val="00BB3BD7"/>
    <w:rsid w:val="00BB5F90"/>
    <w:rsid w:val="00BC0370"/>
    <w:rsid w:val="00BC23BE"/>
    <w:rsid w:val="00BC78E5"/>
    <w:rsid w:val="00BD489A"/>
    <w:rsid w:val="00BE0F1C"/>
    <w:rsid w:val="00BE2630"/>
    <w:rsid w:val="00BE5CC8"/>
    <w:rsid w:val="00BF3B70"/>
    <w:rsid w:val="00BF7088"/>
    <w:rsid w:val="00C02367"/>
    <w:rsid w:val="00C05B4A"/>
    <w:rsid w:val="00C10D92"/>
    <w:rsid w:val="00C10DD6"/>
    <w:rsid w:val="00C14E27"/>
    <w:rsid w:val="00C15D0C"/>
    <w:rsid w:val="00C161D3"/>
    <w:rsid w:val="00C16635"/>
    <w:rsid w:val="00C224CB"/>
    <w:rsid w:val="00C30EED"/>
    <w:rsid w:val="00C334CA"/>
    <w:rsid w:val="00C351CC"/>
    <w:rsid w:val="00C376F6"/>
    <w:rsid w:val="00C43667"/>
    <w:rsid w:val="00C47395"/>
    <w:rsid w:val="00C553CA"/>
    <w:rsid w:val="00C562F2"/>
    <w:rsid w:val="00C63AD3"/>
    <w:rsid w:val="00C73427"/>
    <w:rsid w:val="00C7377D"/>
    <w:rsid w:val="00C74DBF"/>
    <w:rsid w:val="00C77B39"/>
    <w:rsid w:val="00C80082"/>
    <w:rsid w:val="00C81870"/>
    <w:rsid w:val="00C82EAE"/>
    <w:rsid w:val="00C837AA"/>
    <w:rsid w:val="00C951E8"/>
    <w:rsid w:val="00CB0AFA"/>
    <w:rsid w:val="00CB2C4F"/>
    <w:rsid w:val="00CB2D1A"/>
    <w:rsid w:val="00CC1C9B"/>
    <w:rsid w:val="00CC46BD"/>
    <w:rsid w:val="00CC6C6A"/>
    <w:rsid w:val="00CC6E25"/>
    <w:rsid w:val="00CE177D"/>
    <w:rsid w:val="00CE2C11"/>
    <w:rsid w:val="00CE7CF9"/>
    <w:rsid w:val="00CF7A5A"/>
    <w:rsid w:val="00D00C18"/>
    <w:rsid w:val="00D02B72"/>
    <w:rsid w:val="00D04E69"/>
    <w:rsid w:val="00D05EFD"/>
    <w:rsid w:val="00D11C30"/>
    <w:rsid w:val="00D13978"/>
    <w:rsid w:val="00D14E62"/>
    <w:rsid w:val="00D1561A"/>
    <w:rsid w:val="00D16434"/>
    <w:rsid w:val="00D2602F"/>
    <w:rsid w:val="00D35585"/>
    <w:rsid w:val="00D35FB9"/>
    <w:rsid w:val="00D430EB"/>
    <w:rsid w:val="00D4388D"/>
    <w:rsid w:val="00D43B7C"/>
    <w:rsid w:val="00D46DF9"/>
    <w:rsid w:val="00D52363"/>
    <w:rsid w:val="00D56B77"/>
    <w:rsid w:val="00D610EE"/>
    <w:rsid w:val="00D74801"/>
    <w:rsid w:val="00D77141"/>
    <w:rsid w:val="00D805BD"/>
    <w:rsid w:val="00D80F09"/>
    <w:rsid w:val="00D819E3"/>
    <w:rsid w:val="00D82FD4"/>
    <w:rsid w:val="00D85352"/>
    <w:rsid w:val="00D92F23"/>
    <w:rsid w:val="00D93838"/>
    <w:rsid w:val="00DA42D0"/>
    <w:rsid w:val="00DA4E0F"/>
    <w:rsid w:val="00DB209C"/>
    <w:rsid w:val="00DB7E66"/>
    <w:rsid w:val="00DC45F3"/>
    <w:rsid w:val="00DC47C6"/>
    <w:rsid w:val="00DC6EA4"/>
    <w:rsid w:val="00DC7FE5"/>
    <w:rsid w:val="00DD3176"/>
    <w:rsid w:val="00DE0DC9"/>
    <w:rsid w:val="00DE4368"/>
    <w:rsid w:val="00DE52BB"/>
    <w:rsid w:val="00DE594A"/>
    <w:rsid w:val="00DE62B7"/>
    <w:rsid w:val="00DF25DF"/>
    <w:rsid w:val="00DF480C"/>
    <w:rsid w:val="00DF59F7"/>
    <w:rsid w:val="00E001E1"/>
    <w:rsid w:val="00E03F92"/>
    <w:rsid w:val="00E05155"/>
    <w:rsid w:val="00E10BD0"/>
    <w:rsid w:val="00E138B8"/>
    <w:rsid w:val="00E21030"/>
    <w:rsid w:val="00E2140D"/>
    <w:rsid w:val="00E25707"/>
    <w:rsid w:val="00E3288B"/>
    <w:rsid w:val="00E35249"/>
    <w:rsid w:val="00E35DE4"/>
    <w:rsid w:val="00E44CEA"/>
    <w:rsid w:val="00E557EE"/>
    <w:rsid w:val="00E55A11"/>
    <w:rsid w:val="00E62FB4"/>
    <w:rsid w:val="00E64123"/>
    <w:rsid w:val="00E675A1"/>
    <w:rsid w:val="00E71183"/>
    <w:rsid w:val="00E7136D"/>
    <w:rsid w:val="00E71A08"/>
    <w:rsid w:val="00E75BFA"/>
    <w:rsid w:val="00E7719B"/>
    <w:rsid w:val="00E80194"/>
    <w:rsid w:val="00E80710"/>
    <w:rsid w:val="00E84E19"/>
    <w:rsid w:val="00E93DDF"/>
    <w:rsid w:val="00E94ACD"/>
    <w:rsid w:val="00EA1BFE"/>
    <w:rsid w:val="00EA41C4"/>
    <w:rsid w:val="00EA5D07"/>
    <w:rsid w:val="00EB089C"/>
    <w:rsid w:val="00EB3F75"/>
    <w:rsid w:val="00EC030B"/>
    <w:rsid w:val="00EC3276"/>
    <w:rsid w:val="00EC461F"/>
    <w:rsid w:val="00EC5B09"/>
    <w:rsid w:val="00EC65CF"/>
    <w:rsid w:val="00ED4E16"/>
    <w:rsid w:val="00EE02CF"/>
    <w:rsid w:val="00EE10AF"/>
    <w:rsid w:val="00EE35D7"/>
    <w:rsid w:val="00EE4FCD"/>
    <w:rsid w:val="00EE523F"/>
    <w:rsid w:val="00EE6CA7"/>
    <w:rsid w:val="00EF5717"/>
    <w:rsid w:val="00EF61FA"/>
    <w:rsid w:val="00F014B3"/>
    <w:rsid w:val="00F01E53"/>
    <w:rsid w:val="00F044AE"/>
    <w:rsid w:val="00F05A04"/>
    <w:rsid w:val="00F0767A"/>
    <w:rsid w:val="00F12BA5"/>
    <w:rsid w:val="00F16EA7"/>
    <w:rsid w:val="00F1782D"/>
    <w:rsid w:val="00F255CF"/>
    <w:rsid w:val="00F32E91"/>
    <w:rsid w:val="00F36CD0"/>
    <w:rsid w:val="00F40FA4"/>
    <w:rsid w:val="00F41B4E"/>
    <w:rsid w:val="00F43664"/>
    <w:rsid w:val="00F44E22"/>
    <w:rsid w:val="00F50897"/>
    <w:rsid w:val="00F51BDD"/>
    <w:rsid w:val="00F51D87"/>
    <w:rsid w:val="00F72EB3"/>
    <w:rsid w:val="00F842BF"/>
    <w:rsid w:val="00F86438"/>
    <w:rsid w:val="00F946D8"/>
    <w:rsid w:val="00F974A0"/>
    <w:rsid w:val="00F97672"/>
    <w:rsid w:val="00FA0F6A"/>
    <w:rsid w:val="00FB46E1"/>
    <w:rsid w:val="00FB4990"/>
    <w:rsid w:val="00FC4D1D"/>
    <w:rsid w:val="00FD199B"/>
    <w:rsid w:val="00FD58D3"/>
    <w:rsid w:val="00FD5AB3"/>
    <w:rsid w:val="00FE7BD9"/>
    <w:rsid w:val="00FF24EF"/>
    <w:rsid w:val="02073A2D"/>
    <w:rsid w:val="02D3440B"/>
    <w:rsid w:val="02ED6112"/>
    <w:rsid w:val="034E2061"/>
    <w:rsid w:val="04196FD0"/>
    <w:rsid w:val="048D1A84"/>
    <w:rsid w:val="05162D20"/>
    <w:rsid w:val="06B71A10"/>
    <w:rsid w:val="06DD024B"/>
    <w:rsid w:val="06E94E42"/>
    <w:rsid w:val="091A51B1"/>
    <w:rsid w:val="091F34A2"/>
    <w:rsid w:val="09E0077E"/>
    <w:rsid w:val="0A0F0A71"/>
    <w:rsid w:val="0BCF0AAA"/>
    <w:rsid w:val="0F125A61"/>
    <w:rsid w:val="0F711E78"/>
    <w:rsid w:val="11C96EAB"/>
    <w:rsid w:val="11E10C19"/>
    <w:rsid w:val="12A52565"/>
    <w:rsid w:val="12F13861"/>
    <w:rsid w:val="142C7332"/>
    <w:rsid w:val="144B0EEA"/>
    <w:rsid w:val="147F0B94"/>
    <w:rsid w:val="15C40F54"/>
    <w:rsid w:val="16D33FCE"/>
    <w:rsid w:val="16FC471D"/>
    <w:rsid w:val="17D75956"/>
    <w:rsid w:val="196E3121"/>
    <w:rsid w:val="1A804D9E"/>
    <w:rsid w:val="1BB02783"/>
    <w:rsid w:val="1BDD4B1E"/>
    <w:rsid w:val="1D440BCC"/>
    <w:rsid w:val="1D551493"/>
    <w:rsid w:val="1D6D2AC0"/>
    <w:rsid w:val="1DD71A40"/>
    <w:rsid w:val="1EA64683"/>
    <w:rsid w:val="1F3E1D77"/>
    <w:rsid w:val="21F030D1"/>
    <w:rsid w:val="22745AB0"/>
    <w:rsid w:val="23CE1401"/>
    <w:rsid w:val="23D32AB2"/>
    <w:rsid w:val="26321F6C"/>
    <w:rsid w:val="275D3457"/>
    <w:rsid w:val="27CC2790"/>
    <w:rsid w:val="27F76F67"/>
    <w:rsid w:val="28900274"/>
    <w:rsid w:val="28A013AD"/>
    <w:rsid w:val="298D2160"/>
    <w:rsid w:val="29B13146"/>
    <w:rsid w:val="29CD376B"/>
    <w:rsid w:val="2AF22507"/>
    <w:rsid w:val="2B3C72FC"/>
    <w:rsid w:val="2DF950BB"/>
    <w:rsid w:val="2EA17C2D"/>
    <w:rsid w:val="2EC5145E"/>
    <w:rsid w:val="2FE04785"/>
    <w:rsid w:val="302250D6"/>
    <w:rsid w:val="306855B7"/>
    <w:rsid w:val="309F63EE"/>
    <w:rsid w:val="319A0E36"/>
    <w:rsid w:val="33811F36"/>
    <w:rsid w:val="33C24201"/>
    <w:rsid w:val="35BF7608"/>
    <w:rsid w:val="36B14785"/>
    <w:rsid w:val="37EC0C66"/>
    <w:rsid w:val="38B05902"/>
    <w:rsid w:val="3B950B19"/>
    <w:rsid w:val="3BB16FD5"/>
    <w:rsid w:val="3BF27D19"/>
    <w:rsid w:val="3D1D74E2"/>
    <w:rsid w:val="3D3305EA"/>
    <w:rsid w:val="3DF00289"/>
    <w:rsid w:val="3E0C373E"/>
    <w:rsid w:val="3EC84D62"/>
    <w:rsid w:val="41154C63"/>
    <w:rsid w:val="4153125A"/>
    <w:rsid w:val="41666544"/>
    <w:rsid w:val="41D336DB"/>
    <w:rsid w:val="42247AC0"/>
    <w:rsid w:val="432A5FEB"/>
    <w:rsid w:val="436F1422"/>
    <w:rsid w:val="446E0A34"/>
    <w:rsid w:val="454E2637"/>
    <w:rsid w:val="45BA2B7D"/>
    <w:rsid w:val="47EA7B09"/>
    <w:rsid w:val="484C626B"/>
    <w:rsid w:val="4B131981"/>
    <w:rsid w:val="4C3C6241"/>
    <w:rsid w:val="4C43011D"/>
    <w:rsid w:val="4CAA4209"/>
    <w:rsid w:val="4D9549A9"/>
    <w:rsid w:val="4E797E26"/>
    <w:rsid w:val="4F674123"/>
    <w:rsid w:val="4FDD5DFA"/>
    <w:rsid w:val="504750BE"/>
    <w:rsid w:val="51620C81"/>
    <w:rsid w:val="51691EA1"/>
    <w:rsid w:val="518A1206"/>
    <w:rsid w:val="52E03507"/>
    <w:rsid w:val="53351CA7"/>
    <w:rsid w:val="53B676BD"/>
    <w:rsid w:val="54524CD6"/>
    <w:rsid w:val="548B4A51"/>
    <w:rsid w:val="54B617B9"/>
    <w:rsid w:val="56863484"/>
    <w:rsid w:val="56DE0AFD"/>
    <w:rsid w:val="575B57A1"/>
    <w:rsid w:val="57E52229"/>
    <w:rsid w:val="58EC27F2"/>
    <w:rsid w:val="599B3347"/>
    <w:rsid w:val="59CC5BE0"/>
    <w:rsid w:val="5A913441"/>
    <w:rsid w:val="5AE1122D"/>
    <w:rsid w:val="5AE23BA6"/>
    <w:rsid w:val="5B426F32"/>
    <w:rsid w:val="5B5B7F93"/>
    <w:rsid w:val="5CE44D4B"/>
    <w:rsid w:val="5D206FB1"/>
    <w:rsid w:val="5E2D4789"/>
    <w:rsid w:val="5E2F2F82"/>
    <w:rsid w:val="5EFF1C82"/>
    <w:rsid w:val="5F090D52"/>
    <w:rsid w:val="5FB24FC0"/>
    <w:rsid w:val="60432042"/>
    <w:rsid w:val="606B774E"/>
    <w:rsid w:val="61656BB0"/>
    <w:rsid w:val="61B77AEA"/>
    <w:rsid w:val="627E7362"/>
    <w:rsid w:val="62913539"/>
    <w:rsid w:val="63666773"/>
    <w:rsid w:val="637C0128"/>
    <w:rsid w:val="641B1B2D"/>
    <w:rsid w:val="642725B9"/>
    <w:rsid w:val="649D351D"/>
    <w:rsid w:val="64DE2AF2"/>
    <w:rsid w:val="67D77C40"/>
    <w:rsid w:val="68030A35"/>
    <w:rsid w:val="687A4882"/>
    <w:rsid w:val="69867053"/>
    <w:rsid w:val="6B2B1C2F"/>
    <w:rsid w:val="6C5A0E3F"/>
    <w:rsid w:val="6C6E5A11"/>
    <w:rsid w:val="6C7A3290"/>
    <w:rsid w:val="6CC80A8E"/>
    <w:rsid w:val="6CDD4A2B"/>
    <w:rsid w:val="6D217E73"/>
    <w:rsid w:val="6D5A7F57"/>
    <w:rsid w:val="6DB602F7"/>
    <w:rsid w:val="6E250FD9"/>
    <w:rsid w:val="6E46167B"/>
    <w:rsid w:val="6E736029"/>
    <w:rsid w:val="6F4E25F2"/>
    <w:rsid w:val="71E05F5B"/>
    <w:rsid w:val="725F3446"/>
    <w:rsid w:val="72886033"/>
    <w:rsid w:val="7399049F"/>
    <w:rsid w:val="745519F4"/>
    <w:rsid w:val="759F1B02"/>
    <w:rsid w:val="76110685"/>
    <w:rsid w:val="77510ED1"/>
    <w:rsid w:val="77685200"/>
    <w:rsid w:val="7785716B"/>
    <w:rsid w:val="789A61ED"/>
    <w:rsid w:val="791F0163"/>
    <w:rsid w:val="7AE109F2"/>
    <w:rsid w:val="7B430CF1"/>
    <w:rsid w:val="7B8E4662"/>
    <w:rsid w:val="7DBA0D4B"/>
    <w:rsid w:val="7F465091"/>
    <w:rsid w:val="7FBA6B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2"/>
    <w:autoRedefine/>
    <w:qFormat/>
    <w:uiPriority w:val="9"/>
    <w:pPr>
      <w:keepNext/>
      <w:keepLines/>
      <w:spacing w:before="340" w:after="330" w:line="576" w:lineRule="auto"/>
      <w:outlineLvl w:val="0"/>
    </w:pPr>
    <w:rPr>
      <w:rFonts w:ascii="Calibri" w:hAnsi="Calibri"/>
      <w:b/>
      <w:bCs/>
      <w:kern w:val="44"/>
      <w:sz w:val="44"/>
      <w:szCs w:val="44"/>
      <w:lang w:val="zh-CN"/>
    </w:rPr>
  </w:style>
  <w:style w:type="character" w:default="1" w:styleId="11">
    <w:name w:val="Default Paragraph Font"/>
    <w:semiHidden/>
    <w:unhideWhenUsed/>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23"/>
    <w:autoRedefine/>
    <w:unhideWhenUsed/>
    <w:qFormat/>
    <w:uiPriority w:val="99"/>
    <w:pPr>
      <w:jc w:val="left"/>
    </w:pPr>
  </w:style>
  <w:style w:type="paragraph" w:styleId="4">
    <w:name w:val="Balloon Text"/>
    <w:basedOn w:val="1"/>
    <w:link w:val="17"/>
    <w:autoRedefine/>
    <w:unhideWhenUsed/>
    <w:qFormat/>
    <w:uiPriority w:val="99"/>
    <w:rPr>
      <w:sz w:val="18"/>
      <w:szCs w:val="18"/>
    </w:rPr>
  </w:style>
  <w:style w:type="paragraph" w:styleId="5">
    <w:name w:val="footer"/>
    <w:basedOn w:val="1"/>
    <w:link w:val="19"/>
    <w:autoRedefine/>
    <w:qFormat/>
    <w:uiPriority w:val="99"/>
    <w:pPr>
      <w:tabs>
        <w:tab w:val="center" w:pos="4153"/>
        <w:tab w:val="right" w:pos="8306"/>
      </w:tabs>
      <w:snapToGrid w:val="0"/>
      <w:jc w:val="left"/>
    </w:pPr>
    <w:rPr>
      <w:sz w:val="18"/>
    </w:rPr>
  </w:style>
  <w:style w:type="paragraph" w:styleId="6">
    <w:name w:val="header"/>
    <w:basedOn w:val="1"/>
    <w:link w:val="16"/>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styleId="8">
    <w:name w:val="annotation subject"/>
    <w:basedOn w:val="3"/>
    <w:next w:val="3"/>
    <w:link w:val="24"/>
    <w:autoRedefine/>
    <w:semiHidden/>
    <w:unhideWhenUsed/>
    <w:qFormat/>
    <w:uiPriority w:val="99"/>
    <w:rPr>
      <w:b/>
      <w:bCs/>
    </w:rPr>
  </w:style>
  <w:style w:type="table" w:styleId="10">
    <w:name w:val="Table Grid"/>
    <w:basedOn w:val="9"/>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autoRedefine/>
    <w:qFormat/>
    <w:uiPriority w:val="22"/>
    <w:rPr>
      <w:b/>
    </w:rPr>
  </w:style>
  <w:style w:type="character" w:styleId="13">
    <w:name w:val="Emphasis"/>
    <w:basedOn w:val="11"/>
    <w:autoRedefine/>
    <w:qFormat/>
    <w:uiPriority w:val="20"/>
    <w:rPr>
      <w:i/>
    </w:rPr>
  </w:style>
  <w:style w:type="character" w:styleId="14">
    <w:name w:val="Hyperlink"/>
    <w:basedOn w:val="11"/>
    <w:autoRedefine/>
    <w:semiHidden/>
    <w:unhideWhenUsed/>
    <w:qFormat/>
    <w:uiPriority w:val="0"/>
    <w:rPr>
      <w:color w:val="0000FF"/>
      <w:u w:val="single"/>
    </w:rPr>
  </w:style>
  <w:style w:type="character" w:styleId="15">
    <w:name w:val="annotation reference"/>
    <w:basedOn w:val="11"/>
    <w:autoRedefine/>
    <w:semiHidden/>
    <w:unhideWhenUsed/>
    <w:qFormat/>
    <w:uiPriority w:val="99"/>
    <w:rPr>
      <w:sz w:val="21"/>
      <w:szCs w:val="21"/>
    </w:rPr>
  </w:style>
  <w:style w:type="character" w:customStyle="1" w:styleId="16">
    <w:name w:val="页眉 字符"/>
    <w:basedOn w:val="11"/>
    <w:link w:val="6"/>
    <w:autoRedefine/>
    <w:qFormat/>
    <w:uiPriority w:val="99"/>
    <w:rPr>
      <w:kern w:val="2"/>
      <w:sz w:val="18"/>
    </w:rPr>
  </w:style>
  <w:style w:type="character" w:customStyle="1" w:styleId="17">
    <w:name w:val="批注框文本 字符"/>
    <w:basedOn w:val="11"/>
    <w:link w:val="4"/>
    <w:autoRedefine/>
    <w:semiHidden/>
    <w:qFormat/>
    <w:uiPriority w:val="99"/>
    <w:rPr>
      <w:kern w:val="2"/>
      <w:sz w:val="18"/>
      <w:szCs w:val="18"/>
    </w:rPr>
  </w:style>
  <w:style w:type="paragraph" w:customStyle="1" w:styleId="18">
    <w:name w:val="reader-word-layer"/>
    <w:basedOn w:val="1"/>
    <w:autoRedefine/>
    <w:qFormat/>
    <w:uiPriority w:val="0"/>
    <w:pPr>
      <w:widowControl/>
      <w:spacing w:before="100" w:beforeAutospacing="1" w:after="100" w:afterAutospacing="1"/>
      <w:jc w:val="left"/>
    </w:pPr>
    <w:rPr>
      <w:rFonts w:ascii="宋体" w:hAnsi="宋体" w:cs="宋体"/>
      <w:kern w:val="0"/>
      <w:sz w:val="24"/>
      <w:szCs w:val="24"/>
    </w:rPr>
  </w:style>
  <w:style w:type="character" w:customStyle="1" w:styleId="19">
    <w:name w:val="页脚 字符"/>
    <w:basedOn w:val="11"/>
    <w:link w:val="5"/>
    <w:autoRedefine/>
    <w:qFormat/>
    <w:uiPriority w:val="99"/>
    <w:rPr>
      <w:kern w:val="2"/>
      <w:sz w:val="18"/>
    </w:rPr>
  </w:style>
  <w:style w:type="paragraph" w:customStyle="1" w:styleId="20">
    <w:name w:val="xl35"/>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21">
    <w:name w:val="List Paragraph"/>
    <w:basedOn w:val="1"/>
    <w:autoRedefine/>
    <w:qFormat/>
    <w:uiPriority w:val="99"/>
    <w:pPr>
      <w:ind w:firstLine="420" w:firstLineChars="200"/>
    </w:pPr>
  </w:style>
  <w:style w:type="character" w:customStyle="1" w:styleId="22">
    <w:name w:val="标题 1 字符"/>
    <w:basedOn w:val="11"/>
    <w:link w:val="2"/>
    <w:autoRedefine/>
    <w:qFormat/>
    <w:uiPriority w:val="9"/>
    <w:rPr>
      <w:rFonts w:ascii="Calibri" w:hAnsi="Calibri"/>
      <w:b/>
      <w:bCs/>
      <w:kern w:val="44"/>
      <w:sz w:val="44"/>
      <w:szCs w:val="44"/>
      <w:lang w:val="zh-CN" w:eastAsia="zh-CN"/>
    </w:rPr>
  </w:style>
  <w:style w:type="character" w:customStyle="1" w:styleId="23">
    <w:name w:val="批注文字 字符"/>
    <w:basedOn w:val="11"/>
    <w:link w:val="3"/>
    <w:autoRedefine/>
    <w:qFormat/>
    <w:uiPriority w:val="99"/>
    <w:rPr>
      <w:kern w:val="2"/>
      <w:sz w:val="21"/>
    </w:rPr>
  </w:style>
  <w:style w:type="character" w:customStyle="1" w:styleId="24">
    <w:name w:val="批注主题 字符"/>
    <w:basedOn w:val="23"/>
    <w:link w:val="8"/>
    <w:autoRedefine/>
    <w:semiHidden/>
    <w:qFormat/>
    <w:uiPriority w:val="99"/>
    <w:rPr>
      <w:b/>
      <w:bCs/>
      <w:kern w:val="2"/>
      <w:sz w:val="21"/>
    </w:rPr>
  </w:style>
  <w:style w:type="paragraph" w:customStyle="1" w:styleId="25">
    <w:name w:val="AONormal"/>
    <w:autoRedefine/>
    <w:qFormat/>
    <w:uiPriority w:val="0"/>
    <w:pPr>
      <w:autoSpaceDE w:val="0"/>
      <w:autoSpaceDN w:val="0"/>
      <w:adjustRightInd w:val="0"/>
      <w:spacing w:line="260" w:lineRule="atLeast"/>
    </w:pPr>
    <w:rPr>
      <w:rFonts w:ascii="Times New Roman" w:hAnsi="Times New Roman" w:eastAsia="宋体" w:cs="Times New Roman"/>
      <w:sz w:val="22"/>
      <w:szCs w:val="22"/>
      <w:lang w:val="en-GB"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haoxueru\Desktop\&#24120;&#29992;\&#27169;&#26495;\Word(&#27169;&#26495;&#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FD0D3A-4C47-4849-99E9-43F28419EB4A}">
  <ds:schemaRefs/>
</ds:datastoreItem>
</file>

<file path=docProps/app.xml><?xml version="1.0" encoding="utf-8"?>
<Properties xmlns="http://schemas.openxmlformats.org/officeDocument/2006/extended-properties" xmlns:vt="http://schemas.openxmlformats.org/officeDocument/2006/docPropsVTypes">
  <Template>Word(模板）</Template>
  <Company>微软中国</Company>
  <Pages>6</Pages>
  <Words>1498</Words>
  <Characters>8545</Characters>
  <Lines>71</Lines>
  <Paragraphs>20</Paragraphs>
  <TotalTime>30</TotalTime>
  <ScaleCrop>false</ScaleCrop>
  <LinksUpToDate>false</LinksUpToDate>
  <CharactersWithSpaces>10023</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2026-05-18T04:08:00Z</dcterms:created>
  <dc:creator>莫如我一般</dc:creator>
  <cp:lastModifiedBy>王龙霞(2003620778)</cp:lastModifiedBy>
  <cp:lastPrinted>2020-09-23T07:47:00Z</cp:lastPrinted>
  <dcterms:modified xsi:type="dcterms:W3CDTF">2026-05-27T07:41:54Z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53D2404FFDAB4A8D9CEEF1C5167D122D_13</vt:lpwstr>
  </property>
  <property fmtid="{D5CDD505-2E9C-101B-9397-08002B2CF9AE}" pid="4" name="KSOTemplateDocerSaveRecord">
    <vt:lpwstr>eyJoZGlkIjoiOWY1MDMwNmQzYjUwM2Y1MzgzOGY5MWIwNjYxMzBlM2UiLCJ1c2VySWQiOiIxNzAwODExODY4In0=</vt:lpwstr>
  </property>
</Properties>
</file>