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95B17E">
      <w:pPr>
        <w:spacing w:line="360" w:lineRule="auto"/>
        <w:rPr>
          <w:rFonts w:hint="eastAsia" w:ascii="宋体" w:hAnsi="宋体" w:cs="宋体"/>
        </w:rPr>
      </w:pPr>
      <w:bookmarkStart w:id="0" w:name="_Hlk193154772"/>
      <w:bookmarkEnd w:id="0"/>
    </w:p>
    <w:p w14:paraId="01C717E7">
      <w:pPr>
        <w:spacing w:line="360" w:lineRule="auto"/>
        <w:rPr>
          <w:rFonts w:hint="eastAsia" w:ascii="宋体" w:hAnsi="宋体" w:cs="宋体"/>
        </w:rPr>
      </w:pPr>
    </w:p>
    <w:p w14:paraId="4DECA653">
      <w:pPr>
        <w:spacing w:line="360" w:lineRule="auto"/>
        <w:rPr>
          <w:rFonts w:hint="eastAsia" w:ascii="宋体" w:hAnsi="宋体" w:cs="宋体"/>
        </w:rPr>
      </w:pPr>
    </w:p>
    <w:p w14:paraId="74020F08">
      <w:pPr>
        <w:spacing w:line="360" w:lineRule="auto"/>
        <w:rPr>
          <w:rFonts w:hint="eastAsia" w:ascii="宋体" w:hAnsi="宋体" w:cs="宋体"/>
        </w:rPr>
      </w:pPr>
    </w:p>
    <w:p w14:paraId="0E079973">
      <w:pPr>
        <w:spacing w:line="360" w:lineRule="auto"/>
        <w:rPr>
          <w:rFonts w:hint="eastAsia" w:ascii="宋体" w:hAnsi="宋体" w:cs="宋体"/>
        </w:rPr>
      </w:pPr>
    </w:p>
    <w:p w14:paraId="6E78BAF8">
      <w:pPr>
        <w:spacing w:line="360" w:lineRule="auto"/>
        <w:jc w:val="center"/>
        <w:rPr>
          <w:rFonts w:hint="eastAsia" w:ascii="宋体" w:hAnsi="宋体" w:cs="宋体"/>
          <w:b/>
          <w:sz w:val="40"/>
          <w:szCs w:val="40"/>
        </w:rPr>
      </w:pPr>
    </w:p>
    <w:p w14:paraId="4FA3CA02">
      <w:pPr>
        <w:spacing w:line="360" w:lineRule="auto"/>
        <w:jc w:val="center"/>
        <w:outlineLvl w:val="0"/>
        <w:rPr>
          <w:rFonts w:hint="eastAsia" w:ascii="宋体" w:hAnsi="宋体" w:cs="宋体"/>
          <w:b/>
          <w:sz w:val="40"/>
          <w:szCs w:val="40"/>
        </w:rPr>
      </w:pPr>
      <w:bookmarkStart w:id="1" w:name="_Toc27321"/>
      <w:bookmarkStart w:id="2" w:name="_Toc13203"/>
      <w:r>
        <w:rPr>
          <w:rFonts w:hint="eastAsia" w:ascii="宋体" w:hAnsi="宋体" w:cs="宋体"/>
          <w:b/>
          <w:sz w:val="40"/>
          <w:szCs w:val="40"/>
        </w:rPr>
        <w:t>清华大学屏蔽实验反应堆退役项目</w:t>
      </w:r>
      <w:bookmarkEnd w:id="1"/>
      <w:bookmarkEnd w:id="2"/>
    </w:p>
    <w:p w14:paraId="496D19FE">
      <w:pPr>
        <w:jc w:val="center"/>
        <w:rPr>
          <w:rFonts w:hint="eastAsia" w:ascii="宋体" w:hAnsi="宋体" w:cs="宋体"/>
          <w:b/>
          <w:sz w:val="44"/>
          <w:szCs w:val="44"/>
        </w:rPr>
      </w:pPr>
      <w:r>
        <w:rPr>
          <w:rFonts w:hint="eastAsia" w:ascii="宋体" w:hAnsi="宋体" w:cs="宋体"/>
          <w:b/>
          <w:sz w:val="44"/>
          <w:szCs w:val="44"/>
        </w:rPr>
        <w:t>分布式γ核素与剂量率监测装置技术规格书</w:t>
      </w:r>
    </w:p>
    <w:p w14:paraId="28D8D3C8">
      <w:pPr>
        <w:jc w:val="center"/>
        <w:rPr>
          <w:rFonts w:hint="eastAsia" w:ascii="宋体" w:hAnsi="宋体" w:cs="宋体"/>
          <w:b/>
          <w:sz w:val="44"/>
          <w:szCs w:val="44"/>
        </w:rPr>
      </w:pPr>
    </w:p>
    <w:p w14:paraId="0B4EDF9A">
      <w:pPr>
        <w:spacing w:line="360" w:lineRule="auto"/>
        <w:jc w:val="center"/>
        <w:rPr>
          <w:rFonts w:hint="eastAsia" w:ascii="宋体" w:hAnsi="宋体" w:cs="宋体"/>
          <w:b/>
          <w:sz w:val="36"/>
          <w:szCs w:val="36"/>
        </w:rPr>
      </w:pPr>
    </w:p>
    <w:p w14:paraId="6BE4D73B">
      <w:pPr>
        <w:spacing w:line="360" w:lineRule="auto"/>
        <w:jc w:val="center"/>
        <w:rPr>
          <w:rFonts w:hint="eastAsia" w:ascii="宋体" w:hAnsi="宋体" w:cs="宋体"/>
          <w:b/>
          <w:sz w:val="36"/>
          <w:szCs w:val="36"/>
        </w:rPr>
      </w:pPr>
    </w:p>
    <w:p w14:paraId="4521ECCB">
      <w:pPr>
        <w:spacing w:line="360" w:lineRule="auto"/>
        <w:rPr>
          <w:rFonts w:hint="eastAsia" w:ascii="宋体" w:hAnsi="宋体" w:cs="宋体"/>
        </w:rPr>
      </w:pPr>
    </w:p>
    <w:p w14:paraId="4185F30D">
      <w:pPr>
        <w:spacing w:line="360" w:lineRule="auto"/>
        <w:rPr>
          <w:rFonts w:hint="eastAsia" w:ascii="宋体" w:hAnsi="宋体" w:cs="宋体"/>
        </w:rPr>
      </w:pPr>
    </w:p>
    <w:p w14:paraId="4ACA0241">
      <w:pPr>
        <w:spacing w:line="360" w:lineRule="auto"/>
        <w:rPr>
          <w:rFonts w:hint="eastAsia" w:ascii="宋体" w:hAnsi="宋体" w:cs="宋体"/>
        </w:rPr>
      </w:pPr>
    </w:p>
    <w:p w14:paraId="42C54ADC">
      <w:pPr>
        <w:spacing w:line="360" w:lineRule="auto"/>
        <w:rPr>
          <w:rFonts w:hint="eastAsia" w:ascii="宋体" w:hAnsi="宋体" w:cs="宋体"/>
        </w:rPr>
      </w:pPr>
    </w:p>
    <w:p w14:paraId="25D5AC32">
      <w:pPr>
        <w:spacing w:line="360" w:lineRule="auto"/>
        <w:rPr>
          <w:rFonts w:hint="eastAsia" w:ascii="宋体" w:hAnsi="宋体" w:cs="宋体"/>
        </w:rPr>
      </w:pPr>
    </w:p>
    <w:p w14:paraId="113BBE94">
      <w:pPr>
        <w:spacing w:line="360" w:lineRule="auto"/>
        <w:rPr>
          <w:rFonts w:hint="eastAsia" w:ascii="宋体" w:hAnsi="宋体" w:cs="宋体"/>
        </w:rPr>
      </w:pPr>
    </w:p>
    <w:p w14:paraId="3C0AE106">
      <w:pPr>
        <w:spacing w:line="360" w:lineRule="auto"/>
        <w:rPr>
          <w:rFonts w:hint="eastAsia" w:ascii="宋体" w:hAnsi="宋体" w:cs="宋体"/>
        </w:rPr>
      </w:pPr>
    </w:p>
    <w:p w14:paraId="086771EF">
      <w:pPr>
        <w:spacing w:line="360" w:lineRule="auto"/>
        <w:rPr>
          <w:rFonts w:hint="eastAsia" w:ascii="宋体" w:hAnsi="宋体" w:cs="宋体"/>
        </w:rPr>
      </w:pPr>
    </w:p>
    <w:p w14:paraId="038A8DA2">
      <w:pPr>
        <w:spacing w:line="360" w:lineRule="auto"/>
        <w:rPr>
          <w:rFonts w:hint="eastAsia" w:ascii="宋体" w:hAnsi="宋体" w:cs="宋体"/>
        </w:rPr>
      </w:pPr>
    </w:p>
    <w:p w14:paraId="10B277EB">
      <w:pPr>
        <w:spacing w:line="360" w:lineRule="auto"/>
        <w:rPr>
          <w:rFonts w:hint="eastAsia" w:ascii="宋体" w:hAnsi="宋体" w:cs="宋体"/>
        </w:rPr>
      </w:pPr>
    </w:p>
    <w:p w14:paraId="3E12759A">
      <w:pPr>
        <w:spacing w:line="360" w:lineRule="auto"/>
        <w:rPr>
          <w:rFonts w:hint="eastAsia" w:ascii="宋体" w:hAnsi="宋体" w:cs="宋体"/>
        </w:rPr>
      </w:pPr>
    </w:p>
    <w:p w14:paraId="75682EFB">
      <w:pPr>
        <w:spacing w:line="360" w:lineRule="auto"/>
        <w:rPr>
          <w:rFonts w:hint="eastAsia" w:ascii="宋体" w:hAnsi="宋体" w:cs="宋体"/>
        </w:rPr>
      </w:pPr>
    </w:p>
    <w:p w14:paraId="38DF36B0">
      <w:pPr>
        <w:spacing w:line="360" w:lineRule="auto"/>
        <w:rPr>
          <w:rFonts w:hint="eastAsia" w:ascii="宋体" w:hAnsi="宋体" w:cs="宋体"/>
        </w:rPr>
      </w:pPr>
    </w:p>
    <w:p w14:paraId="5B1C36DF">
      <w:pPr>
        <w:spacing w:line="360" w:lineRule="auto"/>
        <w:rPr>
          <w:rFonts w:hint="eastAsia" w:ascii="宋体" w:hAnsi="宋体" w:cs="宋体"/>
        </w:rPr>
      </w:pPr>
    </w:p>
    <w:p w14:paraId="64720132">
      <w:pPr>
        <w:spacing w:line="360" w:lineRule="auto"/>
        <w:rPr>
          <w:rFonts w:hint="eastAsia" w:ascii="宋体" w:hAnsi="宋体" w:cs="宋体"/>
        </w:rPr>
      </w:pPr>
    </w:p>
    <w:p w14:paraId="04A4C27E">
      <w:pPr>
        <w:spacing w:line="360" w:lineRule="auto"/>
        <w:jc w:val="center"/>
        <w:outlineLvl w:val="0"/>
        <w:rPr>
          <w:rFonts w:hint="eastAsia" w:ascii="宋体" w:hAnsi="宋体" w:cs="宋体"/>
        </w:rPr>
      </w:pPr>
      <w:bookmarkStart w:id="3" w:name="_Toc21741"/>
      <w:bookmarkStart w:id="4" w:name="_Toc26823"/>
      <w:r>
        <w:rPr>
          <w:rFonts w:hint="eastAsia" w:ascii="宋体" w:hAnsi="宋体" w:cs="宋体"/>
        </w:rPr>
        <w:t>清华大学核能与新能源技术研究研究</w:t>
      </w:r>
      <w:bookmarkEnd w:id="3"/>
      <w:bookmarkEnd w:id="4"/>
    </w:p>
    <w:p w14:paraId="012D4E1A">
      <w:pPr>
        <w:spacing w:line="360" w:lineRule="auto"/>
        <w:jc w:val="center"/>
        <w:rPr>
          <w:rFonts w:hint="eastAsia" w:ascii="宋体" w:hAnsi="宋体" w:cs="宋体"/>
        </w:rPr>
        <w:sectPr>
          <w:headerReference r:id="rId5" w:type="first"/>
          <w:footerReference r:id="rId8" w:type="first"/>
          <w:headerReference r:id="rId3" w:type="default"/>
          <w:footerReference r:id="rId6" w:type="default"/>
          <w:headerReference r:id="rId4" w:type="even"/>
          <w:footerReference r:id="rId7" w:type="even"/>
          <w:pgSz w:w="11906" w:h="16838"/>
          <w:pgMar w:top="1985" w:right="1134" w:bottom="1418" w:left="1701" w:header="851" w:footer="992" w:gutter="0"/>
          <w:cols w:space="425" w:num="1"/>
          <w:docGrid w:linePitch="312" w:charSpace="0"/>
        </w:sectPr>
      </w:pPr>
      <w:r>
        <w:rPr>
          <w:rFonts w:hint="eastAsia" w:ascii="宋体" w:hAnsi="宋体" w:cs="宋体"/>
        </w:rPr>
        <w:t>2026年</w:t>
      </w:r>
      <w:r>
        <w:rPr>
          <w:rFonts w:hint="eastAsia" w:ascii="宋体" w:hAnsi="宋体" w:cs="宋体"/>
          <w:lang w:val="en-US" w:eastAsia="zh-CN"/>
        </w:rPr>
        <w:t>5</w:t>
      </w:r>
      <w:r>
        <w:rPr>
          <w:rFonts w:hint="eastAsia" w:ascii="宋体" w:hAnsi="宋体" w:cs="宋体"/>
        </w:rPr>
        <w:t>月</w:t>
      </w:r>
    </w:p>
    <w:p w14:paraId="744F0129">
      <w:pPr>
        <w:pStyle w:val="4"/>
        <w:tabs>
          <w:tab w:val="left" w:pos="720"/>
        </w:tabs>
        <w:rPr>
          <w:rFonts w:hint="eastAsia" w:hAnsi="宋体" w:cs="宋体"/>
          <w:color w:val="000000"/>
          <w:u w:val="none"/>
        </w:rPr>
      </w:pPr>
      <w:bookmarkStart w:id="5" w:name="_Toc88839303"/>
      <w:r>
        <w:rPr>
          <w:rFonts w:hint="eastAsia" w:hAnsi="宋体" w:cs="宋体"/>
          <w:color w:val="000000"/>
          <w:u w:val="none"/>
        </w:rPr>
        <w:t>1</w:t>
      </w:r>
      <w:bookmarkEnd w:id="5"/>
      <w:r>
        <w:rPr>
          <w:rFonts w:hint="eastAsia" w:hAnsi="宋体" w:cs="宋体"/>
          <w:color w:val="000000"/>
          <w:u w:val="none"/>
        </w:rPr>
        <w:t>．总则</w:t>
      </w:r>
    </w:p>
    <w:p w14:paraId="16DF6EE9">
      <w:pPr>
        <w:spacing w:line="360" w:lineRule="auto"/>
        <w:ind w:firstLine="480" w:firstLineChars="200"/>
        <w:rPr>
          <w:rFonts w:hint="eastAsia" w:ascii="宋体" w:hAnsi="宋体" w:cs="宋体"/>
          <w:color w:val="000000"/>
          <w:sz w:val="24"/>
        </w:rPr>
      </w:pPr>
      <w:bookmarkStart w:id="6" w:name="_Toc88839304"/>
      <w:r>
        <w:rPr>
          <w:rFonts w:hint="eastAsia" w:ascii="宋体" w:hAnsi="宋体" w:cs="宋体"/>
          <w:color w:val="000000"/>
          <w:sz w:val="24"/>
        </w:rPr>
        <w:t>本技术规格书对清华大学屏蔽实验反应堆（901堆）</w:t>
      </w:r>
      <w:r>
        <w:rPr>
          <w:rFonts w:hint="eastAsia" w:ascii="宋体" w:hAnsi="宋体" w:cs="宋体"/>
          <w:sz w:val="24"/>
          <w:szCs w:val="21"/>
        </w:rPr>
        <w:t>分布式γ核素与剂量率监测装置（以下简称装置）</w:t>
      </w:r>
      <w:r>
        <w:rPr>
          <w:rFonts w:hint="eastAsia" w:ascii="宋体" w:hAnsi="宋体" w:cs="宋体"/>
          <w:color w:val="000000"/>
          <w:sz w:val="24"/>
        </w:rPr>
        <w:t>提出了</w:t>
      </w:r>
      <w:r>
        <w:rPr>
          <w:rFonts w:hint="eastAsia" w:ascii="宋体" w:hAnsi="宋体" w:cs="宋体"/>
          <w:sz w:val="24"/>
        </w:rPr>
        <w:t>供货范围、标准规范、技术要求、验收</w:t>
      </w:r>
      <w:r>
        <w:rPr>
          <w:rFonts w:hint="eastAsia" w:ascii="宋体" w:hAnsi="宋体" w:cs="宋体"/>
          <w:color w:val="000000"/>
          <w:sz w:val="24"/>
        </w:rPr>
        <w:t>等方面的要求，并规定了供应商的职责，作为</w:t>
      </w:r>
      <w:r>
        <w:rPr>
          <w:rFonts w:hint="eastAsia" w:ascii="宋体" w:hAnsi="宋体" w:cs="宋体"/>
          <w:sz w:val="24"/>
          <w:szCs w:val="21"/>
        </w:rPr>
        <w:t>装置采购合同的附件。</w:t>
      </w:r>
    </w:p>
    <w:p w14:paraId="797BDE03">
      <w:pPr>
        <w:spacing w:line="360" w:lineRule="auto"/>
        <w:ind w:firstLine="480" w:firstLineChars="200"/>
        <w:rPr>
          <w:rFonts w:hint="eastAsia" w:ascii="宋体" w:hAnsi="宋体" w:cs="宋体"/>
          <w:sz w:val="24"/>
          <w:szCs w:val="21"/>
        </w:rPr>
      </w:pPr>
      <w:r>
        <w:rPr>
          <w:rFonts w:hint="eastAsia" w:ascii="宋体" w:hAnsi="宋体" w:cs="宋体"/>
          <w:sz w:val="24"/>
          <w:szCs w:val="21"/>
        </w:rPr>
        <w:t>本技术规格书提出的是最低限度的要求，并未对所有技术细节做出规定，也未完全陈述与之有关的所有规范和标准。</w:t>
      </w:r>
      <w:r>
        <w:rPr>
          <w:rFonts w:hint="eastAsia" w:ascii="宋体" w:hAnsi="宋体" w:cs="宋体"/>
          <w:color w:val="000000"/>
          <w:sz w:val="24"/>
        </w:rPr>
        <w:t>除满足本技术规格书的要求外，供应商提供的设备还应满足其他未列出的有关国家法规、标准、行业标准规范</w:t>
      </w:r>
      <w:r>
        <w:rPr>
          <w:rFonts w:hint="eastAsia" w:ascii="宋体" w:hAnsi="宋体" w:cs="宋体"/>
          <w:sz w:val="24"/>
          <w:szCs w:val="21"/>
        </w:rPr>
        <w:t>。</w:t>
      </w:r>
    </w:p>
    <w:p w14:paraId="79281A73">
      <w:pPr>
        <w:pStyle w:val="4"/>
        <w:tabs>
          <w:tab w:val="left" w:pos="720"/>
        </w:tabs>
        <w:rPr>
          <w:rFonts w:hint="eastAsia" w:hAnsi="宋体" w:cs="宋体"/>
          <w:color w:val="000000"/>
          <w:u w:val="none"/>
        </w:rPr>
      </w:pPr>
      <w:r>
        <w:rPr>
          <w:rFonts w:hint="eastAsia" w:hAnsi="宋体" w:cs="宋体"/>
          <w:color w:val="000000"/>
          <w:u w:val="none"/>
        </w:rPr>
        <w:t>2．执行的相关标准、规范</w:t>
      </w:r>
    </w:p>
    <w:p w14:paraId="7AD87C7F">
      <w:pPr>
        <w:spacing w:line="360" w:lineRule="auto"/>
        <w:ind w:firstLine="480" w:firstLineChars="200"/>
        <w:rPr>
          <w:rFonts w:hint="eastAsia" w:ascii="宋体" w:hAnsi="宋体" w:cs="宋体"/>
          <w:color w:val="000000"/>
          <w:position w:val="-20"/>
          <w:sz w:val="24"/>
        </w:rPr>
      </w:pPr>
      <w:r>
        <w:rPr>
          <w:rFonts w:hint="eastAsia" w:ascii="宋体" w:hAnsi="宋体" w:cs="宋体"/>
          <w:color w:val="000000"/>
          <w:position w:val="-20"/>
          <w:sz w:val="24"/>
        </w:rPr>
        <w:t>《核仪器和核辐射探测器质量检验规则》（GB/T 10257-2001）；</w:t>
      </w:r>
    </w:p>
    <w:p w14:paraId="5E2D0B45">
      <w:pPr>
        <w:spacing w:line="360" w:lineRule="auto"/>
        <w:ind w:firstLine="480" w:firstLineChars="200"/>
        <w:rPr>
          <w:rFonts w:hint="eastAsia" w:ascii="宋体" w:hAnsi="宋体" w:cs="宋体"/>
          <w:color w:val="000000"/>
          <w:position w:val="-20"/>
          <w:sz w:val="24"/>
        </w:rPr>
      </w:pPr>
      <w:r>
        <w:rPr>
          <w:rFonts w:hint="eastAsia" w:ascii="宋体" w:hAnsi="宋体" w:cs="宋体"/>
          <w:color w:val="000000"/>
          <w:position w:val="-20"/>
          <w:sz w:val="24"/>
        </w:rPr>
        <w:t>《电离辐射防护与辐射源安全基本标准》（GB 18871-2002）；</w:t>
      </w:r>
    </w:p>
    <w:p w14:paraId="386BC565">
      <w:pPr>
        <w:spacing w:line="360" w:lineRule="auto"/>
        <w:ind w:firstLine="480" w:firstLineChars="200"/>
        <w:rPr>
          <w:rFonts w:ascii="宋体" w:hAnsi="宋体" w:cs="宋体"/>
          <w:color w:val="000000"/>
          <w:position w:val="-20"/>
          <w:sz w:val="24"/>
        </w:rPr>
      </w:pPr>
      <w:r>
        <w:rPr>
          <w:rFonts w:hint="eastAsia" w:ascii="宋体" w:hAnsi="宋体" w:cs="宋体"/>
          <w:color w:val="000000"/>
          <w:position w:val="-20"/>
          <w:sz w:val="24"/>
        </w:rPr>
        <w:t>《核辐射探测器环境条件与试验方法》（GB/T 10263-2006）。</w:t>
      </w:r>
    </w:p>
    <w:p w14:paraId="1FC751DC">
      <w:pPr>
        <w:pStyle w:val="4"/>
        <w:tabs>
          <w:tab w:val="left" w:pos="720"/>
        </w:tabs>
        <w:rPr>
          <w:rFonts w:hint="eastAsia" w:hAnsi="宋体" w:cs="宋体"/>
          <w:color w:val="000000"/>
          <w:u w:val="none"/>
        </w:rPr>
      </w:pPr>
      <w:r>
        <w:rPr>
          <w:rFonts w:hint="eastAsia" w:hAnsi="宋体" w:cs="宋体"/>
          <w:color w:val="000000"/>
          <w:u w:val="none"/>
        </w:rPr>
        <w:t>3．功能要求</w:t>
      </w:r>
    </w:p>
    <w:p w14:paraId="4CF85260">
      <w:pPr>
        <w:spacing w:line="360" w:lineRule="auto"/>
        <w:ind w:firstLine="480" w:firstLineChars="200"/>
        <w:rPr>
          <w:color w:val="000000"/>
          <w:sz w:val="24"/>
        </w:rPr>
      </w:pPr>
      <w:r>
        <w:rPr>
          <w:rFonts w:hint="eastAsia"/>
          <w:color w:val="000000"/>
          <w:sz w:val="24"/>
        </w:rPr>
        <w:t>装置主要由能谱型辐射监测仪、通讯终端构成；通讯终端配有辐射探测预警软件。辐射监测仪主要用于实现能谱数据的实时获取，通过通讯模块将能谱信息实时传输至通讯终端，实现数据实时采集和管理，利用</w:t>
      </w:r>
      <w:r>
        <w:rPr>
          <w:rFonts w:hint="eastAsia"/>
          <w:sz w:val="24"/>
          <w:szCs w:val="21"/>
        </w:rPr>
        <w:t>地理信息系统</w:t>
      </w:r>
      <w:r>
        <w:rPr>
          <w:rFonts w:hint="eastAsia"/>
          <w:color w:val="000000"/>
          <w:sz w:val="24"/>
        </w:rPr>
        <w:t>实现辐射监测热点位置的信息展示等功能。</w:t>
      </w:r>
    </w:p>
    <w:bookmarkEnd w:id="6"/>
    <w:p w14:paraId="53A5C774">
      <w:pPr>
        <w:pStyle w:val="4"/>
        <w:tabs>
          <w:tab w:val="left" w:pos="720"/>
        </w:tabs>
        <w:rPr>
          <w:rFonts w:hint="eastAsia" w:hAnsi="宋体" w:cs="宋体"/>
          <w:color w:val="000000"/>
          <w:u w:val="none"/>
        </w:rPr>
      </w:pPr>
      <w:bookmarkStart w:id="7" w:name="_Toc88839306"/>
      <w:r>
        <w:rPr>
          <w:rFonts w:hint="eastAsia" w:hAnsi="宋体" w:cs="宋体"/>
          <w:color w:val="000000"/>
          <w:u w:val="none"/>
        </w:rPr>
        <w:t>4．技</w:t>
      </w:r>
      <w:bookmarkEnd w:id="7"/>
      <w:r>
        <w:rPr>
          <w:rFonts w:hint="eastAsia" w:hAnsi="宋体" w:cs="宋体"/>
          <w:color w:val="000000"/>
          <w:u w:val="none"/>
        </w:rPr>
        <w:t>术要求</w:t>
      </w:r>
    </w:p>
    <w:p w14:paraId="406377FA">
      <w:pPr>
        <w:snapToGrid w:val="0"/>
        <w:spacing w:line="360" w:lineRule="auto"/>
        <w:ind w:firstLine="480" w:firstLineChars="200"/>
        <w:rPr>
          <w:rFonts w:hint="eastAsia" w:ascii="宋体" w:hAnsi="宋体" w:cs="宋体"/>
        </w:rPr>
      </w:pPr>
      <w:r>
        <w:rPr>
          <w:rFonts w:hint="eastAsia" w:ascii="宋体" w:hAnsi="宋体" w:cs="宋体"/>
          <w:color w:val="000000"/>
          <w:sz w:val="24"/>
        </w:rPr>
        <w:t>装置主要由能谱型辐射监测仪、通讯终端和配套软件构成。</w:t>
      </w:r>
    </w:p>
    <w:p w14:paraId="77AC120F">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4.1辐射监测仪主要指标</w:t>
      </w:r>
    </w:p>
    <w:p w14:paraId="6AE06A5B">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(1)辐射监测仪具备能谱数据的实时获取并传输至通讯终端的功能；</w:t>
      </w:r>
    </w:p>
    <w:p w14:paraId="5BB81CD4">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(2)能量范围覆盖30keV～3MeV；</w:t>
      </w:r>
    </w:p>
    <w:p w14:paraId="7CF68DA1">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(3)能量分辨率≤6.5%@ 662 keV（25℃）；</w:t>
      </w:r>
    </w:p>
    <w:p w14:paraId="61B32551">
      <w:pPr>
        <w:tabs>
          <w:tab w:val="left" w:pos="6510"/>
        </w:tabs>
        <w:spacing w:line="360" w:lineRule="auto"/>
        <w:ind w:firstLine="480" w:firstLineChars="200"/>
        <w:rPr>
          <w:rFonts w:hint="eastAsia" w:ascii="宋体" w:hAnsi="宋体" w:cs="宋体"/>
          <w:color w:val="000000"/>
          <w:sz w:val="24"/>
        </w:rPr>
      </w:pPr>
      <w:r>
        <w:rPr>
          <w:rFonts w:hint="eastAsia" w:ascii="宋体" w:hAnsi="宋体" w:cs="宋体"/>
          <w:color w:val="000000"/>
          <w:sz w:val="24"/>
        </w:rPr>
        <w:t>(4)续航时长≥12 h；</w:t>
      </w:r>
    </w:p>
    <w:p w14:paraId="0794D8C3">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(5)具备0.15μGy/h辐射增量下预警率≥90%，</w:t>
      </w:r>
      <w:r>
        <w:rPr>
          <w:rFonts w:ascii="宋体" w:hAnsi="宋体" w:cs="宋体"/>
          <w:color w:val="000000"/>
          <w:sz w:val="24"/>
        </w:rPr>
        <w:t>虚警率＜1次/10h</w:t>
      </w:r>
      <w:r>
        <w:rPr>
          <w:rFonts w:hint="eastAsia" w:ascii="宋体" w:hAnsi="宋体" w:cs="宋体"/>
          <w:color w:val="000000"/>
          <w:sz w:val="24"/>
        </w:rPr>
        <w:t>；</w:t>
      </w:r>
    </w:p>
    <w:p w14:paraId="5842116E">
      <w:pPr>
        <w:spacing w:line="360" w:lineRule="auto"/>
        <w:ind w:firstLine="480" w:firstLineChars="200"/>
        <w:rPr>
          <w:rFonts w:hint="eastAsia" w:ascii="宋体" w:hAnsi="宋体" w:cs="宋体"/>
          <w:b/>
          <w:bCs/>
          <w:color w:val="000000"/>
          <w:sz w:val="24"/>
        </w:rPr>
      </w:pPr>
      <w:r>
        <w:rPr>
          <w:rFonts w:hint="eastAsia" w:ascii="宋体" w:hAnsi="宋体" w:cs="宋体"/>
          <w:color w:val="000000"/>
          <w:sz w:val="24"/>
        </w:rPr>
        <w:t>(6)具备包括但不限于</w:t>
      </w:r>
      <w:r>
        <w:rPr>
          <w:rFonts w:hint="eastAsia" w:ascii="宋体" w:hAnsi="宋体" w:cs="宋体"/>
          <w:color w:val="000000"/>
          <w:sz w:val="24"/>
          <w:lang w:bidi="ar"/>
        </w:rPr>
        <w:t>碘-131、钴-60、铯-137、铱-192</w:t>
      </w:r>
      <w:r>
        <w:rPr>
          <w:rFonts w:hint="eastAsia" w:ascii="宋体" w:hAnsi="宋体" w:cs="宋体"/>
          <w:color w:val="000000"/>
          <w:sz w:val="24"/>
        </w:rPr>
        <w:t>等多种工业、医疗核素识别能力；</w:t>
      </w:r>
    </w:p>
    <w:p w14:paraId="3DC454AE">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(7)剂量率测量范围覆盖环境本底～50μSv</w:t>
      </w:r>
      <w:r>
        <w:rPr>
          <w:rFonts w:hint="eastAsia" w:ascii="宋体" w:hAnsi="宋体" w:cs="宋体"/>
          <w:color w:val="000000"/>
          <w:sz w:val="24"/>
          <w:lang w:val="en-US" w:eastAsia="zh-CN"/>
        </w:rPr>
        <w:t>/</w:t>
      </w:r>
      <w:r>
        <w:rPr>
          <w:rFonts w:hint="eastAsia" w:ascii="宋体" w:hAnsi="宋体" w:cs="宋体"/>
          <w:color w:val="000000"/>
          <w:sz w:val="24"/>
        </w:rPr>
        <w:t>h。</w:t>
      </w:r>
    </w:p>
    <w:p w14:paraId="2166DC43">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4.2通讯终端主要指标</w:t>
      </w:r>
    </w:p>
    <w:p w14:paraId="2990ACCB">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(1)通讯终端能够具备多台能谱型辐射监测仪同时接入功能，配合辐射探测预警软件完成数据采集和管理工作，并利用</w:t>
      </w:r>
      <w:r>
        <w:rPr>
          <w:rFonts w:hint="eastAsia" w:ascii="宋体" w:hAnsi="宋体" w:cs="宋体"/>
          <w:sz w:val="24"/>
          <w:szCs w:val="21"/>
        </w:rPr>
        <w:t>地理信息系统</w:t>
      </w:r>
      <w:r>
        <w:rPr>
          <w:rFonts w:hint="eastAsia" w:ascii="宋体" w:hAnsi="宋体" w:cs="宋体"/>
          <w:color w:val="000000"/>
          <w:sz w:val="24"/>
        </w:rPr>
        <w:t>实现辐射监测热点位置的信息展示等功能；</w:t>
      </w:r>
    </w:p>
    <w:p w14:paraId="65602508">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(2)通讯终端内存≥64GB(ROM)+4GB(RAM)，显示屏≥10.1英寸，分辨率≥1080P，支持多点触控、手套操作和湿手操作；</w:t>
      </w:r>
    </w:p>
    <w:p w14:paraId="245F12C4">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(3)电池容量≥10000mAh;</w:t>
      </w:r>
    </w:p>
    <w:p w14:paraId="1C8C9373">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(4)具备蓝牙/WiFi/4G通讯功能，支持扩展坞数据有线传输。</w:t>
      </w:r>
    </w:p>
    <w:p w14:paraId="65274118">
      <w:pPr>
        <w:pStyle w:val="4"/>
        <w:tabs>
          <w:tab w:val="left" w:pos="720"/>
        </w:tabs>
        <w:rPr>
          <w:rFonts w:hint="eastAsia" w:hAnsi="宋体" w:cs="宋体"/>
          <w:color w:val="000000"/>
          <w:u w:val="none"/>
        </w:rPr>
      </w:pPr>
      <w:r>
        <w:rPr>
          <w:rFonts w:hint="eastAsia" w:hAnsi="宋体" w:cs="宋体"/>
          <w:color w:val="000000"/>
          <w:u w:val="none"/>
        </w:rPr>
        <w:t>5．供货范围</w:t>
      </w:r>
    </w:p>
    <w:p w14:paraId="2DF93240">
      <w:pPr>
        <w:pStyle w:val="14"/>
        <w:adjustRightInd w:val="0"/>
        <w:snapToGrid w:val="0"/>
        <w:spacing w:line="460" w:lineRule="exact"/>
        <w:ind w:firstLine="480" w:firstLineChars="200"/>
        <w:jc w:val="left"/>
        <w:rPr>
          <w:rFonts w:hint="eastAsia" w:ascii="宋体" w:hAnsi="宋体" w:eastAsia="宋体" w:cs="宋体"/>
          <w:color w:val="000000"/>
          <w:sz w:val="24"/>
        </w:rPr>
      </w:pPr>
      <w:r>
        <w:rPr>
          <w:rFonts w:hint="eastAsia" w:ascii="宋体" w:hAnsi="宋体" w:eastAsia="宋体" w:cs="宋体"/>
          <w:sz w:val="24"/>
          <w:szCs w:val="21"/>
        </w:rPr>
        <w:t>供货范围包括供货内容和服务要求。</w:t>
      </w:r>
    </w:p>
    <w:p w14:paraId="4C0996BE">
      <w:pPr>
        <w:spacing w:line="360" w:lineRule="auto"/>
        <w:ind w:firstLine="480" w:firstLineChars="200"/>
        <w:rPr>
          <w:rFonts w:hint="eastAsia" w:ascii="宋体" w:hAnsi="宋体" w:cs="宋体"/>
          <w:sz w:val="24"/>
        </w:rPr>
      </w:pPr>
      <w:r>
        <w:rPr>
          <w:rFonts w:hint="eastAsia" w:ascii="宋体" w:hAnsi="宋体" w:cs="宋体"/>
          <w:color w:val="000000"/>
          <w:sz w:val="24"/>
        </w:rPr>
        <w:t>5.1供货内容</w:t>
      </w:r>
    </w:p>
    <w:p w14:paraId="26E8DA88">
      <w:pPr>
        <w:spacing w:line="360" w:lineRule="auto"/>
        <w:ind w:firstLine="480" w:firstLineChars="200"/>
        <w:rPr>
          <w:rFonts w:hint="eastAsia" w:ascii="宋体" w:hAnsi="宋体" w:cs="宋体"/>
          <w:sz w:val="24"/>
        </w:rPr>
      </w:pPr>
      <w:r>
        <w:rPr>
          <w:rFonts w:hint="eastAsia" w:ascii="宋体" w:hAnsi="宋体" w:cs="宋体"/>
          <w:sz w:val="24"/>
        </w:rPr>
        <w:t>装置供货共计2套，包括2台</w:t>
      </w:r>
      <w:r>
        <w:rPr>
          <w:rFonts w:hint="eastAsia" w:ascii="宋体" w:hAnsi="宋体" w:cs="宋体"/>
          <w:color w:val="000000"/>
          <w:sz w:val="24"/>
        </w:rPr>
        <w:t>能谱型辐射监测仪</w:t>
      </w:r>
      <w:r>
        <w:rPr>
          <w:rFonts w:hint="eastAsia" w:ascii="宋体" w:hAnsi="宋体" w:cs="宋体"/>
          <w:sz w:val="24"/>
        </w:rPr>
        <w:t>、2台通讯终端及配套软件。</w:t>
      </w:r>
    </w:p>
    <w:p w14:paraId="4E144F46">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5.2服务要求</w:t>
      </w:r>
    </w:p>
    <w:p w14:paraId="7C320F49">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供方提供的服务至少应包括以下内容：</w:t>
      </w:r>
    </w:p>
    <w:p w14:paraId="27816213">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(1)供应商负责装置在采购人现场的调试工作；</w:t>
      </w:r>
    </w:p>
    <w:p w14:paraId="299C44CD">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(2)供应商应派专业人员对采购人及装置的使用人进行培训，培训内容包括但不限于基本原理、软硬件操作、基本故障排查等方面的知识。</w:t>
      </w:r>
    </w:p>
    <w:p w14:paraId="6B083467">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5.3供货周期</w:t>
      </w:r>
    </w:p>
    <w:p w14:paraId="5625D801">
      <w:pPr>
        <w:spacing w:line="360" w:lineRule="auto"/>
        <w:ind w:firstLine="480" w:firstLineChars="200"/>
        <w:rPr>
          <w:rFonts w:ascii="宋体" w:hAnsi="宋体" w:cs="宋体"/>
          <w:color w:val="000000"/>
          <w:sz w:val="24"/>
        </w:rPr>
      </w:pPr>
      <w:r>
        <w:rPr>
          <w:rFonts w:hint="eastAsia" w:ascii="宋体" w:hAnsi="宋体" w:cs="宋体"/>
          <w:color w:val="000000"/>
          <w:sz w:val="24"/>
          <w:lang w:val="en-US" w:eastAsia="zh-CN"/>
        </w:rPr>
        <w:t>合同签订后供应商应在2026年7月30日前将设备运输到901堆现场</w:t>
      </w:r>
      <w:r>
        <w:rPr>
          <w:rFonts w:hint="eastAsia" w:ascii="宋体" w:hAnsi="宋体" w:cs="宋体"/>
          <w:color w:val="000000"/>
          <w:sz w:val="24"/>
        </w:rPr>
        <w:t>。</w:t>
      </w:r>
    </w:p>
    <w:p w14:paraId="44ACC409">
      <w:pPr>
        <w:pStyle w:val="4"/>
        <w:tabs>
          <w:tab w:val="left" w:pos="720"/>
        </w:tabs>
        <w:rPr>
          <w:rFonts w:hAnsi="宋体" w:cs="宋体"/>
          <w:color w:val="000000"/>
          <w:u w:val="none"/>
        </w:rPr>
      </w:pPr>
      <w:r>
        <w:rPr>
          <w:rFonts w:hint="eastAsia" w:hAnsi="宋体" w:cs="宋体"/>
          <w:color w:val="000000"/>
          <w:u w:val="none"/>
        </w:rPr>
        <w:t>6．</w:t>
      </w:r>
      <w:r>
        <w:rPr>
          <w:rFonts w:hAnsi="宋体" w:cs="宋体"/>
          <w:color w:val="000000"/>
          <w:u w:val="none"/>
        </w:rPr>
        <w:t>付款方式</w:t>
      </w:r>
    </w:p>
    <w:p w14:paraId="02C17233">
      <w:pPr>
        <w:pStyle w:val="23"/>
        <w:adjustRightInd w:val="0"/>
        <w:snapToGrid w:val="0"/>
        <w:spacing w:line="480" w:lineRule="exact"/>
        <w:ind w:left="420" w:firstLine="0" w:firstLineChars="0"/>
        <w:rPr>
          <w:bCs/>
          <w:szCs w:val="21"/>
        </w:rPr>
      </w:pPr>
      <w:r>
        <w:rPr>
          <w:rFonts w:hint="eastAsia"/>
          <w:bCs/>
          <w:szCs w:val="21"/>
        </w:rPr>
        <w:t>（1）合同生效后，在收到供应商增值税专用发票原件后20个日历日内，采购人向供应商支付合同价款的</w:t>
      </w:r>
      <w:r>
        <w:rPr>
          <w:bCs/>
          <w:szCs w:val="21"/>
          <w:u w:val="single"/>
        </w:rPr>
        <w:t>50%</w:t>
      </w:r>
      <w:r>
        <w:rPr>
          <w:rFonts w:hint="eastAsia"/>
          <w:bCs/>
          <w:szCs w:val="21"/>
        </w:rPr>
        <w:t>；</w:t>
      </w:r>
    </w:p>
    <w:p w14:paraId="5246CFB7">
      <w:pPr>
        <w:pStyle w:val="23"/>
        <w:adjustRightInd w:val="0"/>
        <w:snapToGrid w:val="0"/>
        <w:spacing w:line="480" w:lineRule="exact"/>
        <w:ind w:left="420" w:firstLine="0" w:firstLineChars="0"/>
        <w:rPr>
          <w:bCs/>
          <w:szCs w:val="21"/>
        </w:rPr>
      </w:pPr>
      <w:r>
        <w:rPr>
          <w:rFonts w:hint="eastAsia"/>
          <w:bCs/>
          <w:szCs w:val="21"/>
        </w:rPr>
        <w:t>（2）供应商完成标的货物生产、运输至采购人指定地点并交付采购人，采购人完成合同货物验收后，在收到供应商增值税专用发票原件后20个日历日内，采购人向供应商支付合同价款的</w:t>
      </w:r>
      <w:r>
        <w:rPr>
          <w:bCs/>
          <w:szCs w:val="21"/>
          <w:u w:val="single"/>
        </w:rPr>
        <w:t>50%</w:t>
      </w:r>
      <w:r>
        <w:rPr>
          <w:rFonts w:hint="eastAsia"/>
          <w:bCs/>
          <w:szCs w:val="21"/>
        </w:rPr>
        <w:t>。</w:t>
      </w:r>
    </w:p>
    <w:p w14:paraId="29DEBD74">
      <w:pPr>
        <w:adjustRightInd w:val="0"/>
        <w:snapToGrid w:val="0"/>
        <w:spacing w:before="156" w:beforeLines="50" w:after="156" w:afterLines="50" w:line="360" w:lineRule="exact"/>
        <w:rPr>
          <w:rFonts w:hint="eastAsia"/>
          <w:b/>
          <w:szCs w:val="21"/>
        </w:rPr>
      </w:pPr>
    </w:p>
    <w:p w14:paraId="6EF4E95C">
      <w:pPr>
        <w:pStyle w:val="4"/>
        <w:tabs>
          <w:tab w:val="left" w:pos="720"/>
        </w:tabs>
        <w:rPr>
          <w:rFonts w:hint="eastAsia" w:hAnsi="宋体" w:cs="宋体"/>
          <w:color w:val="000000"/>
          <w:u w:val="none"/>
        </w:rPr>
      </w:pPr>
      <w:r>
        <w:rPr>
          <w:rFonts w:hint="eastAsia" w:hAnsi="宋体" w:cs="宋体"/>
          <w:color w:val="000000"/>
          <w:u w:val="none"/>
        </w:rPr>
        <w:t>7．质量保证</w:t>
      </w:r>
    </w:p>
    <w:p w14:paraId="3F245CE1">
      <w:pPr>
        <w:spacing w:line="360" w:lineRule="auto"/>
        <w:ind w:firstLine="480" w:firstLineChars="200"/>
        <w:rPr>
          <w:rFonts w:ascii="宋体" w:hAnsi="宋体" w:cs="宋体"/>
          <w:color w:val="000000"/>
          <w:sz w:val="24"/>
        </w:rPr>
      </w:pPr>
      <w:r>
        <w:rPr>
          <w:rFonts w:hint="eastAsia" w:ascii="宋体" w:hAnsi="宋体" w:cs="宋体"/>
          <w:color w:val="000000"/>
          <w:sz w:val="24"/>
        </w:rPr>
        <w:t>(1)质保等级为QNC；</w:t>
      </w:r>
    </w:p>
    <w:p w14:paraId="2A3BB67B">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(2)质保期1年，自自签署验收意见之日起计算；</w:t>
      </w:r>
    </w:p>
    <w:p w14:paraId="1D003B2C">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(3)质保期内设备发生非人为故障或、软件功能异常，供应商应负责妥善解决，包括但不限于根据采购方的需要到现场维修或免费更换；</w:t>
      </w:r>
    </w:p>
    <w:p w14:paraId="3912AF28">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(4)在质量保证期内设备出现故障，供货商应在采购人规定的期限内对相关货物进行维修或更换以消除故障。供货商应在收到采购人通知后24小时内作出响应，如需供货商到现场，供货商应在收到采购人通知后48小时内到达，并在到达后2日内解决货物的故障（重大故障除外）。如果供货商未在上述时间内作出响应，则采购人有权自行或委托他人解决相关问题或查找和解决标的货物的故障，供货商应承担由此发生的全部费用。</w:t>
      </w:r>
    </w:p>
    <w:p w14:paraId="7D7B76EE">
      <w:pPr>
        <w:pStyle w:val="4"/>
        <w:tabs>
          <w:tab w:val="left" w:pos="720"/>
        </w:tabs>
        <w:rPr>
          <w:rFonts w:hint="eastAsia" w:hAnsi="宋体" w:cs="宋体"/>
          <w:color w:val="000000"/>
          <w:u w:val="none"/>
        </w:rPr>
      </w:pPr>
      <w:r>
        <w:rPr>
          <w:rFonts w:hint="eastAsia" w:hAnsi="宋体" w:cs="宋体"/>
          <w:color w:val="000000"/>
          <w:u w:val="none"/>
        </w:rPr>
        <w:t>8．</w:t>
      </w:r>
      <w:bookmarkStart w:id="8" w:name="_Toc26157"/>
      <w:bookmarkStart w:id="9" w:name="_Toc26309"/>
      <w:bookmarkStart w:id="10" w:name="_Toc94043621"/>
      <w:bookmarkStart w:id="11" w:name="_Toc94043429"/>
      <w:bookmarkStart w:id="12" w:name="_Toc94042343"/>
      <w:bookmarkStart w:id="13" w:name="_Toc94042219"/>
      <w:bookmarkStart w:id="14" w:name="_Toc94043470"/>
      <w:bookmarkStart w:id="15" w:name="_Toc102913627"/>
      <w:r>
        <w:rPr>
          <w:rFonts w:hint="eastAsia" w:hAnsi="宋体" w:cs="宋体"/>
          <w:color w:val="000000"/>
          <w:u w:val="none"/>
        </w:rPr>
        <w:t>文档要求</w:t>
      </w:r>
      <w:bookmarkEnd w:id="8"/>
      <w:bookmarkEnd w:id="9"/>
    </w:p>
    <w:p w14:paraId="7BEE8CF4">
      <w:pPr>
        <w:spacing w:line="360" w:lineRule="auto"/>
        <w:ind w:firstLine="480" w:firstLineChars="200"/>
        <w:rPr>
          <w:rFonts w:hint="eastAsia" w:ascii="宋体" w:hAnsi="宋体" w:cs="宋体"/>
          <w:color w:val="000000"/>
          <w:position w:val="-20"/>
          <w:sz w:val="24"/>
        </w:rPr>
      </w:pPr>
      <w:r>
        <w:rPr>
          <w:rFonts w:hint="eastAsia" w:ascii="宋体" w:hAnsi="宋体" w:cs="宋体"/>
          <w:color w:val="000000"/>
          <w:position w:val="-20"/>
          <w:sz w:val="24"/>
        </w:rPr>
        <w:t>交货时应至少提交以下文档：</w:t>
      </w:r>
    </w:p>
    <w:p w14:paraId="4CEB8C8A">
      <w:pPr>
        <w:spacing w:line="360" w:lineRule="auto"/>
        <w:ind w:firstLine="480" w:firstLineChars="200"/>
        <w:rPr>
          <w:rFonts w:hint="eastAsia" w:ascii="宋体" w:hAnsi="宋体" w:cs="宋体"/>
          <w:color w:val="000000"/>
          <w:position w:val="-20"/>
          <w:sz w:val="24"/>
        </w:rPr>
      </w:pPr>
      <w:r>
        <w:rPr>
          <w:rFonts w:hint="eastAsia" w:ascii="宋体" w:hAnsi="宋体" w:cs="宋体"/>
          <w:color w:val="000000"/>
          <w:position w:val="-20"/>
          <w:sz w:val="24"/>
        </w:rPr>
        <w:t>1)</w:t>
      </w:r>
      <w:r>
        <w:rPr>
          <w:rFonts w:hint="eastAsia" w:ascii="宋体" w:hAnsi="宋体" w:cs="宋体"/>
          <w:color w:val="000000"/>
          <w:position w:val="-20"/>
          <w:sz w:val="24"/>
        </w:rPr>
        <w:tab/>
      </w:r>
      <w:r>
        <w:rPr>
          <w:rFonts w:hint="eastAsia" w:ascii="宋体" w:hAnsi="宋体" w:cs="宋体"/>
          <w:color w:val="000000"/>
          <w:position w:val="-20"/>
          <w:sz w:val="24"/>
        </w:rPr>
        <w:t>中文版使用手册；</w:t>
      </w:r>
    </w:p>
    <w:p w14:paraId="457848F2">
      <w:pPr>
        <w:spacing w:line="360" w:lineRule="auto"/>
        <w:ind w:firstLine="480" w:firstLineChars="200"/>
        <w:rPr>
          <w:rFonts w:hint="eastAsia" w:ascii="宋体" w:hAnsi="宋体" w:cs="宋体"/>
          <w:color w:val="000000"/>
          <w:position w:val="-20"/>
          <w:sz w:val="24"/>
        </w:rPr>
      </w:pPr>
      <w:r>
        <w:rPr>
          <w:rFonts w:hint="eastAsia" w:ascii="宋体" w:hAnsi="宋体" w:cs="宋体"/>
          <w:color w:val="000000"/>
          <w:position w:val="-20"/>
          <w:sz w:val="24"/>
        </w:rPr>
        <w:t>2)</w:t>
      </w:r>
      <w:r>
        <w:rPr>
          <w:rFonts w:hint="eastAsia" w:ascii="宋体" w:hAnsi="宋体" w:cs="宋体"/>
          <w:color w:val="000000"/>
          <w:position w:val="-20"/>
          <w:sz w:val="24"/>
        </w:rPr>
        <w:tab/>
      </w:r>
      <w:bookmarkEnd w:id="10"/>
      <w:bookmarkEnd w:id="11"/>
      <w:bookmarkEnd w:id="12"/>
      <w:bookmarkEnd w:id="13"/>
      <w:bookmarkEnd w:id="14"/>
      <w:bookmarkEnd w:id="15"/>
      <w:bookmarkStart w:id="16" w:name="_GoBack"/>
      <w:bookmarkEnd w:id="16"/>
      <w:r>
        <w:rPr>
          <w:rFonts w:hint="eastAsia" w:ascii="宋体" w:hAnsi="宋体" w:cs="宋体"/>
          <w:color w:val="000000"/>
          <w:position w:val="-20"/>
          <w:sz w:val="24"/>
        </w:rPr>
        <w:t>合格证。</w:t>
      </w:r>
    </w:p>
    <w:p w14:paraId="4263D7A7">
      <w:pPr>
        <w:pStyle w:val="4"/>
        <w:tabs>
          <w:tab w:val="left" w:pos="720"/>
        </w:tabs>
        <w:rPr>
          <w:rFonts w:hint="eastAsia" w:hAnsi="宋体" w:cs="宋体"/>
          <w:color w:val="000000"/>
          <w:u w:val="none"/>
        </w:rPr>
      </w:pPr>
      <w:r>
        <w:rPr>
          <w:rFonts w:hint="eastAsia" w:hAnsi="宋体" w:cs="宋体"/>
          <w:color w:val="000000"/>
          <w:u w:val="none"/>
        </w:rPr>
        <w:t>9．验收</w:t>
      </w:r>
    </w:p>
    <w:p w14:paraId="023ADD07">
      <w:pPr>
        <w:spacing w:line="360" w:lineRule="auto"/>
        <w:ind w:firstLine="480" w:firstLineChars="200"/>
        <w:rPr>
          <w:rFonts w:hint="eastAsia" w:ascii="宋体" w:hAnsi="宋体" w:cs="宋体"/>
          <w:color w:val="000000"/>
          <w:position w:val="-20"/>
          <w:sz w:val="24"/>
        </w:rPr>
      </w:pPr>
      <w:r>
        <w:rPr>
          <w:rFonts w:hint="eastAsia" w:ascii="宋体" w:hAnsi="宋体" w:cs="宋体"/>
          <w:color w:val="000000"/>
          <w:position w:val="-20"/>
          <w:sz w:val="24"/>
        </w:rPr>
        <w:t>8.1验收地点</w:t>
      </w:r>
    </w:p>
    <w:p w14:paraId="4781EA76">
      <w:pPr>
        <w:spacing w:line="360" w:lineRule="auto"/>
        <w:ind w:firstLine="480" w:firstLineChars="200"/>
        <w:rPr>
          <w:rFonts w:hint="eastAsia" w:ascii="宋体" w:hAnsi="宋体" w:cs="宋体"/>
          <w:color w:val="000000"/>
          <w:position w:val="-20"/>
          <w:sz w:val="24"/>
        </w:rPr>
      </w:pPr>
      <w:r>
        <w:rPr>
          <w:rFonts w:hint="eastAsia" w:ascii="宋体" w:hAnsi="宋体" w:cs="宋体"/>
          <w:color w:val="000000"/>
          <w:position w:val="-20"/>
          <w:sz w:val="24"/>
        </w:rPr>
        <w:t>北京市昌平区清华大学核能与新能源技术研究院。</w:t>
      </w:r>
    </w:p>
    <w:p w14:paraId="019F2BF2">
      <w:pPr>
        <w:spacing w:line="360" w:lineRule="auto"/>
        <w:ind w:firstLine="480" w:firstLineChars="200"/>
        <w:rPr>
          <w:rFonts w:hint="eastAsia" w:ascii="宋体" w:hAnsi="宋体" w:cs="宋体"/>
          <w:color w:val="000000"/>
          <w:position w:val="-20"/>
          <w:sz w:val="24"/>
        </w:rPr>
      </w:pPr>
      <w:r>
        <w:rPr>
          <w:rFonts w:hint="eastAsia" w:ascii="宋体" w:hAnsi="宋体" w:cs="宋体"/>
          <w:color w:val="000000"/>
          <w:position w:val="-20"/>
          <w:sz w:val="24"/>
        </w:rPr>
        <w:t>8.2验收方式</w:t>
      </w:r>
    </w:p>
    <w:p w14:paraId="354095C1">
      <w:pPr>
        <w:pStyle w:val="15"/>
        <w:adjustRightInd w:val="0"/>
        <w:spacing w:line="360" w:lineRule="auto"/>
        <w:ind w:firstLine="480" w:firstLineChars="200"/>
        <w:rPr>
          <w:rFonts w:hint="eastAsia" w:ascii="宋体" w:hAnsi="宋体" w:cs="宋体"/>
          <w:color w:val="000000"/>
          <w:kern w:val="0"/>
          <w:sz w:val="24"/>
          <w:szCs w:val="20"/>
        </w:rPr>
      </w:pPr>
      <w:r>
        <w:rPr>
          <w:rFonts w:hint="eastAsia" w:ascii="宋体" w:hAnsi="宋体" w:cs="宋体"/>
          <w:color w:val="000000"/>
          <w:kern w:val="0"/>
          <w:sz w:val="24"/>
          <w:szCs w:val="20"/>
        </w:rPr>
        <w:t>装置配置齐全，文件资料齐整，在采购人现场完成调试且性能指标满足采购本技术规格书要求，采购人和供应商共同签署验收意见。</w:t>
      </w:r>
    </w:p>
    <w:p w14:paraId="1F6D5E32">
      <w:pPr>
        <w:pStyle w:val="15"/>
        <w:adjustRightInd w:val="0"/>
        <w:spacing w:line="360" w:lineRule="auto"/>
        <w:rPr>
          <w:rFonts w:hint="eastAsia" w:ascii="宋体" w:hAnsi="宋体" w:cs="宋体"/>
          <w:color w:val="000000"/>
          <w:position w:val="-2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D1D00">
    <w:pPr>
      <w:pStyle w:val="7"/>
      <w:ind w:firstLine="360"/>
      <w:jc w:val="center"/>
    </w:pPr>
    <w:sdt>
      <w:sdtPr>
        <w:id w:val="-1"/>
        <w:showingPlcHdr/>
      </w:sdtPr>
      <w:sdtContent>
        <w:r>
          <w:rPr>
            <w:rFonts w:hint="eastAsia"/>
          </w:rPr>
          <w:t xml:space="preserve">     </w:t>
        </w:r>
      </w:sdtContent>
    </w:sdt>
  </w:p>
  <w:p w14:paraId="540E6A8E">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A4E6A">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E283C">
    <w:pPr>
      <w:pStyle w:val="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275A4">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1B58A">
    <w:pPr>
      <w:pStyle w:val="8"/>
      <w:ind w:firstLine="360"/>
    </w:pPr>
    <w:r>
      <w:pict>
        <v:shape id="PowerPlusWaterMarkObject612789641" o:spid="_x0000_s3074" o:spt="136" type="#_x0000_t136" style="position:absolute;left:0pt;height:30pt;width:16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DEPP2025002" style="font-family:宋体;font-size:30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67D6C">
    <w:pPr>
      <w:pStyle w:val="8"/>
      <w:ind w:firstLine="360"/>
    </w:pPr>
    <w:r>
      <w:pict>
        <v:shape id="PowerPlusWaterMarkObject612789640" o:spid="_x0000_s3073" o:spt="136" type="#_x0000_t136" style="position:absolute;left:0pt;height:30pt;width:16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DEPP2025002" style="font-family:宋体;font-size:30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6D58E8"/>
    <w:rsid w:val="000A572E"/>
    <w:rsid w:val="000E171A"/>
    <w:rsid w:val="0015288D"/>
    <w:rsid w:val="0017299F"/>
    <w:rsid w:val="00195565"/>
    <w:rsid w:val="001E440F"/>
    <w:rsid w:val="00244A0C"/>
    <w:rsid w:val="0029057B"/>
    <w:rsid w:val="004816A6"/>
    <w:rsid w:val="00537BFF"/>
    <w:rsid w:val="005B17F9"/>
    <w:rsid w:val="005B50E8"/>
    <w:rsid w:val="006212AC"/>
    <w:rsid w:val="007A7D9F"/>
    <w:rsid w:val="007B5E44"/>
    <w:rsid w:val="007D6132"/>
    <w:rsid w:val="007F46CE"/>
    <w:rsid w:val="009057C5"/>
    <w:rsid w:val="0092755A"/>
    <w:rsid w:val="00933121"/>
    <w:rsid w:val="00943E6D"/>
    <w:rsid w:val="009451D5"/>
    <w:rsid w:val="00973FF6"/>
    <w:rsid w:val="009E37D4"/>
    <w:rsid w:val="00A977B0"/>
    <w:rsid w:val="00B94AD0"/>
    <w:rsid w:val="00C4523A"/>
    <w:rsid w:val="00C55F20"/>
    <w:rsid w:val="00D50715"/>
    <w:rsid w:val="00E560FE"/>
    <w:rsid w:val="00EA307B"/>
    <w:rsid w:val="00F85F99"/>
    <w:rsid w:val="00FB0AD1"/>
    <w:rsid w:val="00FE0035"/>
    <w:rsid w:val="02D423AF"/>
    <w:rsid w:val="03E012B9"/>
    <w:rsid w:val="064E5119"/>
    <w:rsid w:val="06B74DC6"/>
    <w:rsid w:val="0A4725AB"/>
    <w:rsid w:val="0D953957"/>
    <w:rsid w:val="1310060F"/>
    <w:rsid w:val="14DD2E88"/>
    <w:rsid w:val="16C93EF6"/>
    <w:rsid w:val="1AE52584"/>
    <w:rsid w:val="1B7F0ACE"/>
    <w:rsid w:val="1E1B7B7F"/>
    <w:rsid w:val="2D1B49EF"/>
    <w:rsid w:val="2E9A2201"/>
    <w:rsid w:val="2F715851"/>
    <w:rsid w:val="31867FCE"/>
    <w:rsid w:val="359051F2"/>
    <w:rsid w:val="375A306E"/>
    <w:rsid w:val="39564D62"/>
    <w:rsid w:val="44254A04"/>
    <w:rsid w:val="47FF1877"/>
    <w:rsid w:val="4BCF5981"/>
    <w:rsid w:val="4CD207F7"/>
    <w:rsid w:val="4E8F1BD2"/>
    <w:rsid w:val="52E53CDC"/>
    <w:rsid w:val="620677CB"/>
    <w:rsid w:val="65DA44BF"/>
    <w:rsid w:val="67113427"/>
    <w:rsid w:val="684C761F"/>
    <w:rsid w:val="6CE07597"/>
    <w:rsid w:val="6F125A01"/>
    <w:rsid w:val="71D23226"/>
    <w:rsid w:val="74B82BA7"/>
    <w:rsid w:val="766F184E"/>
    <w:rsid w:val="79694431"/>
    <w:rsid w:val="7A6D58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480" w:after="80"/>
      <w:outlineLvl w:val="0"/>
    </w:pPr>
    <w:rPr>
      <w:rFonts w:asciiTheme="majorHAnsi" w:hAnsiTheme="majorHAnsi" w:eastAsiaTheme="majorEastAsia" w:cstheme="majorBidi"/>
      <w:color w:val="2E54A1" w:themeColor="accent1" w:themeShade="BF"/>
      <w:sz w:val="48"/>
      <w:szCs w:val="48"/>
    </w:rPr>
  </w:style>
  <w:style w:type="paragraph" w:styleId="3">
    <w:name w:val="heading 2"/>
    <w:basedOn w:val="1"/>
    <w:next w:val="1"/>
    <w:link w:val="22"/>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kern w:val="0"/>
      <w:sz w:val="24"/>
      <w:szCs w:val="20"/>
    </w:rPr>
  </w:style>
  <w:style w:type="paragraph" w:styleId="6">
    <w:name w:val="annotation text"/>
    <w:basedOn w:val="1"/>
    <w:link w:val="17"/>
    <w:unhideWhenUsed/>
    <w:qFormat/>
    <w:uiPriority w:val="99"/>
    <w:pPr>
      <w:jc w:val="left"/>
    </w:pPr>
  </w:style>
  <w:style w:type="paragraph" w:styleId="7">
    <w:name w:val="footer"/>
    <w:basedOn w:val="1"/>
    <w:link w:val="20"/>
    <w:qFormat/>
    <w:uiPriority w:val="0"/>
    <w:pPr>
      <w:tabs>
        <w:tab w:val="center" w:pos="4153"/>
        <w:tab w:val="right" w:pos="8306"/>
      </w:tabs>
      <w:snapToGrid w:val="0"/>
      <w:jc w:val="left"/>
    </w:pPr>
    <w:rPr>
      <w:sz w:val="18"/>
      <w:szCs w:val="18"/>
    </w:rPr>
  </w:style>
  <w:style w:type="paragraph" w:styleId="8">
    <w:name w:val="header"/>
    <w:basedOn w:val="1"/>
    <w:link w:val="19"/>
    <w:qFormat/>
    <w:uiPriority w:val="0"/>
    <w:pPr>
      <w:tabs>
        <w:tab w:val="center" w:pos="4153"/>
        <w:tab w:val="right" w:pos="8306"/>
      </w:tabs>
      <w:snapToGrid w:val="0"/>
      <w:jc w:val="center"/>
    </w:pPr>
    <w:rPr>
      <w:sz w:val="18"/>
      <w:szCs w:val="18"/>
    </w:rPr>
  </w:style>
  <w:style w:type="paragraph" w:styleId="9">
    <w:name w:val="annotation subject"/>
    <w:basedOn w:val="6"/>
    <w:next w:val="6"/>
    <w:link w:val="18"/>
    <w:qFormat/>
    <w:uiPriority w:val="0"/>
    <w:rPr>
      <w:b/>
      <w:bCs/>
    </w:rPr>
  </w:style>
  <w:style w:type="character" w:styleId="12">
    <w:name w:val="Hyperlink"/>
    <w:basedOn w:val="11"/>
    <w:qFormat/>
    <w:uiPriority w:val="0"/>
    <w:rPr>
      <w:color w:val="0000FF"/>
      <w:u w:val="single"/>
    </w:rPr>
  </w:style>
  <w:style w:type="character" w:styleId="13">
    <w:name w:val="annotation reference"/>
    <w:unhideWhenUsed/>
    <w:qFormat/>
    <w:uiPriority w:val="99"/>
    <w:rPr>
      <w:sz w:val="21"/>
      <w:szCs w:val="21"/>
    </w:rPr>
  </w:style>
  <w:style w:type="paragraph" w:customStyle="1" w:styleId="14">
    <w:name w:val="Normal_0"/>
    <w:qFormat/>
    <w:uiPriority w:val="0"/>
    <w:pPr>
      <w:widowControl w:val="0"/>
      <w:jc w:val="both"/>
    </w:pPr>
    <w:rPr>
      <w:rFonts w:asciiTheme="minorHAnsi" w:hAnsiTheme="minorHAnsi" w:eastAsiaTheme="minorEastAsia" w:cstheme="minorBidi"/>
      <w:lang w:val="en-US" w:eastAsia="zh-CN" w:bidi="ar-SA"/>
    </w:rPr>
  </w:style>
  <w:style w:type="paragraph" w:customStyle="1" w:styleId="15">
    <w:name w:val="Normal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17">
    <w:name w:val="批注文字 字符"/>
    <w:basedOn w:val="11"/>
    <w:link w:val="6"/>
    <w:qFormat/>
    <w:uiPriority w:val="99"/>
    <w:rPr>
      <w:kern w:val="2"/>
      <w:sz w:val="21"/>
      <w:szCs w:val="24"/>
    </w:rPr>
  </w:style>
  <w:style w:type="character" w:customStyle="1" w:styleId="18">
    <w:name w:val="批注主题 字符"/>
    <w:basedOn w:val="17"/>
    <w:link w:val="9"/>
    <w:qFormat/>
    <w:uiPriority w:val="0"/>
    <w:rPr>
      <w:b/>
      <w:bCs/>
      <w:kern w:val="2"/>
      <w:sz w:val="21"/>
      <w:szCs w:val="24"/>
    </w:rPr>
  </w:style>
  <w:style w:type="character" w:customStyle="1" w:styleId="19">
    <w:name w:val="页眉 字符"/>
    <w:basedOn w:val="11"/>
    <w:link w:val="8"/>
    <w:qFormat/>
    <w:uiPriority w:val="0"/>
    <w:rPr>
      <w:kern w:val="2"/>
      <w:sz w:val="18"/>
      <w:szCs w:val="18"/>
    </w:rPr>
  </w:style>
  <w:style w:type="character" w:customStyle="1" w:styleId="20">
    <w:name w:val="页脚 字符"/>
    <w:basedOn w:val="11"/>
    <w:link w:val="7"/>
    <w:qFormat/>
    <w:uiPriority w:val="0"/>
    <w:rPr>
      <w:kern w:val="2"/>
      <w:sz w:val="18"/>
      <w:szCs w:val="18"/>
    </w:rPr>
  </w:style>
  <w:style w:type="paragraph" w:customStyle="1" w:styleId="21">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22">
    <w:name w:val="标题 2 字符"/>
    <w:basedOn w:val="11"/>
    <w:link w:val="3"/>
    <w:semiHidden/>
    <w:uiPriority w:val="0"/>
    <w:rPr>
      <w:rFonts w:asciiTheme="majorHAnsi" w:hAnsiTheme="majorHAnsi" w:eastAsiaTheme="majorEastAsia" w:cstheme="majorBidi"/>
      <w:b/>
      <w:bCs/>
      <w:kern w:val="2"/>
      <w:sz w:val="32"/>
      <w:szCs w:val="32"/>
    </w:rPr>
  </w:style>
  <w:style w:type="paragraph" w:styleId="2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1536</Words>
  <Characters>1721</Characters>
  <Lines>59</Lines>
  <Paragraphs>75</Paragraphs>
  <TotalTime>11712</TotalTime>
  <ScaleCrop>false</ScaleCrop>
  <LinksUpToDate>false</LinksUpToDate>
  <CharactersWithSpaces>1729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2025-09-12T01:30:00Z</dcterms:created>
  <dc:creator>王家瑞(2024620328)</dc:creator>
  <cp:lastModifiedBy>沉默是金</cp:lastModifiedBy>
  <dcterms:modified xsi:type="dcterms:W3CDTF">2026-05-26T00:49:23Z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63BBE8A709364E709E1E3415951BEEEA_13</vt:lpwstr>
  </property>
  <property fmtid="{D5CDD505-2E9C-101B-9397-08002B2CF9AE}" pid="4" name="KSOTemplateDocerSaveRecord">
    <vt:lpwstr>eyJoZGlkIjoiMjVlMGFhNzBmNTE2ODUxZDM5MDliMzk2YTMxYmRkMmIiLCJ1c2VySWQiOiI2MTM4ODMyNzEifQ==</vt:lpwstr>
  </property>
</Properties>
</file>