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2823B2" w14:textId="3CD3961B" w:rsidR="002F658D" w:rsidRPr="002F658D" w:rsidRDefault="002F658D" w:rsidP="002F658D">
      <w:bookmarkStart w:id="0" w:name="OLE_LINK1"/>
      <w:r w:rsidRPr="002F658D">
        <w:t>高性能计算</w:t>
      </w:r>
      <w:r w:rsidR="001A0964">
        <w:rPr>
          <w:rFonts w:hint="eastAsia"/>
        </w:rPr>
        <w:t>CPU服务器</w:t>
      </w:r>
      <w:bookmarkEnd w:id="0"/>
      <w:r w:rsidRPr="002F658D">
        <w:t>采购技术要求</w:t>
      </w:r>
    </w:p>
    <w:p w14:paraId="68EE3ACE" w14:textId="77777777" w:rsidR="002F658D" w:rsidRPr="002F658D" w:rsidRDefault="002F658D" w:rsidP="002F658D">
      <w:pPr>
        <w:numPr>
          <w:ilvl w:val="0"/>
          <w:numId w:val="1"/>
        </w:numPr>
      </w:pPr>
      <w:r w:rsidRPr="002F658D">
        <w:t>本次采购包含一批用于高性能计算集群扩容的服务器处理器（CPU），用于更换或新增计算节点处理器。具体数量及型号以招标文件附件配置清单为准。</w:t>
      </w:r>
    </w:p>
    <w:p w14:paraId="1652D432" w14:textId="77777777" w:rsidR="002F658D" w:rsidRPr="002F658D" w:rsidRDefault="002F658D" w:rsidP="002F658D">
      <w:pPr>
        <w:numPr>
          <w:ilvl w:val="0"/>
          <w:numId w:val="1"/>
        </w:numPr>
      </w:pPr>
      <w:r w:rsidRPr="002F658D">
        <w:t xml:space="preserve">拟采购处理器须为 Intel 第六代可扩展处理器（Xeon 6 系列），目标型号为 </w:t>
      </w:r>
      <w:r w:rsidRPr="002F658D">
        <w:rPr>
          <w:i/>
          <w:iCs/>
        </w:rPr>
        <w:t>Intel Xeon Platinum 6985P-C</w:t>
      </w:r>
      <w:r w:rsidRPr="002F658D">
        <w:t xml:space="preserve"> 或 同品牌、性能不低于该型号 的处理器。单颗处理器物理核心数不少于 120 核、线程数不少于 240 线程，基础主频不低于 2.2 GHz。</w:t>
      </w:r>
    </w:p>
    <w:p w14:paraId="02A33019" w14:textId="77777777" w:rsidR="002F658D" w:rsidRPr="002F658D" w:rsidRDefault="002F658D" w:rsidP="002F658D">
      <w:pPr>
        <w:numPr>
          <w:ilvl w:val="0"/>
          <w:numId w:val="1"/>
        </w:numPr>
      </w:pPr>
      <w:r w:rsidRPr="002F658D">
        <w:t>处理器封装接口须为 LGA7529，可在单路服务器平台上使用，应与现有或拟采购之 LGA7529 平台主板（如技嘉 MA34-CP0 或同等性能主板）完全兼容，保证在满负载条件下长期稳定运行。</w:t>
      </w:r>
    </w:p>
    <w:p w14:paraId="4978EFD2" w14:textId="77777777" w:rsidR="002F658D" w:rsidRPr="002F658D" w:rsidRDefault="002F658D" w:rsidP="002F658D">
      <w:pPr>
        <w:numPr>
          <w:ilvl w:val="0"/>
          <w:numId w:val="1"/>
        </w:numPr>
      </w:pPr>
      <w:r w:rsidRPr="002F658D">
        <w:t>处理器必须支持 DDR5 ECC REG 内存，内存频率不低于 6400 MHz，满足每节点至少 384 GB（32 GB×12 条）或以上 内存配置需求，并支持后续扩展。</w:t>
      </w:r>
    </w:p>
    <w:p w14:paraId="3F9522BC" w14:textId="77777777" w:rsidR="002F658D" w:rsidRPr="002F658D" w:rsidRDefault="002F658D" w:rsidP="002F658D">
      <w:pPr>
        <w:numPr>
          <w:ilvl w:val="0"/>
          <w:numId w:val="1"/>
        </w:numPr>
      </w:pPr>
      <w:r w:rsidRPr="002F658D">
        <w:t>处理器应支持 AVX-512、AMX 等指令与加速特性，支持 Intel VT-x、VT-d 等虚拟化技术及完备的 RAS 特性（包括但不限于 ECC 错误校验、内存纠错与通道隔离、机器检查体系结构 MCA 等），以满足高性能计算和虚拟化场景对可靠性及性能的要求。</w:t>
      </w:r>
    </w:p>
    <w:p w14:paraId="57624FCD" w14:textId="77777777" w:rsidR="002F658D" w:rsidRPr="002F658D" w:rsidRDefault="002F658D" w:rsidP="002F658D">
      <w:pPr>
        <w:numPr>
          <w:ilvl w:val="0"/>
          <w:numId w:val="1"/>
        </w:numPr>
      </w:pPr>
      <w:r w:rsidRPr="002F658D">
        <w:t>处理器须支持 PCIe 5.0 总线接口，满足高性能网络（如 InfiniBand HCA）及 GPU/各类加速卡接入带宽需求，支持 SR-IOV 等 I/O 虚拟化功能，并与现有集群网络及存储架构兼容。</w:t>
      </w:r>
    </w:p>
    <w:p w14:paraId="719C4C94" w14:textId="10F32816" w:rsidR="002F658D" w:rsidRPr="002F658D" w:rsidRDefault="002F658D" w:rsidP="002F658D">
      <w:pPr>
        <w:numPr>
          <w:ilvl w:val="0"/>
          <w:numId w:val="1"/>
        </w:numPr>
      </w:pPr>
      <w:r w:rsidRPr="002F658D">
        <w:t xml:space="preserve">处理器的热设计功耗（TDP）应与现有机房供配电及散热条件相匹配，单颗处理器 TDP 不高于 </w:t>
      </w:r>
      <w:r w:rsidR="00A423E2" w:rsidRPr="00EB4A11">
        <w:rPr>
          <w:rFonts w:hint="eastAsia"/>
        </w:rPr>
        <w:t>8</w:t>
      </w:r>
      <w:r w:rsidRPr="002F658D">
        <w:t>00 W。报价人须在技术响应文件中提供所报 CPU 型号的官方技术规格书或数据手册，明确列出核心数、主频、缓存、TDP 等关键指标。</w:t>
      </w:r>
    </w:p>
    <w:p w14:paraId="1432B331" w14:textId="7E644284" w:rsidR="002F658D" w:rsidRPr="002F658D" w:rsidRDefault="002F658D" w:rsidP="002F658D">
      <w:pPr>
        <w:numPr>
          <w:ilvl w:val="0"/>
          <w:numId w:val="1"/>
        </w:numPr>
      </w:pPr>
      <w:r w:rsidRPr="002F658D">
        <w:t>处理器及其配套附件必须为 全新、原厂正品，不得提供 ES/工程样品、翻新产品。产品须符合国家现行相关安全、电磁兼容及环保法规要求。</w:t>
      </w:r>
    </w:p>
    <w:p w14:paraId="78112827" w14:textId="7CAFBA54" w:rsidR="002F658D" w:rsidRPr="002F658D" w:rsidRDefault="002F658D" w:rsidP="002F658D">
      <w:pPr>
        <w:numPr>
          <w:ilvl w:val="0"/>
          <w:numId w:val="1"/>
        </w:numPr>
      </w:pPr>
      <w:r w:rsidRPr="002F658D">
        <w:t>报价人须按照附件配置清单进行报价，</w:t>
      </w:r>
      <w:r w:rsidR="00A423E2" w:rsidRPr="00EB4A11">
        <w:rPr>
          <w:rFonts w:hint="eastAsia"/>
        </w:rPr>
        <w:t>所报总</w:t>
      </w:r>
      <w:r w:rsidRPr="002F658D">
        <w:t>价应包含但不限于：CPU 本体、必要的安装辅材及配件、运输与保险费用、到货验收配合、上架与调试支持、质保期内现场及远程技术支持等所有相关费用，不得就上述内容另行收取费用。</w:t>
      </w:r>
    </w:p>
    <w:p w14:paraId="453E59B4" w14:textId="22F9E85D" w:rsidR="002F658D" w:rsidRPr="002F658D" w:rsidRDefault="002F658D" w:rsidP="002F658D">
      <w:pPr>
        <w:numPr>
          <w:ilvl w:val="0"/>
          <w:numId w:val="1"/>
        </w:numPr>
      </w:pPr>
      <w:r w:rsidRPr="002F658D">
        <w:t>报价人须提供售后服务承诺函，</w:t>
      </w:r>
      <w:r w:rsidR="0075395E">
        <w:rPr>
          <w:rFonts w:hint="eastAsia"/>
        </w:rPr>
        <w:t>整机</w:t>
      </w:r>
      <w:r w:rsidRPr="002F658D">
        <w:t>质保期不得少于 三年（自最终验收</w:t>
      </w:r>
      <w:r w:rsidR="009F5086">
        <w:rPr>
          <w:rFonts w:hint="eastAsia"/>
        </w:rPr>
        <w:t>合格</w:t>
      </w:r>
      <w:r w:rsidRPr="002F658D">
        <w:t>之日起）；未提供有效授权及服务承诺文件的报价视为无效报价</w:t>
      </w:r>
      <w:r w:rsidR="00A62C15">
        <w:rPr>
          <w:rFonts w:hint="eastAsia"/>
        </w:rPr>
        <w:t>。</w:t>
      </w:r>
    </w:p>
    <w:p w14:paraId="48DC1117" w14:textId="30AAE9D2" w:rsidR="00C9629D" w:rsidRPr="002F658D" w:rsidRDefault="00C9629D"/>
    <w:sectPr w:rsidR="00C9629D" w:rsidRPr="002F658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89F3B5" w14:textId="77777777" w:rsidR="006B2F36" w:rsidRDefault="006B2F36" w:rsidP="002F658D">
      <w:r>
        <w:separator/>
      </w:r>
    </w:p>
  </w:endnote>
  <w:endnote w:type="continuationSeparator" w:id="0">
    <w:p w14:paraId="4C083C62" w14:textId="77777777" w:rsidR="006B2F36" w:rsidRDefault="006B2F36" w:rsidP="002F65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A64C80" w14:textId="77777777" w:rsidR="006B2F36" w:rsidRDefault="006B2F36" w:rsidP="002F658D">
      <w:r>
        <w:separator/>
      </w:r>
    </w:p>
  </w:footnote>
  <w:footnote w:type="continuationSeparator" w:id="0">
    <w:p w14:paraId="03F2B1CC" w14:textId="77777777" w:rsidR="006B2F36" w:rsidRDefault="006B2F36" w:rsidP="002F65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DE2EFE"/>
    <w:multiLevelType w:val="multilevel"/>
    <w:tmpl w:val="0166F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74497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7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9A3"/>
    <w:rsid w:val="00012CCC"/>
    <w:rsid w:val="000C2433"/>
    <w:rsid w:val="00122FAE"/>
    <w:rsid w:val="001378A5"/>
    <w:rsid w:val="001A0964"/>
    <w:rsid w:val="002F658D"/>
    <w:rsid w:val="003F42DF"/>
    <w:rsid w:val="004831A6"/>
    <w:rsid w:val="004A1AE8"/>
    <w:rsid w:val="0052058A"/>
    <w:rsid w:val="0058678D"/>
    <w:rsid w:val="00624E1D"/>
    <w:rsid w:val="006B2F36"/>
    <w:rsid w:val="0075395E"/>
    <w:rsid w:val="007B6E8D"/>
    <w:rsid w:val="008839A3"/>
    <w:rsid w:val="00907842"/>
    <w:rsid w:val="009F5086"/>
    <w:rsid w:val="00A423E2"/>
    <w:rsid w:val="00A62C15"/>
    <w:rsid w:val="00A72FB9"/>
    <w:rsid w:val="00AA455E"/>
    <w:rsid w:val="00C85D7F"/>
    <w:rsid w:val="00C9629D"/>
    <w:rsid w:val="00CF6BBF"/>
    <w:rsid w:val="00DE1899"/>
    <w:rsid w:val="00DE5222"/>
    <w:rsid w:val="00E9219D"/>
    <w:rsid w:val="00EB4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A26DDD"/>
  <w15:chartTrackingRefBased/>
  <w15:docId w15:val="{82B841C2-2268-40DE-850F-4AAB557A2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8839A3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839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839A3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839A3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839A3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839A3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839A3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839A3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839A3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8839A3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8839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8839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8839A3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8839A3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8839A3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8839A3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8839A3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8839A3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8839A3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8839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839A3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000000" w:themeColor="text1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8839A3"/>
    <w:rPr>
      <w:rFonts w:asciiTheme="majorHAnsi" w:eastAsiaTheme="majorEastAsia" w:hAnsiTheme="majorHAnsi" w:cstheme="majorBidi"/>
      <w:color w:val="000000" w:themeColor="text1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839A3"/>
    <w:pPr>
      <w:spacing w:before="160" w:after="160"/>
      <w:jc w:val="center"/>
    </w:pPr>
    <w:rPr>
      <w:i/>
      <w:iCs/>
      <w:color w:val="000000" w:themeColor="text1"/>
    </w:rPr>
  </w:style>
  <w:style w:type="character" w:customStyle="1" w:styleId="a8">
    <w:name w:val="引用 字符"/>
    <w:basedOn w:val="a0"/>
    <w:link w:val="a7"/>
    <w:uiPriority w:val="29"/>
    <w:rsid w:val="008839A3"/>
    <w:rPr>
      <w:i/>
      <w:iCs/>
      <w:color w:val="000000" w:themeColor="text1"/>
    </w:rPr>
  </w:style>
  <w:style w:type="paragraph" w:styleId="a9">
    <w:name w:val="List Paragraph"/>
    <w:basedOn w:val="a"/>
    <w:uiPriority w:val="34"/>
    <w:qFormat/>
    <w:rsid w:val="008839A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839A3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839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8839A3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8839A3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2F658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2F658D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2F658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2F658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149</Words>
  <Characters>850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yunze qiu</dc:creator>
  <cp:keywords/>
  <dc:description/>
  <cp:lastModifiedBy>刘金涛</cp:lastModifiedBy>
  <cp:revision>19</cp:revision>
  <dcterms:created xsi:type="dcterms:W3CDTF">2025-12-03T09:15:00Z</dcterms:created>
  <dcterms:modified xsi:type="dcterms:W3CDTF">2025-12-03T10:14:00Z</dcterms:modified>
</cp:coreProperties>
</file>