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3CC7">
      <w:pPr>
        <w:pStyle w:val="3"/>
        <w:bidi w:val="0"/>
        <w:spacing w:line="240" w:lineRule="auto"/>
        <w:jc w:val="center"/>
        <w:rPr>
          <w:rFonts w:hint="default"/>
          <w:lang w:val="en-US" w:eastAsia="zh-CN"/>
        </w:rPr>
      </w:pPr>
      <w:r>
        <w:rPr>
          <w:rFonts w:hint="eastAsia"/>
          <w:lang w:val="en-US" w:eastAsia="zh-CN"/>
        </w:rPr>
        <w:t>高精度眼动信号采集传输模块比选参数</w:t>
      </w:r>
    </w:p>
    <w:p w14:paraId="6ADB1D49">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w:t>
      </w:r>
      <w:r>
        <w:rPr>
          <w:rFonts w:hint="eastAsia" w:ascii="宋体" w:hAnsi="宋体" w:eastAsia="宋体" w:cs="宋体"/>
          <w:b w:val="0"/>
          <w:bCs w:val="0"/>
          <w:kern w:val="0"/>
          <w:sz w:val="21"/>
          <w:szCs w:val="21"/>
        </w:rPr>
        <w:t>产品形态：框架式眼镜的配件，可以从搭配的眼镜框架上拆卸，防止主体最终模组在拆卸过程中受损</w:t>
      </w:r>
    </w:p>
    <w:p w14:paraId="290BD641">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w:t>
      </w:r>
      <w:r>
        <w:rPr>
          <w:rFonts w:hint="eastAsia" w:ascii="宋体" w:hAnsi="宋体" w:eastAsia="宋体" w:cs="宋体"/>
          <w:b w:val="0"/>
          <w:bCs w:val="0"/>
          <w:kern w:val="0"/>
          <w:sz w:val="21"/>
          <w:szCs w:val="21"/>
        </w:rPr>
        <w:t>校准方式：使用卡片校准或现实中任意实物进行校准，包括1点、3点和5点校准模式（正式记录前）</w:t>
      </w:r>
    </w:p>
    <w:p w14:paraId="6AADD124">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w:t>
      </w:r>
      <w:r>
        <w:rPr>
          <w:rFonts w:hint="eastAsia" w:ascii="宋体" w:hAnsi="宋体" w:eastAsia="宋体" w:cs="宋体"/>
          <w:b w:val="0"/>
          <w:bCs w:val="0"/>
          <w:kern w:val="0"/>
          <w:sz w:val="21"/>
          <w:szCs w:val="21"/>
        </w:rPr>
        <w:t>眼球追踪方式：双眼追踪模式与单目追踪模式配合</w:t>
      </w:r>
    </w:p>
    <w:p w14:paraId="2081346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w:t>
      </w:r>
      <w:r>
        <w:rPr>
          <w:rFonts w:hint="eastAsia" w:ascii="宋体" w:hAnsi="宋体" w:eastAsia="宋体" w:cs="宋体"/>
          <w:b w:val="0"/>
          <w:bCs w:val="0"/>
          <w:kern w:val="0"/>
          <w:sz w:val="21"/>
          <w:szCs w:val="21"/>
        </w:rPr>
        <w:t>采样率：</w:t>
      </w:r>
      <w:r>
        <w:rPr>
          <w:rFonts w:hint="eastAsia" w:ascii="宋体" w:hAnsi="宋体" w:eastAsia="宋体" w:cs="宋体"/>
          <w:b w:val="0"/>
          <w:bCs w:val="0"/>
          <w:kern w:val="0"/>
          <w:sz w:val="21"/>
          <w:szCs w:val="21"/>
          <w:lang w:val="en-US" w:eastAsia="zh-CN"/>
        </w:rPr>
        <w:t>24</w:t>
      </w:r>
      <w:r>
        <w:rPr>
          <w:rFonts w:hint="eastAsia" w:ascii="宋体" w:hAnsi="宋体" w:eastAsia="宋体" w:cs="宋体"/>
          <w:b w:val="0"/>
          <w:bCs w:val="0"/>
          <w:kern w:val="0"/>
          <w:sz w:val="21"/>
          <w:szCs w:val="21"/>
        </w:rPr>
        <w:t>0Hz（PC），60Hz (手机)</w:t>
      </w:r>
    </w:p>
    <w:p w14:paraId="501C48B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5.</w:t>
      </w:r>
      <w:r>
        <w:rPr>
          <w:rFonts w:hint="eastAsia" w:ascii="宋体" w:hAnsi="宋体" w:eastAsia="宋体" w:cs="宋体"/>
          <w:b w:val="0"/>
          <w:bCs w:val="0"/>
          <w:kern w:val="0"/>
          <w:sz w:val="21"/>
          <w:szCs w:val="21"/>
        </w:rPr>
        <w:t>取景摄像头：四种分辨率可选：1920X1080像素 ,1280×960像素,1280X720像素,800×600像素；三种视频帧数可选：60FPS，30FPS，15FPS；视频输出格式：H.264；视野范围：水平98°，垂直67°，对角线106°</w:t>
      </w:r>
    </w:p>
    <w:p w14:paraId="36BF6EE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6.</w:t>
      </w:r>
      <w:r>
        <w:rPr>
          <w:rFonts w:hint="eastAsia" w:ascii="宋体" w:hAnsi="宋体" w:eastAsia="宋体" w:cs="宋体"/>
          <w:b w:val="0"/>
          <w:bCs w:val="0"/>
          <w:kern w:val="0"/>
          <w:sz w:val="21"/>
          <w:szCs w:val="21"/>
        </w:rPr>
        <w:t>眼部佩戴物：可佩带隐形眼镜使用，可搭配可拆卸镜片使用</w:t>
      </w:r>
    </w:p>
    <w:p w14:paraId="5BFDD78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7.</w:t>
      </w:r>
      <w:r>
        <w:rPr>
          <w:rFonts w:hint="eastAsia" w:ascii="宋体" w:hAnsi="宋体" w:eastAsia="宋体" w:cs="宋体"/>
          <w:b w:val="0"/>
          <w:bCs w:val="0"/>
          <w:kern w:val="0"/>
          <w:sz w:val="21"/>
          <w:szCs w:val="21"/>
        </w:rPr>
        <w:t>数据提供：左右眼原始注视点、聚合注视点、眼跳、瞳孔直径、眨眼信息、上下眼皮距离、数据有效性、事件记录，可实时显示眼图，可保存眼图</w:t>
      </w:r>
    </w:p>
    <w:p w14:paraId="076D5467">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8.</w:t>
      </w:r>
      <w:r>
        <w:rPr>
          <w:rFonts w:hint="eastAsia" w:ascii="宋体" w:hAnsi="宋体" w:eastAsia="宋体" w:cs="宋体"/>
          <w:b w:val="0"/>
          <w:bCs w:val="0"/>
          <w:kern w:val="0"/>
          <w:sz w:val="21"/>
          <w:szCs w:val="21"/>
        </w:rPr>
        <w:t>结构管理：工程管理功能，实验、测试、被试变量一目了然。工程存放整个实验的架构及被试、被试变量等。</w:t>
      </w:r>
    </w:p>
    <w:p w14:paraId="4434615D">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9.</w:t>
      </w:r>
      <w:r>
        <w:rPr>
          <w:rFonts w:hint="eastAsia" w:ascii="宋体" w:hAnsi="宋体" w:eastAsia="宋体" w:cs="宋体"/>
          <w:b w:val="0"/>
          <w:bCs w:val="0"/>
          <w:kern w:val="0"/>
          <w:sz w:val="21"/>
          <w:szCs w:val="21"/>
        </w:rPr>
        <w:t>支持离线校准/分段离线校准，在实验录制结束之后，可通过离线校准功能将数据恢复到正确的位置。</w:t>
      </w:r>
    </w:p>
    <w:p w14:paraId="71DFD93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10.</w:t>
      </w:r>
      <w:r>
        <w:rPr>
          <w:rFonts w:hint="eastAsia" w:ascii="宋体" w:hAnsi="宋体" w:eastAsia="宋体" w:cs="宋体"/>
          <w:b w:val="0"/>
          <w:bCs w:val="0"/>
          <w:kern w:val="0"/>
          <w:sz w:val="21"/>
          <w:szCs w:val="21"/>
        </w:rPr>
        <w:t>支持对记录数据添加事件标签，可快速定位事件和分析。</w:t>
      </w:r>
    </w:p>
    <w:p w14:paraId="293A5EC4">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11.</w:t>
      </w:r>
      <w:r>
        <w:rPr>
          <w:rFonts w:hint="eastAsia" w:ascii="宋体" w:hAnsi="宋体" w:eastAsia="宋体" w:cs="宋体"/>
          <w:b w:val="0"/>
          <w:bCs w:val="0"/>
          <w:kern w:val="0"/>
          <w:sz w:val="21"/>
          <w:szCs w:val="21"/>
        </w:rPr>
        <w:t>支持对记录数据事后重新进行计算眨眼和注视点聚合数据。</w:t>
      </w:r>
    </w:p>
    <w:p w14:paraId="2ED82BAD">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12.</w:t>
      </w:r>
      <w:r>
        <w:rPr>
          <w:rFonts w:hint="eastAsia" w:ascii="宋体" w:hAnsi="宋体" w:eastAsia="宋体" w:cs="宋体"/>
          <w:b w:val="0"/>
          <w:bCs w:val="0"/>
          <w:kern w:val="0"/>
          <w:sz w:val="21"/>
          <w:szCs w:val="21"/>
        </w:rPr>
        <w:t>支持AOI矩阵与模板功能：≥5×5矩阵，用于自动分析AOI规律。</w:t>
      </w:r>
    </w:p>
    <w:p w14:paraId="6E21CC4F">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13.</w:t>
      </w:r>
      <w:r>
        <w:rPr>
          <w:rFonts w:hint="eastAsia" w:ascii="宋体" w:hAnsi="宋体" w:eastAsia="宋体" w:cs="宋体"/>
          <w:b w:val="0"/>
          <w:bCs w:val="0"/>
          <w:kern w:val="0"/>
          <w:sz w:val="21"/>
          <w:szCs w:val="21"/>
        </w:rPr>
        <w:t>灵活改进：提供SDK开发包与开发者文档，支持二次开发，支持眼动分析指标定制。</w:t>
      </w:r>
    </w:p>
    <w:p w14:paraId="69681CCA">
      <w:pPr>
        <w:pStyle w:val="9"/>
        <w:widowControl/>
        <w:numPr>
          <w:ilvl w:val="0"/>
          <w:numId w:val="0"/>
        </w:numPr>
        <w:spacing w:line="240" w:lineRule="auto"/>
        <w:ind w:left="0" w:leftChars="0" w:firstLine="0" w:firstLineChars="0"/>
        <w:rPr>
          <w:rFonts w:hint="default"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★14．瞳孔数据分析软件可兼容Tobii Glasses3、aSee Glasses相关瞳孔数据。可对平均眨眼次数、平均眨眼时长进行统计，并以波形图呈现，眨眼统计时间间隔、眨眼时间上限及下限可自定义。可自定义瞳孔统计时间间隔、可计算瞳孔直径变异性，眨眼数据可导出。</w:t>
      </w:r>
      <w:r>
        <w:rPr>
          <w:rFonts w:hint="eastAsia" w:ascii="宋体" w:hAnsi="宋体" w:eastAsia="宋体" w:cs="宋体"/>
          <w:b w:val="0"/>
          <w:bCs w:val="0"/>
          <w:kern w:val="0"/>
          <w:sz w:val="21"/>
          <w:szCs w:val="21"/>
        </w:rPr>
        <w:t>（提供软件</w:t>
      </w:r>
      <w:r>
        <w:rPr>
          <w:rFonts w:hint="eastAsia" w:ascii="宋体" w:hAnsi="宋体" w:eastAsia="宋体" w:cs="宋体"/>
          <w:b w:val="0"/>
          <w:bCs w:val="0"/>
          <w:kern w:val="0"/>
          <w:sz w:val="21"/>
          <w:szCs w:val="21"/>
          <w:lang w:val="en-US" w:eastAsia="zh-CN"/>
        </w:rPr>
        <w:t>功能</w:t>
      </w:r>
      <w:r>
        <w:rPr>
          <w:rFonts w:hint="eastAsia" w:ascii="宋体" w:hAnsi="宋体" w:eastAsia="宋体" w:cs="宋体"/>
          <w:b w:val="0"/>
          <w:bCs w:val="0"/>
          <w:kern w:val="0"/>
          <w:sz w:val="21"/>
          <w:szCs w:val="21"/>
        </w:rPr>
        <w:t>证明材料)</w:t>
      </w:r>
    </w:p>
    <w:p w14:paraId="001924C3">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★15.兼容脑</w:t>
      </w:r>
      <w:r>
        <w:rPr>
          <w:rFonts w:hint="eastAsia" w:ascii="宋体" w:hAnsi="宋体" w:eastAsia="宋体" w:cs="宋体"/>
          <w:b w:val="0"/>
          <w:bCs w:val="0"/>
          <w:kern w:val="0"/>
          <w:sz w:val="21"/>
          <w:szCs w:val="21"/>
        </w:rPr>
        <w:t>软件采集后的数据支持在向导模式中选择至少包含数值、光谱、一致性、相关性、脑地形图、指数的类型分析；软件采集EEG数据后可一键快速分析并导出脑电的衍生指标、左标记、右标记、差异波、最大值-最小值、最小值、最大值、平均值、频率、标准差等，以表格，图表，地形图的形式可视化呈现（提供软件</w:t>
      </w:r>
      <w:r>
        <w:rPr>
          <w:rFonts w:hint="eastAsia" w:ascii="宋体" w:hAnsi="宋体" w:eastAsia="宋体" w:cs="宋体"/>
          <w:b w:val="0"/>
          <w:bCs w:val="0"/>
          <w:kern w:val="0"/>
          <w:sz w:val="21"/>
          <w:szCs w:val="21"/>
          <w:lang w:val="en-US" w:eastAsia="zh-CN"/>
        </w:rPr>
        <w:t>功能</w:t>
      </w:r>
      <w:r>
        <w:rPr>
          <w:rFonts w:hint="eastAsia" w:ascii="宋体" w:hAnsi="宋体" w:eastAsia="宋体" w:cs="宋体"/>
          <w:b w:val="0"/>
          <w:bCs w:val="0"/>
          <w:kern w:val="0"/>
          <w:sz w:val="21"/>
          <w:szCs w:val="21"/>
        </w:rPr>
        <w:t>证明材料)。</w:t>
      </w:r>
    </w:p>
    <w:p w14:paraId="73D8DC7B">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16.提供1套情绪监测仪</w:t>
      </w:r>
      <w:r>
        <w:rPr>
          <w:rFonts w:hint="eastAsia" w:ascii="宋体" w:hAnsi="宋体" w:eastAsia="宋体" w:cs="宋体"/>
          <w:b w:val="0"/>
          <w:bCs w:val="0"/>
          <w:kern w:val="0"/>
          <w:sz w:val="21"/>
          <w:szCs w:val="21"/>
          <w:lang w:val="en-US" w:eastAsia="zh-CN"/>
        </w:rPr>
        <w:br w:type="textWrapping"/>
      </w:r>
      <w:r>
        <w:rPr>
          <w:rFonts w:hint="eastAsia" w:ascii="宋体" w:hAnsi="宋体" w:eastAsia="宋体" w:cs="宋体"/>
          <w:b w:val="0"/>
          <w:bCs w:val="0"/>
          <w:kern w:val="0"/>
          <w:sz w:val="21"/>
          <w:szCs w:val="21"/>
          <w:lang w:val="en-US" w:eastAsia="zh-CN"/>
        </w:rPr>
        <w:t>16.1.由终端App统一接入控制软件，数据传输稳定性高，具备同时打标功能；可采集心率（PPG绿光、100hz，支持升级至200hz）、血氧（PPG红光、50Hz，支持升级至200hz）、皮肤电（GSR、10Hz，支持升级至100hz）、皮肤温度等人体生理指标；</w:t>
      </w:r>
    </w:p>
    <w:p w14:paraId="06CFDA13">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16.2.内置六轴传感器（20Hz）：加速度计、角速度计等，可提供运动姿态数据；</w:t>
      </w:r>
    </w:p>
    <w:p w14:paraId="24AAA0C5">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16.3.具备环境传感器（1Hz），可采集气压、环境温度、环境光等数据；</w:t>
      </w:r>
    </w:p>
    <w:p w14:paraId="3C200C0C">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16.4.具备有线及无线传输方式，可实现在线实时数据采集及离线数据传输；</w:t>
      </w:r>
    </w:p>
    <w:p w14:paraId="58178966">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16.5.硬件具备打标按键，可手动记录事件标记；支持无线同步事件标记；</w:t>
      </w:r>
    </w:p>
    <w:p w14:paraId="0E9166E2">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16.6.内置32Gbit数据存储；</w:t>
      </w:r>
    </w:p>
    <w:p w14:paraId="7312A950">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16.7.项目管理功能：支持项目的创建、编辑与删除操作；项目属性包括实验名称、备注等基本信息；提供项目列表视图，便于用户快速浏览与管理多个实验项目。</w:t>
      </w:r>
    </w:p>
    <w:p w14:paraId="6EF353D8">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16.8.支持实时数据实时分析心率变异性相关参数（hrv_bpm,hrv_MeanNN,hrv_SDNN等）</w:t>
      </w:r>
    </w:p>
    <w:p w14:paraId="1703EFAA">
      <w:pPr>
        <w:pStyle w:val="9"/>
        <w:widowControl/>
        <w:numPr>
          <w:ilvl w:val="0"/>
          <w:numId w:val="0"/>
        </w:numPr>
        <w:spacing w:line="240" w:lineRule="auto"/>
        <w:ind w:left="0" w:leftChars="0" w:firstLine="0" w:firstLineChars="0"/>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16.9.支持定位功能；以及显示出定位相关数据，卫星总数、北斗数量、GPS数量、经纬度等（偏差≤100米）</w:t>
      </w:r>
    </w:p>
    <w:p w14:paraId="366B7BAB">
      <w:pPr>
        <w:pStyle w:val="9"/>
        <w:widowControl/>
        <w:numPr>
          <w:ilvl w:val="0"/>
          <w:numId w:val="0"/>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b w:val="0"/>
          <w:bCs w:val="0"/>
          <w:kern w:val="0"/>
          <w:sz w:val="21"/>
          <w:szCs w:val="21"/>
          <w:lang w:val="en-US" w:eastAsia="zh-CN"/>
        </w:rPr>
        <w:t>16.10.支持实时生理具象展示，通过设置心率,MeanNN,SDNN等参数进行设置阈值，可自动播放素材。</w:t>
      </w:r>
      <w:r>
        <w:rPr>
          <w:rFonts w:hint="eastAsia" w:ascii="宋体" w:hAnsi="宋体" w:eastAsia="宋体" w:cs="宋体"/>
          <w:sz w:val="21"/>
          <w:szCs w:val="21"/>
          <w:lang w:val="en-US" w:eastAsia="zh-CN"/>
        </w:rPr>
        <w:br w:type="page"/>
      </w:r>
    </w:p>
    <w:p w14:paraId="10590D42">
      <w:pPr>
        <w:pStyle w:val="3"/>
        <w:bidi w:val="0"/>
        <w:jc w:val="center"/>
        <w:rPr>
          <w:rFonts w:hint="eastAsia"/>
        </w:rPr>
      </w:pPr>
      <w:r>
        <w:rPr>
          <w:rFonts w:hint="eastAsia"/>
        </w:rPr>
        <w:t>比选要求</w:t>
      </w:r>
    </w:p>
    <w:p w14:paraId="35D4D233">
      <w:pPr>
        <w:rPr>
          <w:rFonts w:hint="eastAsia"/>
        </w:rPr>
      </w:pPr>
    </w:p>
    <w:p w14:paraId="2FCF8C8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rPr>
      </w:pPr>
      <w:r>
        <w:rPr>
          <w:rFonts w:hint="eastAsia"/>
          <w:sz w:val="28"/>
          <w:szCs w:val="28"/>
        </w:rPr>
        <w:t>供应商报价前应出具相关书面承诺（新品承诺），供货前向采购单位提交上述承诺，采购单位有权要求供应商对该批设备提供由采购单位指定的第三方检测机构相关检测报告（检测内容必须包含采购单位指定内容），以上所涉费用（包括但不限于检测费等）均由供应商承担，如不满足以上要求的（包括但不限于无法出具相关书面承诺或检测报告结果不符合要求等），视为供应商报价无效，自动退出该项目。供应商参与报价的，视为接受上述条款。</w:t>
      </w:r>
    </w:p>
    <w:p w14:paraId="768D092D">
      <w:pPr>
        <w:rPr>
          <w:rFonts w:hint="eastAsia"/>
        </w:rPr>
      </w:pPr>
    </w:p>
    <w:p w14:paraId="7D653989">
      <w:pPr>
        <w:rPr>
          <w:rFonts w:hint="eastAsia"/>
        </w:rPr>
      </w:pPr>
    </w:p>
    <w:p w14:paraId="480015C6">
      <w:pPr>
        <w:rPr>
          <w:rFonts w:hint="eastAsia"/>
        </w:rPr>
      </w:pPr>
    </w:p>
    <w:p w14:paraId="3CABFC6D">
      <w:pPr>
        <w:rPr>
          <w:rFonts w:hint="eastAsia"/>
        </w:rPr>
      </w:pPr>
    </w:p>
    <w:p w14:paraId="1B0910F5">
      <w:pPr>
        <w:rPr>
          <w:rFonts w:hint="eastAsia"/>
        </w:rPr>
      </w:pPr>
    </w:p>
    <w:p w14:paraId="0A771827">
      <w:pPr>
        <w:rPr>
          <w:rFonts w:hint="eastAsia"/>
        </w:rPr>
      </w:pPr>
    </w:p>
    <w:p w14:paraId="62EE5241">
      <w:pPr>
        <w:rPr>
          <w:rFonts w:hint="eastAsia"/>
        </w:rPr>
      </w:pPr>
    </w:p>
    <w:p w14:paraId="65D10A3C">
      <w:pPr>
        <w:rPr>
          <w:rFonts w:hint="eastAsia"/>
        </w:rPr>
      </w:pPr>
    </w:p>
    <w:p w14:paraId="4DDE63D1">
      <w:pPr>
        <w:rPr>
          <w:rFonts w:hint="eastAsia"/>
        </w:rPr>
      </w:pPr>
    </w:p>
    <w:p w14:paraId="152E3F6B">
      <w:pPr>
        <w:rPr>
          <w:rFonts w:hint="eastAsia"/>
        </w:rPr>
      </w:pPr>
    </w:p>
    <w:p w14:paraId="63B23F96">
      <w:pPr>
        <w:rPr>
          <w:rFonts w:hint="eastAsia"/>
        </w:rPr>
      </w:pPr>
    </w:p>
    <w:p w14:paraId="669C9F8B">
      <w:pPr>
        <w:rPr>
          <w:rFonts w:hint="eastAsia"/>
        </w:rPr>
      </w:pPr>
    </w:p>
    <w:p w14:paraId="3149882D">
      <w:pPr>
        <w:rPr>
          <w:rFonts w:hint="eastAsia"/>
        </w:rPr>
      </w:pPr>
    </w:p>
    <w:p w14:paraId="666304DA">
      <w:pPr>
        <w:rPr>
          <w:rFonts w:hint="eastAsia"/>
        </w:rPr>
      </w:pPr>
    </w:p>
    <w:p w14:paraId="392B6A8C">
      <w:pPr>
        <w:rPr>
          <w:rFonts w:hint="eastAsia"/>
        </w:rPr>
      </w:pPr>
    </w:p>
    <w:p w14:paraId="61A6652F">
      <w:pPr>
        <w:rPr>
          <w:rFonts w:hint="eastAsia"/>
        </w:rPr>
      </w:pPr>
    </w:p>
    <w:p w14:paraId="32C6636B">
      <w:pPr>
        <w:rPr>
          <w:rFonts w:hint="eastAsia"/>
        </w:rPr>
      </w:pPr>
    </w:p>
    <w:p w14:paraId="71B87F6E">
      <w:pPr>
        <w:rPr>
          <w:rFonts w:hint="eastAsia"/>
        </w:rPr>
      </w:pPr>
    </w:p>
    <w:p w14:paraId="24C79A5A">
      <w:pPr>
        <w:rPr>
          <w:rFonts w:hint="eastAsia"/>
        </w:rPr>
      </w:pPr>
    </w:p>
    <w:p w14:paraId="0E0BB95A">
      <w:pPr>
        <w:rPr>
          <w:rFonts w:hint="eastAsia"/>
        </w:rPr>
      </w:pPr>
    </w:p>
    <w:p w14:paraId="7C99D403">
      <w:pPr>
        <w:rPr>
          <w:rFonts w:hint="eastAsia"/>
        </w:rPr>
      </w:pPr>
    </w:p>
    <w:p w14:paraId="1545636D">
      <w:pPr>
        <w:rPr>
          <w:rFonts w:hint="eastAsia"/>
        </w:rPr>
      </w:pPr>
    </w:p>
    <w:p w14:paraId="4DEBE574">
      <w:pPr>
        <w:rPr>
          <w:rFonts w:hint="eastAsia"/>
        </w:rPr>
      </w:pPr>
    </w:p>
    <w:p w14:paraId="1756E496">
      <w:pPr>
        <w:rPr>
          <w:rFonts w:hint="eastAsia"/>
        </w:rPr>
      </w:pPr>
    </w:p>
    <w:p w14:paraId="05B80AB4">
      <w:pPr>
        <w:rPr>
          <w:rFonts w:hint="eastAsia"/>
        </w:rPr>
      </w:pPr>
    </w:p>
    <w:p w14:paraId="3056B6B8">
      <w:pPr>
        <w:rPr>
          <w:rFonts w:hint="eastAsia"/>
        </w:rPr>
      </w:pPr>
    </w:p>
    <w:p w14:paraId="512C1939">
      <w:pPr>
        <w:pStyle w:val="2"/>
        <w:bidi w:val="0"/>
        <w:jc w:val="center"/>
        <w:rPr>
          <w:rFonts w:hint="default"/>
          <w:lang w:val="en-US" w:eastAsia="zh-CN"/>
        </w:rPr>
      </w:pPr>
      <w:r>
        <w:rPr>
          <w:rFonts w:hint="eastAsia"/>
          <w:lang w:val="en-US" w:eastAsia="zh-CN"/>
        </w:rPr>
        <w:t>新品承诺书</w:t>
      </w:r>
    </w:p>
    <w:p w14:paraId="37AAB205">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我公司承诺：</w:t>
      </w:r>
    </w:p>
    <w:p w14:paraId="5C80A37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提供给清华大学计算机科学与技术系的xxxxx设备（包含设备中所有零配件），均为新品，非翻新货品。如后续验收时或在使用过程中发现设备或其中零配件为翻新品，本单位承诺退还此次设备购买的全单货款，并支付全单货款的5％作为赔偿金。</w:t>
      </w:r>
    </w:p>
    <w:p w14:paraId="3F95C47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6ED6C3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39F8590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6ACD278">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right"/>
        <w:textAlignment w:val="auto"/>
        <w:rPr>
          <w:rFonts w:hint="eastAsia"/>
          <w:sz w:val="28"/>
          <w:szCs w:val="28"/>
          <w:lang w:val="en-US" w:eastAsia="zh-CN"/>
        </w:rPr>
      </w:pPr>
      <w:r>
        <w:rPr>
          <w:rFonts w:hint="eastAsia"/>
          <w:sz w:val="28"/>
          <w:szCs w:val="28"/>
          <w:lang w:val="en-US" w:eastAsia="zh-CN"/>
        </w:rPr>
        <w:t>xxxx公司（盖章）</w:t>
      </w:r>
    </w:p>
    <w:p w14:paraId="25C11DA7">
      <w:pPr>
        <w:keepNext w:val="0"/>
        <w:keepLines w:val="0"/>
        <w:pageBreakBefore w:val="0"/>
        <w:widowControl w:val="0"/>
        <w:kinsoku/>
        <w:wordWrap w:val="0"/>
        <w:overflowPunct/>
        <w:topLinePunct w:val="0"/>
        <w:autoSpaceDE/>
        <w:autoSpaceDN/>
        <w:bidi w:val="0"/>
        <w:adjustRightInd/>
        <w:snapToGrid/>
        <w:spacing w:line="480" w:lineRule="auto"/>
        <w:ind w:firstLine="560" w:firstLineChars="200"/>
        <w:jc w:val="right"/>
        <w:textAlignment w:val="auto"/>
        <w:rPr>
          <w:rFonts w:hint="default"/>
          <w:sz w:val="28"/>
          <w:szCs w:val="28"/>
          <w:lang w:val="en-US" w:eastAsia="zh-CN"/>
        </w:rPr>
      </w:pPr>
      <w:r>
        <w:rPr>
          <w:rFonts w:hint="eastAsia"/>
          <w:sz w:val="28"/>
          <w:szCs w:val="28"/>
          <w:lang w:val="en-US" w:eastAsia="zh-CN"/>
        </w:rPr>
        <w:t xml:space="preserve">年    月    日    </w:t>
      </w:r>
    </w:p>
    <w:p w14:paraId="447B10B6">
      <w:pPr>
        <w:keepNext w:val="0"/>
        <w:keepLines w:val="0"/>
        <w:pageBreakBefore w:val="0"/>
        <w:widowControl w:val="0"/>
        <w:kinsoku/>
        <w:wordWrap w:val="0"/>
        <w:overflowPunct/>
        <w:topLinePunct w:val="0"/>
        <w:autoSpaceDE/>
        <w:autoSpaceDN/>
        <w:bidi w:val="0"/>
        <w:adjustRightInd/>
        <w:snapToGrid/>
        <w:spacing w:line="240" w:lineRule="auto"/>
        <w:ind w:firstLine="560" w:firstLineChars="200"/>
        <w:jc w:val="right"/>
        <w:textAlignment w:val="auto"/>
        <w:rPr>
          <w:rFonts w:hint="default"/>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STFangsong">
    <w:panose1 w:val="02010600040101010101"/>
    <w:charset w:val="86"/>
    <w:family w:val="auto"/>
    <w:pitch w:val="default"/>
    <w:sig w:usb0="00000287" w:usb1="080F0000" w:usb2="00000000" w:usb3="00000000" w:csb0="0004009F" w:csb1="DFD70000"/>
  </w:font>
  <w:font w:name="Calibri Light">
    <w:altName w:val="Helvetica Neue"/>
    <w:panose1 w:val="00000000000000000000"/>
    <w:charset w:val="00"/>
    <w:family w:val="auto"/>
    <w:pitch w:val="default"/>
    <w:sig w:usb0="00000000" w:usb1="00000000" w:usb2="00000000" w:usb3="00000000" w:csb0="00000000" w:csb1="00000000"/>
  </w:font>
  <w:font w:name="STSong">
    <w:panose1 w:val="02010600040101010101"/>
    <w:charset w:val="86"/>
    <w:family w:val="auto"/>
    <w:pitch w:val="default"/>
    <w:sig w:usb0="80000287" w:usb1="280F3C52" w:usb2="00000016" w:usb3="00000000" w:csb0="0004001F" w:csb1="00000000"/>
  </w:font>
  <w:font w:name="汉仪中黑KW">
    <w:panose1 w:val="00020600040101010101"/>
    <w:charset w:val="86"/>
    <w:family w:val="auto"/>
    <w:pitch w:val="default"/>
    <w:sig w:usb0="A00002BF" w:usb1="18EF7CFA" w:usb2="00000016" w:usb3="00000000" w:csb0="00040000" w:csb1="00000000"/>
  </w:font>
  <w:font w:name="华文宋体">
    <w:panose1 w:val="02010600040101010101"/>
    <w:charset w:val="86"/>
    <w:family w:val="auto"/>
    <w:pitch w:val="default"/>
    <w:sig w:usb0="80000287" w:usb1="280F3C52" w:usb2="00000016" w:usb3="00000000" w:csb0="0004001F"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BE858"/>
    <w:rsid w:val="0455573B"/>
    <w:rsid w:val="0BF1546E"/>
    <w:rsid w:val="19461C80"/>
    <w:rsid w:val="2113251E"/>
    <w:rsid w:val="338D4C23"/>
    <w:rsid w:val="35E16679"/>
    <w:rsid w:val="3FBE1E5C"/>
    <w:rsid w:val="40C1415E"/>
    <w:rsid w:val="4BED22AB"/>
    <w:rsid w:val="4F557BDB"/>
    <w:rsid w:val="5E4E5B4E"/>
    <w:rsid w:val="670544F5"/>
    <w:rsid w:val="7070129B"/>
    <w:rsid w:val="75FBE858"/>
    <w:rsid w:val="7BC716CA"/>
    <w:rsid w:val="7FBF61C6"/>
    <w:rsid w:val="7FFDA3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3"/>
    <w:next w:val="1"/>
    <w:semiHidden/>
    <w:unhideWhenUsed/>
    <w:qFormat/>
    <w:uiPriority w:val="0"/>
    <w:pPr>
      <w:keepNext/>
      <w:keepLines/>
      <w:widowControl w:val="0"/>
      <w:suppressLineNumbers w:val="0"/>
      <w:spacing w:beforeAutospacing="0" w:afterAutospacing="0" w:line="480" w:lineRule="auto"/>
      <w:jc w:val="left"/>
      <w:outlineLvl w:val="2"/>
    </w:pPr>
    <w:rPr>
      <w:rFonts w:ascii="Calibri Light" w:hAnsi="Calibri Light" w:eastAsia="华文宋体" w:cs="Times New Roman"/>
      <w:b w:val="0"/>
      <w:bCs/>
      <w:sz w:val="24"/>
      <w:szCs w:val="36"/>
      <w:lang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Indent"/>
    <w:basedOn w:val="1"/>
    <w:next w:val="1"/>
    <w:qFormat/>
    <w:uiPriority w:val="0"/>
    <w:pPr>
      <w:ind w:firstLine="570"/>
    </w:pPr>
  </w:style>
  <w:style w:type="paragraph" w:styleId="6">
    <w:name w:val="Body Text First Indent 2"/>
    <w:basedOn w:val="5"/>
    <w:qFormat/>
    <w:uiPriority w:val="0"/>
    <w:pPr>
      <w:tabs>
        <w:tab w:val="left" w:pos="5580"/>
      </w:tabs>
      <w:spacing w:after="120" w:line="240" w:lineRule="auto"/>
      <w:ind w:left="420" w:leftChars="200" w:firstLine="420" w:firstLineChars="200"/>
    </w:pPr>
    <w:rPr>
      <w:sz w:val="21"/>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922</Words>
  <Characters>1053</Characters>
  <Lines>0</Lines>
  <Paragraphs>0</Paragraphs>
  <TotalTime>0</TotalTime>
  <ScaleCrop>false</ScaleCrop>
  <LinksUpToDate>false</LinksUpToDate>
  <CharactersWithSpaces>1083</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2025-07-31T04:34:00Z</dcterms:created>
  <dc:creator>王蕾(2020620734)</dc:creator>
  <cp:lastModifiedBy>王蕾(2020620734)</cp:lastModifiedBy>
  <dcterms:modified xsi:type="dcterms:W3CDTF">2026-07-23T17:32:39Z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F310CFD21847A88127DF616A214B893B_43</vt:lpwstr>
  </property>
  <property fmtid="{D5CDD505-2E9C-101B-9397-08002B2CF9AE}" pid="4" name="KSOTemplateDocerSaveRecord">
    <vt:lpwstr>eyJoZGlkIjoiNWMyNjllMmU0YTcwZjNhMTY0NmE1Zjk3MGY5NmI4MWYiLCJ1c2VySWQiOiIzMzI1MjE3NTEifQ==</vt:lpwstr>
  </property>
</Properties>
</file>