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1600B">
      <w:pPr>
        <w:numPr>
          <w:ilvl w:val="0"/>
          <w:numId w:val="0"/>
        </w:numPr>
        <w:spacing w:line="440" w:lineRule="exact"/>
        <w:jc w:val="center"/>
        <w:rPr>
          <w:rFonts w:ascii="宋体" w:hAnsi="宋体" w:cs="宋体"/>
          <w:b/>
          <w:bCs/>
          <w:kern w:val="0"/>
          <w:sz w:val="30"/>
          <w:szCs w:val="30"/>
        </w:rPr>
      </w:pPr>
      <w:r>
        <w:rPr>
          <w:rFonts w:hint="eastAsia" w:ascii="宋体" w:hAnsi="宋体" w:cs="宋体"/>
          <w:b/>
          <w:bCs/>
          <w:kern w:val="0"/>
          <w:sz w:val="30"/>
          <w:szCs w:val="30"/>
          <w:lang w:val="en-US" w:eastAsia="zh-CN"/>
        </w:rPr>
        <w:t>天通苑</w:t>
      </w:r>
      <w:r>
        <w:rPr>
          <w:rFonts w:hint="eastAsia" w:ascii="宋体" w:hAnsi="宋体" w:cs="宋体"/>
          <w:b/>
          <w:bCs/>
          <w:kern w:val="0"/>
          <w:sz w:val="30"/>
          <w:szCs w:val="30"/>
        </w:rPr>
        <w:t>1</w:t>
      </w:r>
      <w:r>
        <w:rPr>
          <w:rFonts w:ascii="宋体" w:hAnsi="宋体" w:cs="宋体"/>
          <w:b/>
          <w:bCs/>
          <w:kern w:val="0"/>
          <w:sz w:val="30"/>
          <w:szCs w:val="30"/>
        </w:rPr>
        <w:t>7、</w:t>
      </w:r>
      <w:r>
        <w:rPr>
          <w:rFonts w:hint="eastAsia" w:ascii="宋体" w:hAnsi="宋体" w:cs="宋体"/>
          <w:b/>
          <w:bCs/>
          <w:kern w:val="0"/>
          <w:sz w:val="30"/>
          <w:szCs w:val="30"/>
        </w:rPr>
        <w:t>1</w:t>
      </w:r>
      <w:r>
        <w:rPr>
          <w:rFonts w:ascii="宋体" w:hAnsi="宋体" w:cs="宋体"/>
          <w:b/>
          <w:bCs/>
          <w:kern w:val="0"/>
          <w:sz w:val="30"/>
          <w:szCs w:val="30"/>
        </w:rPr>
        <w:t>8</w:t>
      </w:r>
      <w:r>
        <w:rPr>
          <w:rFonts w:hint="eastAsia" w:ascii="宋体" w:hAnsi="宋体" w:cs="宋体"/>
          <w:b/>
          <w:bCs/>
          <w:kern w:val="0"/>
          <w:sz w:val="30"/>
          <w:szCs w:val="30"/>
        </w:rPr>
        <w:t>号楼公共WIFI网络接入及维保服务</w:t>
      </w:r>
    </w:p>
    <w:p w14:paraId="2B4E1D3C">
      <w:pPr>
        <w:numPr>
          <w:ilvl w:val="0"/>
          <w:numId w:val="2"/>
        </w:numPr>
        <w:spacing w:line="440" w:lineRule="exact"/>
        <w:rPr>
          <w:rFonts w:ascii="宋体" w:hAnsi="宋体" w:cs="宋体"/>
          <w:b/>
          <w:bCs/>
          <w:kern w:val="0"/>
          <w:sz w:val="24"/>
        </w:rPr>
      </w:pPr>
      <w:r>
        <w:rPr>
          <w:rFonts w:hint="eastAsia" w:ascii="宋体" w:hAnsi="宋体" w:cs="宋体"/>
          <w:b/>
          <w:bCs/>
          <w:kern w:val="0"/>
          <w:sz w:val="24"/>
        </w:rPr>
        <w:t>项目介绍</w:t>
      </w:r>
    </w:p>
    <w:p w14:paraId="35E39886">
      <w:pPr>
        <w:spacing w:line="440" w:lineRule="exact"/>
        <w:rPr>
          <w:rFonts w:ascii="宋体" w:hAnsi="宋体" w:cs="宋体"/>
          <w:kern w:val="0"/>
          <w:sz w:val="24"/>
        </w:rPr>
      </w:pPr>
      <w:r>
        <w:rPr>
          <w:rFonts w:hint="eastAsia" w:ascii="宋体" w:hAnsi="宋体" w:cs="宋体"/>
          <w:kern w:val="0"/>
          <w:sz w:val="24"/>
        </w:rPr>
        <w:t>1</w:t>
      </w:r>
      <w:r>
        <w:rPr>
          <w:rFonts w:hint="eastAsia" w:eastAsia="仿宋_GB2312"/>
          <w:b/>
          <w:bCs/>
          <w:kern w:val="0"/>
          <w:sz w:val="24"/>
        </w:rPr>
        <w:t>、</w:t>
      </w:r>
      <w:r>
        <w:rPr>
          <w:rFonts w:hint="eastAsia" w:ascii="宋体" w:hAnsi="宋体" w:cs="宋体"/>
          <w:kern w:val="0"/>
          <w:sz w:val="24"/>
        </w:rPr>
        <w:t>项目名称：</w:t>
      </w:r>
      <w:r>
        <w:rPr>
          <w:rFonts w:hint="eastAsia" w:ascii="宋体" w:hAnsi="宋体" w:cs="宋体"/>
          <w:kern w:val="0"/>
          <w:sz w:val="24"/>
          <w:lang w:val="en-US" w:eastAsia="zh-CN"/>
        </w:rPr>
        <w:t>天通苑</w:t>
      </w:r>
      <w:bookmarkStart w:id="2" w:name="_GoBack"/>
      <w:bookmarkEnd w:id="2"/>
      <w:r>
        <w:rPr>
          <w:rFonts w:hint="eastAsia" w:ascii="宋体" w:hAnsi="宋体" w:cs="宋体"/>
          <w:kern w:val="0"/>
          <w:sz w:val="24"/>
        </w:rPr>
        <w:t>1</w:t>
      </w:r>
      <w:r>
        <w:rPr>
          <w:rFonts w:ascii="宋体" w:hAnsi="宋体" w:cs="宋体"/>
          <w:kern w:val="0"/>
          <w:sz w:val="24"/>
        </w:rPr>
        <w:t>7、</w:t>
      </w:r>
      <w:r>
        <w:rPr>
          <w:rFonts w:hint="eastAsia" w:ascii="宋体" w:hAnsi="宋体" w:cs="宋体"/>
          <w:kern w:val="0"/>
          <w:sz w:val="24"/>
        </w:rPr>
        <w:t>1</w:t>
      </w:r>
      <w:r>
        <w:rPr>
          <w:rFonts w:ascii="宋体" w:hAnsi="宋体" w:cs="宋体"/>
          <w:kern w:val="0"/>
          <w:sz w:val="24"/>
        </w:rPr>
        <w:t>8</w:t>
      </w:r>
      <w:r>
        <w:rPr>
          <w:rFonts w:hint="eastAsia" w:ascii="宋体" w:hAnsi="宋体" w:cs="宋体"/>
          <w:kern w:val="0"/>
          <w:sz w:val="24"/>
        </w:rPr>
        <w:t>号楼公共WIFI网络接入及维保服务</w:t>
      </w:r>
    </w:p>
    <w:p w14:paraId="49A5908E">
      <w:pPr>
        <w:spacing w:line="440" w:lineRule="exact"/>
        <w:jc w:val="left"/>
        <w:rPr>
          <w:rFonts w:ascii="TimesNewRomanPSMT" w:hAnsi="TimesNewRomanPSMT"/>
          <w:sz w:val="24"/>
        </w:rPr>
      </w:pPr>
      <w:r>
        <w:rPr>
          <w:rFonts w:hint="eastAsia" w:ascii="宋体" w:hAnsi="宋体"/>
          <w:sz w:val="24"/>
        </w:rPr>
        <w:t>2、项目内容：①1</w:t>
      </w:r>
      <w:r>
        <w:rPr>
          <w:rFonts w:ascii="宋体" w:hAnsi="宋体"/>
          <w:sz w:val="24"/>
        </w:rPr>
        <w:t>7</w:t>
      </w:r>
      <w:r>
        <w:rPr>
          <w:rFonts w:ascii="宋体" w:hAnsi="宋体" w:cs="宋体"/>
          <w:kern w:val="0"/>
          <w:sz w:val="24"/>
        </w:rPr>
        <w:t>号楼</w:t>
      </w:r>
      <w:bookmarkStart w:id="0" w:name="OLE_LINK11"/>
      <w:bookmarkStart w:id="1" w:name="OLE_LINK12"/>
      <w:r>
        <w:rPr>
          <w:rFonts w:hint="eastAsia" w:ascii="宋体" w:hAnsi="宋体" w:cs="宋体"/>
          <w:kern w:val="0"/>
          <w:sz w:val="24"/>
        </w:rPr>
        <w:t>公共wifi网络接入：</w:t>
      </w:r>
      <w:bookmarkEnd w:id="0"/>
      <w:bookmarkEnd w:id="1"/>
      <w:r>
        <w:rPr>
          <w:rFonts w:hint="eastAsia" w:ascii="宋体" w:hAnsi="宋体" w:cs="宋体"/>
          <w:kern w:val="0"/>
          <w:sz w:val="24"/>
        </w:rPr>
        <w:t>下行1000Mbps、上行100Mbps的互联网宽带接入服务1条</w:t>
      </w:r>
      <w:r>
        <w:rPr>
          <w:rFonts w:hint="eastAsia" w:ascii="TimesNewRomanPSMT" w:hAnsi="TimesNewRomanPSMT"/>
          <w:sz w:val="24"/>
        </w:rPr>
        <w:t xml:space="preserve"> ②1</w:t>
      </w:r>
      <w:r>
        <w:rPr>
          <w:rFonts w:ascii="TimesNewRomanPSMT" w:hAnsi="TimesNewRomanPSMT"/>
          <w:sz w:val="24"/>
        </w:rPr>
        <w:t>8号楼</w:t>
      </w:r>
      <w:r>
        <w:rPr>
          <w:rFonts w:hint="eastAsia" w:ascii="宋体" w:hAnsi="宋体" w:cs="宋体"/>
          <w:kern w:val="0"/>
          <w:sz w:val="24"/>
        </w:rPr>
        <w:t>公共wifi网络接入：</w:t>
      </w:r>
      <w:r>
        <w:rPr>
          <w:rFonts w:hint="eastAsia" w:ascii="TimesNewRomanPSMT" w:hAnsi="TimesNewRomanPSMT"/>
          <w:sz w:val="24"/>
        </w:rPr>
        <w:t>下行500M、上行50M的互联网宽带接入服务6条</w:t>
      </w:r>
      <w:r>
        <w:rPr>
          <w:rFonts w:ascii="TimesNewRomanPSMT" w:hAnsi="TimesNewRomanPSMT"/>
          <w:sz w:val="24"/>
        </w:rPr>
        <w:t xml:space="preserve"> </w:t>
      </w:r>
      <w:r>
        <w:rPr>
          <w:rFonts w:hint="eastAsia" w:ascii="TimesNewRomanPSMT" w:hAnsi="TimesNewRomanPSMT"/>
          <w:sz w:val="24"/>
        </w:rPr>
        <w:t>③维保服务</w:t>
      </w:r>
    </w:p>
    <w:p w14:paraId="2B49E8C7">
      <w:pPr>
        <w:spacing w:line="440" w:lineRule="exact"/>
        <w:jc w:val="left"/>
        <w:rPr>
          <w:rFonts w:ascii="TimesNewRomanPSMT" w:hAnsi="TimesNewRomanPSMT"/>
          <w:sz w:val="24"/>
        </w:rPr>
      </w:pPr>
      <w:r>
        <w:rPr>
          <w:rFonts w:hint="eastAsia" w:ascii="宋体" w:hAnsi="宋体" w:cs="宋体"/>
          <w:sz w:val="24"/>
        </w:rPr>
        <w:t>3</w:t>
      </w:r>
      <w:r>
        <w:rPr>
          <w:rFonts w:hint="eastAsia" w:ascii="TimesNewRomanPSMT" w:hAnsi="TimesNewRomanPSMT"/>
          <w:sz w:val="24"/>
        </w:rPr>
        <w:t>、服务期限：一年</w:t>
      </w:r>
    </w:p>
    <w:p w14:paraId="368C3E35">
      <w:pPr>
        <w:spacing w:line="440" w:lineRule="exact"/>
        <w:jc w:val="left"/>
        <w:rPr>
          <w:rFonts w:ascii="TimesNewRomanPSMT" w:hAnsi="TimesNewRomanPSMT"/>
          <w:b/>
          <w:bCs/>
          <w:sz w:val="24"/>
        </w:rPr>
      </w:pPr>
      <w:r>
        <w:rPr>
          <w:rFonts w:hint="eastAsia" w:ascii="TimesNewRomanPSMT" w:hAnsi="TimesNewRomanPSMT"/>
          <w:b/>
          <w:bCs/>
          <w:sz w:val="24"/>
        </w:rPr>
        <w:t>二、采购需求</w:t>
      </w:r>
    </w:p>
    <w:p w14:paraId="7D41CAB7">
      <w:pPr>
        <w:spacing w:line="440" w:lineRule="exact"/>
        <w:rPr>
          <w:rFonts w:ascii="宋体" w:hAnsi="宋体" w:cs="宋体"/>
          <w:kern w:val="0"/>
          <w:sz w:val="24"/>
        </w:rPr>
      </w:pPr>
      <w:r>
        <w:rPr>
          <w:rFonts w:hint="eastAsia" w:ascii="宋体" w:hAnsi="宋体" w:cs="宋体"/>
          <w:kern w:val="0"/>
          <w:sz w:val="24"/>
        </w:rPr>
        <w:t>1、提供无线设备的硬件维护，软件升级，提供故障设备的免费维修，保障期12个月。</w:t>
      </w:r>
    </w:p>
    <w:p w14:paraId="269385B4">
      <w:pPr>
        <w:spacing w:line="440" w:lineRule="exact"/>
        <w:rPr>
          <w:rFonts w:ascii="宋体" w:hAnsi="宋体" w:cs="宋体"/>
          <w:kern w:val="0"/>
          <w:sz w:val="24"/>
        </w:rPr>
      </w:pPr>
      <w:r>
        <w:rPr>
          <w:rFonts w:hint="eastAsia" w:ascii="宋体" w:hAnsi="宋体" w:cs="宋体"/>
          <w:kern w:val="0"/>
          <w:sz w:val="24"/>
        </w:rPr>
        <w:t>2、提供12个月的7*24小时远程及现场技术支持服务，客户反馈故障后，乙方能在1小时内进行响应并进行远程技术支持，远程技术支持无法及时解决问题的，乙方能在4小时内到达客户现场进行上门排障及处理；</w:t>
      </w:r>
    </w:p>
    <w:p w14:paraId="05CEC059">
      <w:pPr>
        <w:spacing w:line="440" w:lineRule="exact"/>
        <w:rPr>
          <w:rFonts w:ascii="宋体" w:hAnsi="宋体" w:cs="宋体"/>
          <w:color w:val="0000FF"/>
          <w:kern w:val="0"/>
          <w:sz w:val="24"/>
        </w:rPr>
      </w:pPr>
      <w:r>
        <w:rPr>
          <w:rFonts w:hint="eastAsia" w:ascii="宋体" w:hAnsi="宋体" w:cs="宋体"/>
          <w:kern w:val="0"/>
          <w:sz w:val="24"/>
        </w:rPr>
        <w:t>3、提供每个季度对整个无线网络系统软硬件进行一次现场巡检，在巡检过程中对潜在的风险故障点进行及时处理并提供巡检报告，服务期内现场巡检不少于4次，线上巡检不少于12次。</w:t>
      </w:r>
    </w:p>
    <w:p w14:paraId="1E4F6EDC">
      <w:pPr>
        <w:spacing w:line="440" w:lineRule="exact"/>
        <w:rPr>
          <w:rFonts w:ascii="宋体" w:hAnsi="宋体" w:cs="宋体"/>
          <w:kern w:val="0"/>
          <w:sz w:val="24"/>
        </w:rPr>
      </w:pPr>
      <w:r>
        <w:rPr>
          <w:rFonts w:hint="eastAsia" w:ascii="宋体" w:hAnsi="宋体" w:cs="宋体"/>
          <w:kern w:val="0"/>
          <w:sz w:val="24"/>
        </w:rPr>
        <w:t>4、提供云企星可视化平台运维服务。</w:t>
      </w:r>
    </w:p>
    <w:p w14:paraId="19532B19">
      <w:pPr>
        <w:spacing w:line="440" w:lineRule="exact"/>
        <w:rPr>
          <w:rFonts w:hint="eastAsia" w:ascii="宋体" w:hAnsi="宋体" w:cs="宋体"/>
          <w:kern w:val="0"/>
          <w:sz w:val="24"/>
        </w:rPr>
      </w:pPr>
      <w:r>
        <w:rPr>
          <w:rFonts w:hint="eastAsia" w:ascii="宋体" w:hAnsi="宋体" w:cs="宋体"/>
          <w:kern w:val="0"/>
          <w:sz w:val="24"/>
        </w:rPr>
        <w:t>5、提供用户上网行为管理特征库升级。</w:t>
      </w:r>
    </w:p>
    <w:p w14:paraId="2D2CCD23">
      <w:pPr>
        <w:spacing w:line="440" w:lineRule="exact"/>
        <w:rPr>
          <w:rFonts w:hint="default" w:ascii="宋体" w:hAnsi="宋体" w:eastAsia="宋体" w:cs="宋体"/>
          <w:kern w:val="0"/>
          <w:sz w:val="24"/>
          <w:lang w:val="en-US" w:eastAsia="zh-CN"/>
        </w:rPr>
      </w:pPr>
      <w:r>
        <w:rPr>
          <w:rFonts w:hint="eastAsia" w:ascii="宋体" w:hAnsi="宋体" w:cs="宋体"/>
          <w:kern w:val="0"/>
          <w:sz w:val="24"/>
          <w:lang w:val="en-US" w:eastAsia="zh-CN"/>
        </w:rPr>
        <w:t>6、网络设备清单详见附件1。</w:t>
      </w:r>
    </w:p>
    <w:p w14:paraId="3B8579B4">
      <w:pPr>
        <w:spacing w:line="440" w:lineRule="exact"/>
        <w:rPr>
          <w:rFonts w:ascii="宋体" w:hAnsi="宋体" w:cs="宋体"/>
          <w:b/>
          <w:bCs/>
          <w:kern w:val="0"/>
          <w:sz w:val="24"/>
        </w:rPr>
      </w:pPr>
      <w:r>
        <w:rPr>
          <w:rFonts w:hint="eastAsia" w:ascii="宋体" w:hAnsi="宋体" w:cs="宋体"/>
          <w:b/>
          <w:bCs/>
          <w:kern w:val="0"/>
          <w:sz w:val="24"/>
        </w:rPr>
        <w:t>三、服务要求</w:t>
      </w:r>
    </w:p>
    <w:p w14:paraId="681AE6F3">
      <w:pPr>
        <w:spacing w:line="440" w:lineRule="exact"/>
        <w:rPr>
          <w:rFonts w:hint="default" w:ascii="宋体" w:hAnsi="宋体" w:cs="宋体"/>
          <w:b/>
          <w:bCs/>
          <w:kern w:val="0"/>
          <w:sz w:val="24"/>
          <w:lang w:val="en-US" w:eastAsia="zh-CN"/>
        </w:rPr>
      </w:pPr>
      <w:r>
        <w:rPr>
          <w:rFonts w:hint="eastAsia" w:ascii="宋体" w:hAnsi="宋体" w:cs="宋体"/>
          <w:kern w:val="0"/>
          <w:sz w:val="24"/>
        </w:rPr>
        <w:t>合约期内无继续用网需求，在提前30天通知厂商的情况下，可随时终止合约。</w:t>
      </w:r>
    </w:p>
    <w:p w14:paraId="12F9BDDB">
      <w:pPr>
        <w:spacing w:line="440" w:lineRule="exact"/>
        <w:jc w:val="left"/>
        <w:rPr>
          <w:rFonts w:ascii="TimesNewRomanPSMT" w:hAnsi="TimesNewRomanPSMT"/>
          <w:b/>
          <w:bCs/>
          <w:sz w:val="24"/>
        </w:rPr>
      </w:pPr>
      <w:r>
        <w:rPr>
          <w:rFonts w:hint="eastAsia" w:ascii="TimesNewRomanPSMT" w:hAnsi="TimesNewRomanPSMT"/>
          <w:b/>
          <w:bCs/>
          <w:sz w:val="24"/>
          <w:lang w:val="en-US" w:eastAsia="zh-CN"/>
        </w:rPr>
        <w:t>四</w:t>
      </w:r>
      <w:r>
        <w:rPr>
          <w:rFonts w:hint="eastAsia" w:ascii="TimesNewRomanPSMT" w:hAnsi="TimesNewRomanPSMT"/>
          <w:b/>
          <w:bCs/>
          <w:sz w:val="24"/>
        </w:rPr>
        <w:t>、报价需求</w:t>
      </w:r>
    </w:p>
    <w:p w14:paraId="5C587B8B">
      <w:pPr>
        <w:spacing w:line="440" w:lineRule="exact"/>
        <w:rPr>
          <w:rFonts w:hint="default" w:ascii="宋体" w:hAnsi="宋体" w:eastAsia="宋体" w:cs="宋体"/>
          <w:kern w:val="0"/>
          <w:sz w:val="24"/>
          <w:lang w:val="en-US" w:eastAsia="zh-CN"/>
        </w:rPr>
      </w:pPr>
      <w:r>
        <w:rPr>
          <w:rFonts w:hint="eastAsia" w:ascii="宋体" w:hAnsi="宋体" w:eastAsia="宋体" w:cs="宋体"/>
          <w:kern w:val="0"/>
          <w:sz w:val="24"/>
        </w:rPr>
        <w:t>本次服务期限为一年</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年服务费不超过</w:t>
      </w:r>
      <w:r>
        <w:rPr>
          <w:rFonts w:hint="eastAsia" w:ascii="宋体" w:hAnsi="宋体" w:eastAsia="宋体" w:cs="宋体"/>
          <w:kern w:val="0"/>
          <w:sz w:val="24"/>
        </w:rPr>
        <w:t>206,945.81元</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供应商需提供明确的总服务费，以总服务费进行评分。实际结算时按月结算。</w:t>
      </w:r>
    </w:p>
    <w:p w14:paraId="186E86C9">
      <w:pPr>
        <w:spacing w:line="440" w:lineRule="exact"/>
        <w:jc w:val="left"/>
        <w:rPr>
          <w:rFonts w:hint="eastAsia" w:ascii="TimesNewRomanPSMT" w:hAnsi="TimesNewRomanPSMT"/>
          <w:b/>
          <w:bCs/>
          <w:sz w:val="24"/>
          <w:lang w:val="en-US" w:eastAsia="zh-CN"/>
        </w:rPr>
      </w:pPr>
      <w:r>
        <w:rPr>
          <w:rFonts w:hint="eastAsia" w:ascii="TimesNewRomanPSMT" w:hAnsi="TimesNewRomanPSMT"/>
          <w:b/>
          <w:bCs/>
          <w:sz w:val="24"/>
          <w:lang w:val="en-US" w:eastAsia="zh-CN"/>
        </w:rPr>
        <w:t>五、评审原则</w:t>
      </w:r>
    </w:p>
    <w:p w14:paraId="2F916936">
      <w:pPr>
        <w:numPr>
          <w:ilvl w:val="0"/>
          <w:numId w:val="0"/>
        </w:numPr>
        <w:spacing w:line="440" w:lineRule="exact"/>
        <w:rPr>
          <w:rFonts w:hint="default" w:ascii="宋体" w:hAnsi="宋体" w:cs="宋体"/>
          <w:kern w:val="0"/>
          <w:sz w:val="24"/>
          <w:lang w:val="en-US" w:eastAsia="zh-CN"/>
        </w:rPr>
      </w:pPr>
      <w:r>
        <w:rPr>
          <w:rFonts w:hint="eastAsia" w:ascii="宋体" w:hAnsi="宋体" w:cs="宋体"/>
          <w:kern w:val="0"/>
          <w:sz w:val="24"/>
          <w:lang w:val="en-US" w:eastAsia="zh-CN"/>
        </w:rPr>
        <w:t>本次采用综合评分，评分表详见附件2。</w:t>
      </w:r>
    </w:p>
    <w:p w14:paraId="692EE50C">
      <w:pPr>
        <w:rPr>
          <w:rFonts w:hint="eastAsia" w:ascii="宋体" w:hAnsi="宋体" w:cs="宋体"/>
          <w:kern w:val="0"/>
          <w:sz w:val="24"/>
          <w:lang w:val="en-US" w:eastAsia="zh-CN"/>
        </w:rPr>
      </w:pPr>
      <w:r>
        <w:rPr>
          <w:rFonts w:hint="eastAsia" w:ascii="宋体" w:hAnsi="宋体" w:cs="宋体"/>
          <w:kern w:val="0"/>
          <w:sz w:val="24"/>
          <w:lang w:val="en-US" w:eastAsia="zh-CN"/>
        </w:rPr>
        <w:br w:type="page"/>
      </w:r>
    </w:p>
    <w:p w14:paraId="0AA13713">
      <w:pPr>
        <w:spacing w:line="360" w:lineRule="auto"/>
        <w:jc w:val="left"/>
        <w:rPr>
          <w:rFonts w:eastAsia="仿宋_GB2312"/>
          <w:kern w:val="0"/>
          <w:sz w:val="28"/>
          <w:szCs w:val="28"/>
        </w:rPr>
      </w:pPr>
      <w:r>
        <w:rPr>
          <w:rFonts w:hint="eastAsia" w:eastAsia="仿宋_GB2312"/>
          <w:b/>
          <w:bCs/>
          <w:kern w:val="0"/>
          <w:sz w:val="28"/>
          <w:szCs w:val="28"/>
          <w:lang w:val="en-US" w:eastAsia="zh-CN"/>
        </w:rPr>
        <w:t>附件1：</w:t>
      </w:r>
      <w:r>
        <w:rPr>
          <w:rFonts w:eastAsia="仿宋_GB2312"/>
          <w:b/>
          <w:bCs/>
          <w:kern w:val="0"/>
          <w:sz w:val="28"/>
          <w:szCs w:val="28"/>
        </w:rPr>
        <w:t>17、</w:t>
      </w:r>
      <w:r>
        <w:rPr>
          <w:rFonts w:hint="eastAsia" w:eastAsia="仿宋_GB2312"/>
          <w:b/>
          <w:bCs/>
          <w:kern w:val="0"/>
          <w:sz w:val="28"/>
          <w:szCs w:val="28"/>
        </w:rPr>
        <w:t>1</w:t>
      </w:r>
      <w:r>
        <w:rPr>
          <w:rFonts w:eastAsia="仿宋_GB2312"/>
          <w:b/>
          <w:bCs/>
          <w:kern w:val="0"/>
          <w:sz w:val="28"/>
          <w:szCs w:val="28"/>
        </w:rPr>
        <w:t>8号楼维保服务所涉及的网络设备清单</w:t>
      </w:r>
    </w:p>
    <w:p w14:paraId="7D2CAF51">
      <w:pPr>
        <w:spacing w:line="360" w:lineRule="auto"/>
        <w:rPr>
          <w:rFonts w:eastAsia="仿宋_GB2312"/>
          <w:kern w:val="0"/>
          <w:sz w:val="24"/>
        </w:rPr>
      </w:pPr>
      <w:r>
        <w:rPr>
          <w:rFonts w:eastAsia="仿宋_GB2312"/>
          <w:kern w:val="0"/>
          <w:sz w:val="24"/>
        </w:rPr>
        <w:t>1、17号楼涉及相关设备及软件：</w:t>
      </w:r>
    </w:p>
    <w:tbl>
      <w:tblPr>
        <w:tblStyle w:val="7"/>
        <w:tblW w:w="5000" w:type="pct"/>
        <w:tblInd w:w="0" w:type="dxa"/>
        <w:tblLayout w:type="autofit"/>
        <w:tblCellMar>
          <w:top w:w="0" w:type="dxa"/>
          <w:left w:w="108" w:type="dxa"/>
          <w:bottom w:w="0" w:type="dxa"/>
          <w:right w:w="108" w:type="dxa"/>
        </w:tblCellMar>
      </w:tblPr>
      <w:tblGrid>
        <w:gridCol w:w="445"/>
        <w:gridCol w:w="1864"/>
        <w:gridCol w:w="2777"/>
        <w:gridCol w:w="2991"/>
        <w:gridCol w:w="445"/>
      </w:tblGrid>
      <w:tr w14:paraId="0B9158BF">
        <w:tblPrEx>
          <w:tblCellMar>
            <w:top w:w="0" w:type="dxa"/>
            <w:left w:w="108" w:type="dxa"/>
            <w:bottom w:w="0" w:type="dxa"/>
            <w:right w:w="108" w:type="dxa"/>
          </w:tblCellMar>
        </w:tblPrEx>
        <w:trPr>
          <w:trHeight w:val="634" w:hRule="atLeast"/>
        </w:trPr>
        <w:tc>
          <w:tcPr>
            <w:tcW w:w="261" w:type="pct"/>
            <w:tcBorders>
              <w:top w:val="single" w:color="auto" w:sz="4" w:space="0"/>
              <w:left w:val="single" w:color="auto" w:sz="4" w:space="0"/>
              <w:bottom w:val="single" w:color="auto" w:sz="4" w:space="0"/>
              <w:right w:val="single" w:color="auto" w:sz="4" w:space="0"/>
            </w:tcBorders>
            <w:shd w:val="clear" w:color="000000" w:fill="C0C0C0"/>
            <w:vAlign w:val="center"/>
          </w:tcPr>
          <w:p w14:paraId="41247813">
            <w:pPr>
              <w:widowControl/>
              <w:jc w:val="center"/>
              <w:rPr>
                <w:rFonts w:eastAsia="仿宋_GB2312"/>
                <w:b/>
                <w:bCs/>
                <w:kern w:val="0"/>
                <w:sz w:val="24"/>
              </w:rPr>
            </w:pPr>
            <w:r>
              <w:rPr>
                <w:rFonts w:eastAsia="仿宋_GB2312"/>
                <w:b/>
                <w:bCs/>
                <w:kern w:val="0"/>
                <w:sz w:val="24"/>
              </w:rPr>
              <w:t>序号</w:t>
            </w:r>
          </w:p>
        </w:tc>
        <w:tc>
          <w:tcPr>
            <w:tcW w:w="1094" w:type="pct"/>
            <w:tcBorders>
              <w:top w:val="single" w:color="auto" w:sz="4" w:space="0"/>
              <w:left w:val="single" w:color="auto" w:sz="4" w:space="0"/>
              <w:bottom w:val="single" w:color="auto" w:sz="4" w:space="0"/>
              <w:right w:val="single" w:color="auto" w:sz="4" w:space="0"/>
            </w:tcBorders>
            <w:shd w:val="clear" w:color="000000" w:fill="C0C0C0"/>
            <w:vAlign w:val="center"/>
          </w:tcPr>
          <w:p w14:paraId="7BFF3811">
            <w:pPr>
              <w:widowControl/>
              <w:jc w:val="center"/>
              <w:rPr>
                <w:rFonts w:eastAsia="仿宋_GB2312"/>
                <w:b/>
                <w:bCs/>
                <w:kern w:val="0"/>
                <w:sz w:val="24"/>
              </w:rPr>
            </w:pPr>
            <w:r>
              <w:rPr>
                <w:rFonts w:eastAsia="仿宋_GB2312"/>
                <w:b/>
                <w:bCs/>
                <w:kern w:val="0"/>
                <w:sz w:val="24"/>
              </w:rPr>
              <w:t>设备名称</w:t>
            </w:r>
          </w:p>
        </w:tc>
        <w:tc>
          <w:tcPr>
            <w:tcW w:w="1629" w:type="pct"/>
            <w:tcBorders>
              <w:top w:val="single" w:color="auto" w:sz="4" w:space="0"/>
              <w:left w:val="single" w:color="auto" w:sz="4" w:space="0"/>
              <w:bottom w:val="single" w:color="auto" w:sz="4" w:space="0"/>
              <w:right w:val="single" w:color="auto" w:sz="4" w:space="0"/>
            </w:tcBorders>
            <w:shd w:val="clear" w:color="000000" w:fill="C0C0C0"/>
            <w:vAlign w:val="center"/>
          </w:tcPr>
          <w:p w14:paraId="4480DC71">
            <w:pPr>
              <w:widowControl/>
              <w:jc w:val="center"/>
              <w:rPr>
                <w:rFonts w:eastAsia="仿宋_GB2312"/>
                <w:b/>
                <w:bCs/>
                <w:kern w:val="0"/>
                <w:sz w:val="24"/>
              </w:rPr>
            </w:pPr>
            <w:r>
              <w:rPr>
                <w:rFonts w:eastAsia="仿宋_GB2312"/>
                <w:b/>
                <w:bCs/>
                <w:kern w:val="0"/>
                <w:sz w:val="24"/>
              </w:rPr>
              <w:t>设备型号</w:t>
            </w:r>
          </w:p>
        </w:tc>
        <w:tc>
          <w:tcPr>
            <w:tcW w:w="1755" w:type="pct"/>
            <w:tcBorders>
              <w:top w:val="single" w:color="auto" w:sz="4" w:space="0"/>
              <w:left w:val="single" w:color="auto" w:sz="4" w:space="0"/>
              <w:bottom w:val="single" w:color="auto" w:sz="4" w:space="0"/>
              <w:right w:val="single" w:color="auto" w:sz="4" w:space="0"/>
            </w:tcBorders>
            <w:shd w:val="clear" w:color="000000" w:fill="C0C0C0"/>
            <w:vAlign w:val="center"/>
          </w:tcPr>
          <w:p w14:paraId="7F8B8BD3">
            <w:pPr>
              <w:widowControl/>
              <w:jc w:val="center"/>
              <w:rPr>
                <w:rFonts w:eastAsia="仿宋_GB2312"/>
                <w:b/>
                <w:bCs/>
                <w:kern w:val="0"/>
                <w:sz w:val="24"/>
              </w:rPr>
            </w:pPr>
            <w:r>
              <w:rPr>
                <w:rFonts w:eastAsia="仿宋_GB2312"/>
                <w:b/>
                <w:bCs/>
                <w:kern w:val="0"/>
                <w:sz w:val="24"/>
              </w:rPr>
              <w:t>设备属性</w:t>
            </w:r>
          </w:p>
        </w:tc>
        <w:tc>
          <w:tcPr>
            <w:tcW w:w="261" w:type="pct"/>
            <w:tcBorders>
              <w:top w:val="single" w:color="auto" w:sz="4" w:space="0"/>
              <w:left w:val="single" w:color="auto" w:sz="4" w:space="0"/>
              <w:bottom w:val="single" w:color="auto" w:sz="4" w:space="0"/>
              <w:right w:val="single" w:color="auto" w:sz="4" w:space="0"/>
            </w:tcBorders>
            <w:shd w:val="clear" w:color="000000" w:fill="C0C0C0"/>
            <w:vAlign w:val="center"/>
          </w:tcPr>
          <w:p w14:paraId="4010FA5A">
            <w:pPr>
              <w:widowControl/>
              <w:jc w:val="center"/>
              <w:rPr>
                <w:rFonts w:eastAsia="仿宋_GB2312"/>
                <w:b/>
                <w:bCs/>
                <w:kern w:val="0"/>
                <w:sz w:val="24"/>
              </w:rPr>
            </w:pPr>
            <w:r>
              <w:rPr>
                <w:rFonts w:eastAsia="仿宋_GB2312"/>
                <w:b/>
                <w:bCs/>
                <w:kern w:val="0"/>
                <w:sz w:val="24"/>
              </w:rPr>
              <w:t>数量</w:t>
            </w:r>
          </w:p>
        </w:tc>
      </w:tr>
      <w:tr w14:paraId="322CB986">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251825BB">
            <w:pPr>
              <w:widowControl/>
              <w:jc w:val="center"/>
              <w:rPr>
                <w:rFonts w:eastAsia="仿宋_GB2312"/>
                <w:kern w:val="0"/>
                <w:sz w:val="24"/>
              </w:rPr>
            </w:pPr>
            <w:r>
              <w:rPr>
                <w:rFonts w:eastAsia="仿宋_GB2312"/>
                <w:kern w:val="0"/>
                <w:sz w:val="24"/>
              </w:rPr>
              <w:t>1</w:t>
            </w:r>
          </w:p>
        </w:tc>
        <w:tc>
          <w:tcPr>
            <w:tcW w:w="1094" w:type="pct"/>
            <w:tcBorders>
              <w:top w:val="nil"/>
              <w:left w:val="nil"/>
              <w:bottom w:val="single" w:color="auto" w:sz="4" w:space="0"/>
              <w:right w:val="single" w:color="auto" w:sz="4" w:space="0"/>
            </w:tcBorders>
            <w:shd w:val="clear" w:color="auto" w:fill="FFFFFF"/>
            <w:vAlign w:val="center"/>
          </w:tcPr>
          <w:p w14:paraId="7F98CDF0">
            <w:pPr>
              <w:widowControl/>
              <w:jc w:val="center"/>
              <w:rPr>
                <w:rFonts w:eastAsia="仿宋_GB2312"/>
                <w:kern w:val="0"/>
                <w:sz w:val="24"/>
              </w:rPr>
            </w:pPr>
            <w:r>
              <w:rPr>
                <w:rFonts w:eastAsia="仿宋_GB2312"/>
                <w:kern w:val="0"/>
                <w:sz w:val="24"/>
              </w:rPr>
              <w:t>防火墙</w:t>
            </w:r>
          </w:p>
        </w:tc>
        <w:tc>
          <w:tcPr>
            <w:tcW w:w="1629" w:type="pct"/>
            <w:tcBorders>
              <w:top w:val="nil"/>
              <w:left w:val="nil"/>
              <w:bottom w:val="single" w:color="auto" w:sz="4" w:space="0"/>
              <w:right w:val="single" w:color="auto" w:sz="4" w:space="0"/>
            </w:tcBorders>
            <w:shd w:val="clear" w:color="auto" w:fill="FFFFFF"/>
            <w:vAlign w:val="center"/>
          </w:tcPr>
          <w:p w14:paraId="6B9977E5">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1F71345E">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3D1048BC">
            <w:pPr>
              <w:widowControl/>
              <w:jc w:val="center"/>
              <w:rPr>
                <w:rFonts w:eastAsia="仿宋_GB2312"/>
                <w:kern w:val="0"/>
                <w:sz w:val="24"/>
              </w:rPr>
            </w:pPr>
          </w:p>
        </w:tc>
      </w:tr>
      <w:tr w14:paraId="593C2C25">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vAlign w:val="center"/>
          </w:tcPr>
          <w:p w14:paraId="61A9E69F">
            <w:pPr>
              <w:widowControl/>
              <w:jc w:val="center"/>
              <w:rPr>
                <w:rFonts w:eastAsia="仿宋_GB2312"/>
                <w:kern w:val="0"/>
                <w:sz w:val="24"/>
              </w:rPr>
            </w:pPr>
          </w:p>
        </w:tc>
        <w:tc>
          <w:tcPr>
            <w:tcW w:w="1094" w:type="pct"/>
            <w:tcBorders>
              <w:top w:val="nil"/>
              <w:left w:val="nil"/>
              <w:bottom w:val="single" w:color="auto" w:sz="4" w:space="0"/>
              <w:right w:val="single" w:color="auto" w:sz="4" w:space="0"/>
            </w:tcBorders>
            <w:vAlign w:val="center"/>
          </w:tcPr>
          <w:p w14:paraId="735B3C78">
            <w:pPr>
              <w:widowControl/>
              <w:jc w:val="center"/>
              <w:rPr>
                <w:rFonts w:eastAsia="仿宋_GB2312"/>
                <w:kern w:val="0"/>
                <w:sz w:val="24"/>
              </w:rPr>
            </w:pPr>
            <w:r>
              <w:rPr>
                <w:rFonts w:eastAsia="仿宋_GB2312"/>
                <w:kern w:val="0"/>
                <w:sz w:val="24"/>
              </w:rPr>
              <w:t>H3C F1000-AI Series #1</w:t>
            </w:r>
          </w:p>
        </w:tc>
        <w:tc>
          <w:tcPr>
            <w:tcW w:w="1629" w:type="pct"/>
            <w:tcBorders>
              <w:top w:val="nil"/>
              <w:left w:val="nil"/>
              <w:bottom w:val="single" w:color="auto" w:sz="4" w:space="0"/>
              <w:right w:val="single" w:color="auto" w:sz="4" w:space="0"/>
            </w:tcBorders>
            <w:vAlign w:val="center"/>
          </w:tcPr>
          <w:p w14:paraId="200519E7">
            <w:pPr>
              <w:widowControl/>
              <w:jc w:val="center"/>
              <w:rPr>
                <w:rFonts w:eastAsia="仿宋_GB2312"/>
                <w:kern w:val="0"/>
                <w:sz w:val="24"/>
              </w:rPr>
            </w:pPr>
          </w:p>
        </w:tc>
        <w:tc>
          <w:tcPr>
            <w:tcW w:w="1755" w:type="pct"/>
            <w:tcBorders>
              <w:top w:val="nil"/>
              <w:left w:val="nil"/>
              <w:bottom w:val="single" w:color="auto" w:sz="4" w:space="0"/>
              <w:right w:val="single" w:color="auto" w:sz="4" w:space="0"/>
            </w:tcBorders>
            <w:vAlign w:val="center"/>
          </w:tcPr>
          <w:p w14:paraId="3B12572D">
            <w:pPr>
              <w:widowControl/>
              <w:jc w:val="center"/>
              <w:rPr>
                <w:rFonts w:eastAsia="仿宋_GB2312"/>
                <w:kern w:val="0"/>
                <w:sz w:val="24"/>
              </w:rPr>
            </w:pPr>
          </w:p>
        </w:tc>
        <w:tc>
          <w:tcPr>
            <w:tcW w:w="261" w:type="pct"/>
            <w:tcBorders>
              <w:top w:val="nil"/>
              <w:left w:val="nil"/>
              <w:bottom w:val="single" w:color="auto" w:sz="4" w:space="0"/>
              <w:right w:val="single" w:color="auto" w:sz="4" w:space="0"/>
            </w:tcBorders>
            <w:vAlign w:val="center"/>
          </w:tcPr>
          <w:p w14:paraId="3EB1EB05">
            <w:pPr>
              <w:widowControl/>
              <w:jc w:val="center"/>
              <w:rPr>
                <w:rFonts w:eastAsia="仿宋_GB2312"/>
                <w:kern w:val="0"/>
                <w:sz w:val="24"/>
              </w:rPr>
            </w:pPr>
          </w:p>
        </w:tc>
      </w:tr>
      <w:tr w14:paraId="45907880">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vAlign w:val="center"/>
          </w:tcPr>
          <w:p w14:paraId="422E3CC9">
            <w:pPr>
              <w:widowControl/>
              <w:jc w:val="center"/>
              <w:rPr>
                <w:rFonts w:eastAsia="仿宋_GB2312"/>
                <w:kern w:val="0"/>
                <w:sz w:val="24"/>
              </w:rPr>
            </w:pPr>
          </w:p>
        </w:tc>
        <w:tc>
          <w:tcPr>
            <w:tcW w:w="1094" w:type="pct"/>
            <w:tcBorders>
              <w:top w:val="nil"/>
              <w:left w:val="nil"/>
              <w:bottom w:val="single" w:color="auto" w:sz="4" w:space="0"/>
              <w:right w:val="single" w:color="auto" w:sz="4" w:space="0"/>
            </w:tcBorders>
            <w:vAlign w:val="center"/>
          </w:tcPr>
          <w:p w14:paraId="487D702D">
            <w:pPr>
              <w:widowControl/>
              <w:jc w:val="center"/>
              <w:rPr>
                <w:rFonts w:eastAsia="仿宋_GB2312"/>
                <w:kern w:val="0"/>
                <w:sz w:val="24"/>
              </w:rPr>
            </w:pPr>
            <w:r>
              <w:rPr>
                <w:rFonts w:eastAsia="仿宋_GB2312"/>
                <w:kern w:val="0"/>
                <w:sz w:val="24"/>
              </w:rPr>
              <w:t>9801A2UY</w:t>
            </w:r>
          </w:p>
        </w:tc>
        <w:tc>
          <w:tcPr>
            <w:tcW w:w="1629" w:type="pct"/>
            <w:tcBorders>
              <w:top w:val="nil"/>
              <w:left w:val="nil"/>
              <w:bottom w:val="single" w:color="auto" w:sz="4" w:space="0"/>
              <w:right w:val="single" w:color="auto" w:sz="4" w:space="0"/>
            </w:tcBorders>
            <w:vAlign w:val="center"/>
          </w:tcPr>
          <w:p w14:paraId="778C42C9">
            <w:pPr>
              <w:widowControl/>
              <w:jc w:val="center"/>
              <w:rPr>
                <w:rFonts w:eastAsia="仿宋_GB2312"/>
                <w:kern w:val="0"/>
                <w:sz w:val="24"/>
              </w:rPr>
            </w:pPr>
            <w:r>
              <w:rPr>
                <w:rFonts w:eastAsia="仿宋_GB2312"/>
                <w:kern w:val="0"/>
                <w:sz w:val="24"/>
              </w:rPr>
              <w:t>H3C SecPath F1000-AI-05</w:t>
            </w:r>
          </w:p>
        </w:tc>
        <w:tc>
          <w:tcPr>
            <w:tcW w:w="1755" w:type="pct"/>
            <w:tcBorders>
              <w:top w:val="nil"/>
              <w:left w:val="nil"/>
              <w:bottom w:val="single" w:color="auto" w:sz="4" w:space="0"/>
              <w:right w:val="single" w:color="auto" w:sz="4" w:space="0"/>
            </w:tcBorders>
            <w:vAlign w:val="center"/>
          </w:tcPr>
          <w:p w14:paraId="7669336D">
            <w:pPr>
              <w:widowControl/>
              <w:jc w:val="center"/>
              <w:rPr>
                <w:rFonts w:eastAsia="仿宋_GB2312"/>
                <w:kern w:val="0"/>
                <w:sz w:val="24"/>
              </w:rPr>
            </w:pPr>
            <w:r>
              <w:rPr>
                <w:rFonts w:eastAsia="仿宋_GB2312"/>
                <w:kern w:val="0"/>
                <w:sz w:val="24"/>
              </w:rPr>
              <w:t>NS-SecPath F1000-AI-05</w:t>
            </w:r>
          </w:p>
        </w:tc>
        <w:tc>
          <w:tcPr>
            <w:tcW w:w="261" w:type="pct"/>
            <w:tcBorders>
              <w:top w:val="nil"/>
              <w:left w:val="nil"/>
              <w:bottom w:val="single" w:color="auto" w:sz="4" w:space="0"/>
              <w:right w:val="single" w:color="auto" w:sz="4" w:space="0"/>
            </w:tcBorders>
            <w:vAlign w:val="center"/>
          </w:tcPr>
          <w:p w14:paraId="6D6CADDC">
            <w:pPr>
              <w:widowControl/>
              <w:jc w:val="center"/>
              <w:rPr>
                <w:rFonts w:eastAsia="仿宋_GB2312"/>
                <w:kern w:val="0"/>
                <w:sz w:val="24"/>
              </w:rPr>
            </w:pPr>
            <w:r>
              <w:rPr>
                <w:rFonts w:eastAsia="仿宋_GB2312"/>
                <w:kern w:val="0"/>
                <w:sz w:val="24"/>
              </w:rPr>
              <w:t>1</w:t>
            </w:r>
          </w:p>
        </w:tc>
      </w:tr>
      <w:tr w14:paraId="6D81312C">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01A04396">
            <w:pPr>
              <w:widowControl/>
              <w:jc w:val="center"/>
              <w:rPr>
                <w:rFonts w:eastAsia="仿宋_GB2312"/>
                <w:kern w:val="0"/>
                <w:sz w:val="24"/>
              </w:rPr>
            </w:pPr>
            <w:r>
              <w:rPr>
                <w:rFonts w:eastAsia="仿宋_GB2312"/>
                <w:kern w:val="0"/>
                <w:sz w:val="24"/>
              </w:rPr>
              <w:t>2</w:t>
            </w:r>
          </w:p>
        </w:tc>
        <w:tc>
          <w:tcPr>
            <w:tcW w:w="1094" w:type="pct"/>
            <w:tcBorders>
              <w:top w:val="nil"/>
              <w:left w:val="nil"/>
              <w:bottom w:val="single" w:color="auto" w:sz="4" w:space="0"/>
              <w:right w:val="single" w:color="auto" w:sz="4" w:space="0"/>
            </w:tcBorders>
            <w:shd w:val="clear" w:color="auto" w:fill="FFFFFF"/>
            <w:vAlign w:val="center"/>
          </w:tcPr>
          <w:p w14:paraId="425DF2B9">
            <w:pPr>
              <w:widowControl/>
              <w:jc w:val="center"/>
              <w:rPr>
                <w:rFonts w:eastAsia="仿宋_GB2312"/>
                <w:kern w:val="0"/>
                <w:sz w:val="24"/>
              </w:rPr>
            </w:pPr>
            <w:r>
              <w:rPr>
                <w:rFonts w:eastAsia="仿宋_GB2312"/>
                <w:kern w:val="0"/>
                <w:sz w:val="24"/>
              </w:rPr>
              <w:t>AC+AP</w:t>
            </w:r>
          </w:p>
        </w:tc>
        <w:tc>
          <w:tcPr>
            <w:tcW w:w="1629" w:type="pct"/>
            <w:tcBorders>
              <w:top w:val="nil"/>
              <w:left w:val="nil"/>
              <w:bottom w:val="single" w:color="auto" w:sz="4" w:space="0"/>
              <w:right w:val="single" w:color="auto" w:sz="4" w:space="0"/>
            </w:tcBorders>
            <w:shd w:val="clear" w:color="auto" w:fill="FFFFFF"/>
            <w:vAlign w:val="center"/>
          </w:tcPr>
          <w:p w14:paraId="177B88AB">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52667785">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4A71FB79">
            <w:pPr>
              <w:widowControl/>
              <w:jc w:val="center"/>
              <w:rPr>
                <w:rFonts w:eastAsia="仿宋_GB2312"/>
                <w:kern w:val="0"/>
                <w:sz w:val="24"/>
              </w:rPr>
            </w:pPr>
          </w:p>
        </w:tc>
      </w:tr>
      <w:tr w14:paraId="495A3F61">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3199E1D8">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13FD2186">
            <w:pPr>
              <w:widowControl/>
              <w:jc w:val="center"/>
              <w:rPr>
                <w:rFonts w:eastAsia="仿宋_GB2312"/>
                <w:kern w:val="0"/>
                <w:sz w:val="24"/>
              </w:rPr>
            </w:pPr>
            <w:r>
              <w:rPr>
                <w:rFonts w:eastAsia="仿宋_GB2312"/>
                <w:kern w:val="0"/>
                <w:sz w:val="24"/>
              </w:rPr>
              <w:t>H3C WirelessACV7Fit #1</w:t>
            </w:r>
          </w:p>
        </w:tc>
        <w:tc>
          <w:tcPr>
            <w:tcW w:w="1629" w:type="pct"/>
            <w:tcBorders>
              <w:top w:val="nil"/>
              <w:left w:val="nil"/>
              <w:bottom w:val="single" w:color="auto" w:sz="4" w:space="0"/>
              <w:right w:val="single" w:color="auto" w:sz="4" w:space="0"/>
            </w:tcBorders>
            <w:shd w:val="clear" w:color="auto" w:fill="FFFFFF"/>
            <w:vAlign w:val="center"/>
          </w:tcPr>
          <w:p w14:paraId="46B06395">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7AE2786E">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21435AFA">
            <w:pPr>
              <w:widowControl/>
              <w:jc w:val="center"/>
              <w:rPr>
                <w:rFonts w:eastAsia="仿宋_GB2312"/>
                <w:kern w:val="0"/>
                <w:sz w:val="24"/>
              </w:rPr>
            </w:pPr>
          </w:p>
        </w:tc>
      </w:tr>
      <w:tr w14:paraId="08199BA7">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0589A546">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4DAA9EBF">
            <w:pPr>
              <w:widowControl/>
              <w:jc w:val="center"/>
              <w:rPr>
                <w:rFonts w:eastAsia="仿宋_GB2312"/>
                <w:kern w:val="0"/>
                <w:sz w:val="24"/>
              </w:rPr>
            </w:pPr>
          </w:p>
        </w:tc>
        <w:tc>
          <w:tcPr>
            <w:tcW w:w="1629" w:type="pct"/>
            <w:tcBorders>
              <w:top w:val="nil"/>
              <w:left w:val="nil"/>
              <w:bottom w:val="single" w:color="auto" w:sz="4" w:space="0"/>
              <w:right w:val="single" w:color="auto" w:sz="4" w:space="0"/>
            </w:tcBorders>
            <w:shd w:val="clear" w:color="auto" w:fill="FFFFFF"/>
            <w:vAlign w:val="center"/>
          </w:tcPr>
          <w:p w14:paraId="6907FA89">
            <w:pPr>
              <w:widowControl/>
              <w:jc w:val="center"/>
              <w:rPr>
                <w:rFonts w:eastAsia="仿宋_GB2312"/>
                <w:kern w:val="0"/>
                <w:sz w:val="24"/>
              </w:rPr>
            </w:pPr>
            <w:r>
              <w:rPr>
                <w:rFonts w:eastAsia="仿宋_GB2312"/>
                <w:kern w:val="0"/>
                <w:sz w:val="24"/>
              </w:rPr>
              <w:t>H3C WA6520</w:t>
            </w:r>
          </w:p>
        </w:tc>
        <w:tc>
          <w:tcPr>
            <w:tcW w:w="1755" w:type="pct"/>
            <w:tcBorders>
              <w:top w:val="nil"/>
              <w:left w:val="nil"/>
              <w:bottom w:val="single" w:color="auto" w:sz="4" w:space="0"/>
              <w:right w:val="single" w:color="auto" w:sz="4" w:space="0"/>
            </w:tcBorders>
            <w:shd w:val="clear" w:color="auto" w:fill="FFFFFF"/>
            <w:vAlign w:val="center"/>
          </w:tcPr>
          <w:p w14:paraId="64BF8DE8">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35E76FF2">
            <w:pPr>
              <w:widowControl/>
              <w:jc w:val="center"/>
              <w:rPr>
                <w:rFonts w:eastAsia="仿宋_GB2312"/>
                <w:kern w:val="0"/>
                <w:sz w:val="24"/>
              </w:rPr>
            </w:pPr>
            <w:r>
              <w:rPr>
                <w:rFonts w:eastAsia="仿宋_GB2312"/>
                <w:kern w:val="0"/>
                <w:sz w:val="24"/>
              </w:rPr>
              <w:t>20</w:t>
            </w:r>
          </w:p>
        </w:tc>
      </w:tr>
      <w:tr w14:paraId="41319BAD">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5B18B72B">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308948D1">
            <w:pPr>
              <w:widowControl/>
              <w:jc w:val="center"/>
              <w:rPr>
                <w:rFonts w:eastAsia="仿宋_GB2312"/>
                <w:kern w:val="0"/>
                <w:sz w:val="24"/>
              </w:rPr>
            </w:pPr>
            <w:r>
              <w:rPr>
                <w:rFonts w:eastAsia="仿宋_GB2312"/>
                <w:kern w:val="0"/>
                <w:sz w:val="24"/>
              </w:rPr>
              <w:t>9801A2VY</w:t>
            </w:r>
          </w:p>
        </w:tc>
        <w:tc>
          <w:tcPr>
            <w:tcW w:w="1629" w:type="pct"/>
            <w:tcBorders>
              <w:top w:val="nil"/>
              <w:left w:val="nil"/>
              <w:bottom w:val="single" w:color="auto" w:sz="4" w:space="0"/>
              <w:right w:val="single" w:color="auto" w:sz="4" w:space="0"/>
            </w:tcBorders>
            <w:shd w:val="clear" w:color="auto" w:fill="FFFFFF"/>
            <w:vAlign w:val="center"/>
          </w:tcPr>
          <w:p w14:paraId="7A64B06C">
            <w:pPr>
              <w:widowControl/>
              <w:jc w:val="center"/>
              <w:rPr>
                <w:rFonts w:eastAsia="仿宋_GB2312"/>
                <w:kern w:val="0"/>
                <w:sz w:val="24"/>
              </w:rPr>
            </w:pPr>
            <w:r>
              <w:rPr>
                <w:rFonts w:eastAsia="仿宋_GB2312"/>
                <w:kern w:val="0"/>
                <w:sz w:val="24"/>
              </w:rPr>
              <w:t>H3C WA6530</w:t>
            </w:r>
          </w:p>
        </w:tc>
        <w:tc>
          <w:tcPr>
            <w:tcW w:w="1755" w:type="pct"/>
            <w:tcBorders>
              <w:top w:val="nil"/>
              <w:left w:val="nil"/>
              <w:bottom w:val="single" w:color="auto" w:sz="4" w:space="0"/>
              <w:right w:val="single" w:color="auto" w:sz="4" w:space="0"/>
            </w:tcBorders>
            <w:shd w:val="clear" w:color="auto" w:fill="FFFFFF"/>
            <w:vAlign w:val="center"/>
          </w:tcPr>
          <w:p w14:paraId="4A8EC6EE">
            <w:pPr>
              <w:widowControl/>
              <w:jc w:val="center"/>
              <w:rPr>
                <w:rFonts w:eastAsia="仿宋_GB2312"/>
                <w:kern w:val="0"/>
                <w:sz w:val="24"/>
              </w:rPr>
            </w:pPr>
            <w:r>
              <w:rPr>
                <w:rFonts w:eastAsia="仿宋_GB2312"/>
                <w:kern w:val="0"/>
                <w:sz w:val="24"/>
              </w:rPr>
              <w:t>EWP-WA6530-FIT</w:t>
            </w:r>
          </w:p>
        </w:tc>
        <w:tc>
          <w:tcPr>
            <w:tcW w:w="261" w:type="pct"/>
            <w:tcBorders>
              <w:top w:val="nil"/>
              <w:left w:val="nil"/>
              <w:bottom w:val="single" w:color="auto" w:sz="4" w:space="0"/>
              <w:right w:val="single" w:color="auto" w:sz="4" w:space="0"/>
            </w:tcBorders>
            <w:shd w:val="clear" w:color="auto" w:fill="FFFFFF"/>
            <w:vAlign w:val="center"/>
          </w:tcPr>
          <w:p w14:paraId="5C58083D">
            <w:pPr>
              <w:widowControl/>
              <w:jc w:val="center"/>
              <w:rPr>
                <w:rFonts w:eastAsia="仿宋_GB2312"/>
                <w:kern w:val="0"/>
                <w:sz w:val="24"/>
              </w:rPr>
            </w:pPr>
            <w:r>
              <w:rPr>
                <w:rFonts w:eastAsia="仿宋_GB2312"/>
                <w:kern w:val="0"/>
                <w:sz w:val="24"/>
              </w:rPr>
              <w:t>23</w:t>
            </w:r>
          </w:p>
        </w:tc>
      </w:tr>
      <w:tr w14:paraId="2B46EBE6">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506BF689">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19396BB2">
            <w:pPr>
              <w:widowControl/>
              <w:jc w:val="center"/>
              <w:rPr>
                <w:rFonts w:eastAsia="仿宋_GB2312"/>
                <w:kern w:val="0"/>
                <w:sz w:val="24"/>
              </w:rPr>
            </w:pPr>
            <w:r>
              <w:rPr>
                <w:rFonts w:eastAsia="仿宋_GB2312"/>
                <w:kern w:val="0"/>
                <w:sz w:val="24"/>
              </w:rPr>
              <w:t>3130A1LB</w:t>
            </w:r>
          </w:p>
        </w:tc>
        <w:tc>
          <w:tcPr>
            <w:tcW w:w="1629" w:type="pct"/>
            <w:tcBorders>
              <w:top w:val="nil"/>
              <w:left w:val="nil"/>
              <w:bottom w:val="single" w:color="auto" w:sz="4" w:space="0"/>
              <w:right w:val="single" w:color="auto" w:sz="4" w:space="0"/>
            </w:tcBorders>
            <w:shd w:val="clear" w:color="auto" w:fill="FFFFFF"/>
            <w:vAlign w:val="center"/>
          </w:tcPr>
          <w:p w14:paraId="17977C14">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1182FA9D">
            <w:pPr>
              <w:widowControl/>
              <w:jc w:val="center"/>
              <w:rPr>
                <w:rFonts w:eastAsia="仿宋_GB2312"/>
                <w:kern w:val="0"/>
                <w:sz w:val="24"/>
              </w:rPr>
            </w:pPr>
            <w:r>
              <w:rPr>
                <w:rFonts w:eastAsia="仿宋_GB2312"/>
                <w:kern w:val="0"/>
                <w:sz w:val="24"/>
              </w:rPr>
              <w:t>LIS-WX-16-BE</w:t>
            </w:r>
          </w:p>
        </w:tc>
        <w:tc>
          <w:tcPr>
            <w:tcW w:w="261" w:type="pct"/>
            <w:tcBorders>
              <w:top w:val="nil"/>
              <w:left w:val="nil"/>
              <w:bottom w:val="single" w:color="auto" w:sz="4" w:space="0"/>
              <w:right w:val="single" w:color="auto" w:sz="4" w:space="0"/>
            </w:tcBorders>
            <w:shd w:val="clear" w:color="auto" w:fill="FFFFFF"/>
            <w:vAlign w:val="center"/>
          </w:tcPr>
          <w:p w14:paraId="47565500">
            <w:pPr>
              <w:widowControl/>
              <w:jc w:val="center"/>
              <w:rPr>
                <w:rFonts w:eastAsia="仿宋_GB2312"/>
                <w:kern w:val="0"/>
                <w:sz w:val="24"/>
              </w:rPr>
            </w:pPr>
            <w:r>
              <w:rPr>
                <w:rFonts w:eastAsia="仿宋_GB2312"/>
                <w:kern w:val="0"/>
                <w:sz w:val="24"/>
              </w:rPr>
              <w:t>2</w:t>
            </w:r>
          </w:p>
        </w:tc>
      </w:tr>
      <w:tr w14:paraId="737DD0EE">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537065E6">
            <w:pPr>
              <w:widowControl/>
              <w:jc w:val="center"/>
              <w:rPr>
                <w:rFonts w:eastAsia="仿宋_GB2312"/>
                <w:kern w:val="0"/>
                <w:sz w:val="24"/>
              </w:rPr>
            </w:pPr>
            <w:r>
              <w:rPr>
                <w:rFonts w:eastAsia="仿宋_GB2312"/>
                <w:kern w:val="0"/>
                <w:sz w:val="24"/>
              </w:rPr>
              <w:t>3</w:t>
            </w:r>
          </w:p>
        </w:tc>
        <w:tc>
          <w:tcPr>
            <w:tcW w:w="1094" w:type="pct"/>
            <w:tcBorders>
              <w:top w:val="nil"/>
              <w:left w:val="nil"/>
              <w:bottom w:val="single" w:color="auto" w:sz="4" w:space="0"/>
              <w:right w:val="single" w:color="auto" w:sz="4" w:space="0"/>
            </w:tcBorders>
            <w:shd w:val="clear" w:color="auto" w:fill="FFFFFF"/>
            <w:vAlign w:val="center"/>
          </w:tcPr>
          <w:p w14:paraId="2B2DCE77">
            <w:pPr>
              <w:widowControl/>
              <w:jc w:val="center"/>
              <w:rPr>
                <w:rFonts w:eastAsia="仿宋_GB2312"/>
                <w:kern w:val="0"/>
                <w:sz w:val="24"/>
              </w:rPr>
            </w:pPr>
            <w:r>
              <w:rPr>
                <w:rFonts w:eastAsia="仿宋_GB2312"/>
                <w:kern w:val="0"/>
                <w:sz w:val="24"/>
              </w:rPr>
              <w:t>POE交换机</w:t>
            </w:r>
          </w:p>
        </w:tc>
        <w:tc>
          <w:tcPr>
            <w:tcW w:w="1629" w:type="pct"/>
            <w:tcBorders>
              <w:top w:val="nil"/>
              <w:left w:val="nil"/>
              <w:bottom w:val="single" w:color="auto" w:sz="4" w:space="0"/>
              <w:right w:val="single" w:color="auto" w:sz="4" w:space="0"/>
            </w:tcBorders>
            <w:shd w:val="clear" w:color="auto" w:fill="FFFFFF"/>
            <w:vAlign w:val="center"/>
          </w:tcPr>
          <w:p w14:paraId="4D613E5B">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2F4B5339">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414CEB60">
            <w:pPr>
              <w:widowControl/>
              <w:jc w:val="center"/>
              <w:rPr>
                <w:rFonts w:eastAsia="仿宋_GB2312"/>
                <w:kern w:val="0"/>
                <w:sz w:val="24"/>
              </w:rPr>
            </w:pPr>
          </w:p>
        </w:tc>
      </w:tr>
      <w:tr w14:paraId="526B943A">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19554AC1">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1CD7EB82">
            <w:pPr>
              <w:widowControl/>
              <w:jc w:val="center"/>
              <w:rPr>
                <w:rFonts w:eastAsia="仿宋_GB2312"/>
                <w:kern w:val="0"/>
                <w:sz w:val="24"/>
              </w:rPr>
            </w:pPr>
            <w:r>
              <w:rPr>
                <w:rFonts w:eastAsia="仿宋_GB2312"/>
                <w:kern w:val="0"/>
                <w:sz w:val="24"/>
              </w:rPr>
              <w:t>S5130S-EI Switch #1</w:t>
            </w:r>
          </w:p>
        </w:tc>
        <w:tc>
          <w:tcPr>
            <w:tcW w:w="1629" w:type="pct"/>
            <w:tcBorders>
              <w:top w:val="nil"/>
              <w:left w:val="nil"/>
              <w:bottom w:val="single" w:color="auto" w:sz="4" w:space="0"/>
              <w:right w:val="single" w:color="auto" w:sz="4" w:space="0"/>
            </w:tcBorders>
            <w:shd w:val="clear" w:color="auto" w:fill="FFFFFF"/>
            <w:vAlign w:val="center"/>
          </w:tcPr>
          <w:p w14:paraId="25C77B37">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5E06DE98">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2A1D531C">
            <w:pPr>
              <w:widowControl/>
              <w:jc w:val="center"/>
              <w:rPr>
                <w:rFonts w:eastAsia="仿宋_GB2312"/>
                <w:kern w:val="0"/>
                <w:sz w:val="24"/>
              </w:rPr>
            </w:pPr>
          </w:p>
        </w:tc>
      </w:tr>
      <w:tr w14:paraId="59858AB5">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56C1BC0D">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72880EE7">
            <w:pPr>
              <w:widowControl/>
              <w:jc w:val="center"/>
              <w:rPr>
                <w:rFonts w:eastAsia="仿宋_GB2312"/>
                <w:kern w:val="0"/>
                <w:sz w:val="24"/>
              </w:rPr>
            </w:pPr>
            <w:r>
              <w:rPr>
                <w:rFonts w:eastAsia="仿宋_GB2312"/>
                <w:kern w:val="0"/>
                <w:sz w:val="24"/>
              </w:rPr>
              <w:t>9801A30J</w:t>
            </w:r>
          </w:p>
        </w:tc>
        <w:tc>
          <w:tcPr>
            <w:tcW w:w="1629" w:type="pct"/>
            <w:tcBorders>
              <w:top w:val="nil"/>
              <w:left w:val="nil"/>
              <w:bottom w:val="single" w:color="auto" w:sz="4" w:space="0"/>
              <w:right w:val="single" w:color="auto" w:sz="4" w:space="0"/>
            </w:tcBorders>
            <w:shd w:val="clear" w:color="auto" w:fill="FFFFFF"/>
            <w:vAlign w:val="center"/>
          </w:tcPr>
          <w:p w14:paraId="780C4EF2">
            <w:pPr>
              <w:widowControl/>
              <w:jc w:val="center"/>
              <w:rPr>
                <w:rFonts w:eastAsia="仿宋_GB2312"/>
                <w:kern w:val="0"/>
                <w:sz w:val="24"/>
              </w:rPr>
            </w:pPr>
            <w:r>
              <w:rPr>
                <w:rFonts w:eastAsia="仿宋_GB2312"/>
                <w:kern w:val="0"/>
                <w:sz w:val="24"/>
              </w:rPr>
              <w:t>H3C S5130S-28P-HPWR-EI-AC</w:t>
            </w:r>
          </w:p>
        </w:tc>
        <w:tc>
          <w:tcPr>
            <w:tcW w:w="1755" w:type="pct"/>
            <w:tcBorders>
              <w:top w:val="nil"/>
              <w:left w:val="nil"/>
              <w:bottom w:val="single" w:color="auto" w:sz="4" w:space="0"/>
              <w:right w:val="single" w:color="auto" w:sz="4" w:space="0"/>
            </w:tcBorders>
            <w:shd w:val="clear" w:color="auto" w:fill="FFFFFF"/>
            <w:vAlign w:val="center"/>
          </w:tcPr>
          <w:p w14:paraId="208823DC">
            <w:pPr>
              <w:widowControl/>
              <w:jc w:val="center"/>
              <w:rPr>
                <w:rFonts w:eastAsia="仿宋_GB2312"/>
                <w:kern w:val="0"/>
                <w:sz w:val="24"/>
              </w:rPr>
            </w:pPr>
            <w:r>
              <w:rPr>
                <w:rFonts w:eastAsia="仿宋_GB2312"/>
                <w:kern w:val="0"/>
                <w:sz w:val="24"/>
              </w:rPr>
              <w:t>LS-5130S-28P-HPWR-EI-AC</w:t>
            </w:r>
          </w:p>
        </w:tc>
        <w:tc>
          <w:tcPr>
            <w:tcW w:w="261" w:type="pct"/>
            <w:tcBorders>
              <w:top w:val="nil"/>
              <w:left w:val="nil"/>
              <w:bottom w:val="single" w:color="auto" w:sz="4" w:space="0"/>
              <w:right w:val="single" w:color="auto" w:sz="4" w:space="0"/>
            </w:tcBorders>
            <w:shd w:val="clear" w:color="auto" w:fill="FFFFFF"/>
            <w:vAlign w:val="center"/>
          </w:tcPr>
          <w:p w14:paraId="158DC544">
            <w:pPr>
              <w:widowControl/>
              <w:jc w:val="center"/>
              <w:rPr>
                <w:rFonts w:eastAsia="仿宋_GB2312"/>
                <w:kern w:val="0"/>
                <w:sz w:val="24"/>
              </w:rPr>
            </w:pPr>
            <w:r>
              <w:rPr>
                <w:rFonts w:eastAsia="仿宋_GB2312"/>
                <w:kern w:val="0"/>
                <w:sz w:val="24"/>
              </w:rPr>
              <w:t>3</w:t>
            </w:r>
          </w:p>
        </w:tc>
      </w:tr>
      <w:tr w14:paraId="22C8DDB2">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4A045077">
            <w:pPr>
              <w:widowControl/>
              <w:jc w:val="center"/>
              <w:rPr>
                <w:rFonts w:eastAsia="仿宋_GB2312"/>
                <w:kern w:val="0"/>
                <w:sz w:val="24"/>
              </w:rPr>
            </w:pPr>
            <w:r>
              <w:rPr>
                <w:rFonts w:eastAsia="仿宋_GB2312"/>
                <w:kern w:val="0"/>
                <w:sz w:val="24"/>
              </w:rPr>
              <w:t>4</w:t>
            </w:r>
          </w:p>
        </w:tc>
        <w:tc>
          <w:tcPr>
            <w:tcW w:w="1094" w:type="pct"/>
            <w:tcBorders>
              <w:top w:val="nil"/>
              <w:left w:val="nil"/>
              <w:bottom w:val="single" w:color="auto" w:sz="4" w:space="0"/>
              <w:right w:val="single" w:color="auto" w:sz="4" w:space="0"/>
            </w:tcBorders>
            <w:shd w:val="clear" w:color="auto" w:fill="FFFFFF"/>
            <w:vAlign w:val="center"/>
          </w:tcPr>
          <w:p w14:paraId="51014F34">
            <w:pPr>
              <w:widowControl/>
              <w:jc w:val="center"/>
              <w:rPr>
                <w:rFonts w:eastAsia="仿宋_GB2312"/>
                <w:kern w:val="0"/>
                <w:sz w:val="24"/>
              </w:rPr>
            </w:pPr>
            <w:r>
              <w:rPr>
                <w:rFonts w:eastAsia="仿宋_GB2312"/>
                <w:kern w:val="0"/>
                <w:sz w:val="24"/>
              </w:rPr>
              <w:t>单模光模块</w:t>
            </w:r>
          </w:p>
        </w:tc>
        <w:tc>
          <w:tcPr>
            <w:tcW w:w="1629" w:type="pct"/>
            <w:tcBorders>
              <w:top w:val="nil"/>
              <w:left w:val="nil"/>
              <w:bottom w:val="single" w:color="auto" w:sz="4" w:space="0"/>
              <w:right w:val="single" w:color="auto" w:sz="4" w:space="0"/>
            </w:tcBorders>
            <w:shd w:val="clear" w:color="auto" w:fill="FFFFFF"/>
            <w:vAlign w:val="center"/>
          </w:tcPr>
          <w:p w14:paraId="3554F680">
            <w:pPr>
              <w:widowControl/>
              <w:jc w:val="center"/>
              <w:rPr>
                <w:rFonts w:eastAsia="仿宋_GB2312"/>
                <w:kern w:val="0"/>
                <w:sz w:val="24"/>
              </w:rPr>
            </w:pPr>
          </w:p>
        </w:tc>
        <w:tc>
          <w:tcPr>
            <w:tcW w:w="1755" w:type="pct"/>
            <w:tcBorders>
              <w:top w:val="nil"/>
              <w:left w:val="nil"/>
              <w:bottom w:val="single" w:color="auto" w:sz="4" w:space="0"/>
              <w:right w:val="single" w:color="auto" w:sz="4" w:space="0"/>
            </w:tcBorders>
            <w:shd w:val="clear" w:color="auto" w:fill="FFFFFF"/>
            <w:vAlign w:val="center"/>
          </w:tcPr>
          <w:p w14:paraId="0771F0A1">
            <w:pPr>
              <w:widowControl/>
              <w:jc w:val="center"/>
              <w:rPr>
                <w:rFonts w:eastAsia="仿宋_GB2312"/>
                <w:kern w:val="0"/>
                <w:sz w:val="24"/>
              </w:rPr>
            </w:pPr>
          </w:p>
        </w:tc>
        <w:tc>
          <w:tcPr>
            <w:tcW w:w="261" w:type="pct"/>
            <w:tcBorders>
              <w:top w:val="nil"/>
              <w:left w:val="nil"/>
              <w:bottom w:val="single" w:color="auto" w:sz="4" w:space="0"/>
              <w:right w:val="single" w:color="auto" w:sz="4" w:space="0"/>
            </w:tcBorders>
            <w:shd w:val="clear" w:color="auto" w:fill="FFFFFF"/>
            <w:vAlign w:val="center"/>
          </w:tcPr>
          <w:p w14:paraId="393747FB">
            <w:pPr>
              <w:widowControl/>
              <w:jc w:val="center"/>
              <w:rPr>
                <w:rFonts w:eastAsia="仿宋_GB2312"/>
                <w:kern w:val="0"/>
                <w:sz w:val="24"/>
              </w:rPr>
            </w:pPr>
          </w:p>
        </w:tc>
      </w:tr>
      <w:tr w14:paraId="199F1DEB">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7E71C350">
            <w:pPr>
              <w:widowControl/>
              <w:jc w:val="center"/>
              <w:rPr>
                <w:rFonts w:eastAsia="仿宋_GB2312"/>
                <w:kern w:val="0"/>
                <w:sz w:val="24"/>
              </w:rPr>
            </w:pPr>
          </w:p>
        </w:tc>
        <w:tc>
          <w:tcPr>
            <w:tcW w:w="1094" w:type="pct"/>
            <w:tcBorders>
              <w:top w:val="nil"/>
              <w:left w:val="nil"/>
              <w:bottom w:val="single" w:color="auto" w:sz="4" w:space="0"/>
              <w:right w:val="single" w:color="auto" w:sz="4" w:space="0"/>
            </w:tcBorders>
            <w:shd w:val="clear" w:color="auto" w:fill="FFFFFF"/>
            <w:vAlign w:val="center"/>
          </w:tcPr>
          <w:p w14:paraId="6FF30761">
            <w:pPr>
              <w:widowControl/>
              <w:jc w:val="center"/>
              <w:rPr>
                <w:rFonts w:eastAsia="仿宋_GB2312"/>
                <w:kern w:val="0"/>
                <w:sz w:val="24"/>
              </w:rPr>
            </w:pPr>
            <w:r>
              <w:rPr>
                <w:rFonts w:eastAsia="仿宋_GB2312"/>
                <w:kern w:val="0"/>
                <w:sz w:val="24"/>
              </w:rPr>
              <w:t>0231A962</w:t>
            </w:r>
          </w:p>
        </w:tc>
        <w:tc>
          <w:tcPr>
            <w:tcW w:w="1629" w:type="pct"/>
            <w:tcBorders>
              <w:top w:val="nil"/>
              <w:left w:val="nil"/>
              <w:bottom w:val="single" w:color="auto" w:sz="4" w:space="0"/>
              <w:right w:val="single" w:color="auto" w:sz="4" w:space="0"/>
            </w:tcBorders>
            <w:shd w:val="clear" w:color="auto" w:fill="FFFFFF"/>
            <w:vAlign w:val="center"/>
          </w:tcPr>
          <w:p w14:paraId="779D2786">
            <w:pPr>
              <w:widowControl/>
              <w:jc w:val="center"/>
              <w:rPr>
                <w:rFonts w:eastAsia="仿宋_GB2312"/>
                <w:kern w:val="0"/>
                <w:sz w:val="24"/>
              </w:rPr>
            </w:pPr>
            <w:r>
              <w:rPr>
                <w:rFonts w:eastAsia="仿宋_GB2312"/>
                <w:kern w:val="0"/>
                <w:sz w:val="24"/>
              </w:rPr>
              <w:t>SFP-GE-LX-SM1310-D</w:t>
            </w:r>
          </w:p>
        </w:tc>
        <w:tc>
          <w:tcPr>
            <w:tcW w:w="1755" w:type="pct"/>
            <w:tcBorders>
              <w:top w:val="nil"/>
              <w:left w:val="nil"/>
              <w:bottom w:val="single" w:color="auto" w:sz="4" w:space="0"/>
              <w:right w:val="single" w:color="auto" w:sz="4" w:space="0"/>
            </w:tcBorders>
            <w:shd w:val="clear" w:color="auto" w:fill="FFFFFF"/>
            <w:vAlign w:val="center"/>
          </w:tcPr>
          <w:p w14:paraId="0DB750AE">
            <w:pPr>
              <w:widowControl/>
              <w:jc w:val="center"/>
              <w:rPr>
                <w:rFonts w:eastAsia="仿宋_GB2312"/>
                <w:kern w:val="0"/>
                <w:sz w:val="24"/>
              </w:rPr>
            </w:pPr>
            <w:r>
              <w:rPr>
                <w:rFonts w:eastAsia="仿宋_GB2312"/>
                <w:kern w:val="0"/>
                <w:sz w:val="24"/>
              </w:rPr>
              <w:t>SFP-GE-LX-SM1310-D</w:t>
            </w:r>
          </w:p>
        </w:tc>
        <w:tc>
          <w:tcPr>
            <w:tcW w:w="261" w:type="pct"/>
            <w:tcBorders>
              <w:top w:val="nil"/>
              <w:left w:val="nil"/>
              <w:bottom w:val="single" w:color="auto" w:sz="4" w:space="0"/>
              <w:right w:val="single" w:color="auto" w:sz="4" w:space="0"/>
            </w:tcBorders>
            <w:shd w:val="clear" w:color="auto" w:fill="FFFFFF"/>
            <w:vAlign w:val="center"/>
          </w:tcPr>
          <w:p w14:paraId="2C9C8A18">
            <w:pPr>
              <w:widowControl/>
              <w:jc w:val="center"/>
              <w:rPr>
                <w:rFonts w:eastAsia="仿宋_GB2312"/>
                <w:kern w:val="0"/>
                <w:sz w:val="24"/>
              </w:rPr>
            </w:pPr>
            <w:r>
              <w:rPr>
                <w:rFonts w:eastAsia="仿宋_GB2312"/>
                <w:kern w:val="0"/>
                <w:sz w:val="24"/>
              </w:rPr>
              <w:t>12</w:t>
            </w:r>
          </w:p>
        </w:tc>
      </w:tr>
      <w:tr w14:paraId="3D6FE970">
        <w:tblPrEx>
          <w:tblCellMar>
            <w:top w:w="0" w:type="dxa"/>
            <w:left w:w="108" w:type="dxa"/>
            <w:bottom w:w="0" w:type="dxa"/>
            <w:right w:w="108" w:type="dxa"/>
          </w:tblCellMar>
        </w:tblPrEx>
        <w:trPr>
          <w:trHeight w:val="300" w:hRule="atLeast"/>
        </w:trPr>
        <w:tc>
          <w:tcPr>
            <w:tcW w:w="261" w:type="pct"/>
            <w:tcBorders>
              <w:top w:val="nil"/>
              <w:left w:val="single" w:color="auto" w:sz="4" w:space="0"/>
              <w:bottom w:val="single" w:color="auto" w:sz="4" w:space="0"/>
              <w:right w:val="single" w:color="auto" w:sz="4" w:space="0"/>
            </w:tcBorders>
            <w:shd w:val="clear" w:color="auto" w:fill="FFFFFF"/>
            <w:vAlign w:val="center"/>
          </w:tcPr>
          <w:p w14:paraId="2ECB4C16">
            <w:pPr>
              <w:widowControl/>
              <w:jc w:val="center"/>
              <w:rPr>
                <w:rFonts w:eastAsia="仿宋_GB2312"/>
                <w:kern w:val="0"/>
                <w:sz w:val="24"/>
              </w:rPr>
            </w:pPr>
            <w:r>
              <w:rPr>
                <w:rFonts w:eastAsia="仿宋_GB2312"/>
                <w:kern w:val="0"/>
                <w:sz w:val="24"/>
              </w:rPr>
              <w:t>5</w:t>
            </w:r>
          </w:p>
        </w:tc>
        <w:tc>
          <w:tcPr>
            <w:tcW w:w="1094" w:type="pct"/>
            <w:tcBorders>
              <w:top w:val="nil"/>
              <w:left w:val="nil"/>
              <w:bottom w:val="single" w:color="auto" w:sz="4" w:space="0"/>
              <w:right w:val="single" w:color="auto" w:sz="4" w:space="0"/>
            </w:tcBorders>
            <w:shd w:val="clear" w:color="auto" w:fill="FFFFFF"/>
            <w:vAlign w:val="center"/>
          </w:tcPr>
          <w:p w14:paraId="088C7006">
            <w:pPr>
              <w:widowControl/>
              <w:jc w:val="center"/>
              <w:rPr>
                <w:rFonts w:eastAsia="仿宋_GB2312"/>
                <w:kern w:val="0"/>
                <w:sz w:val="24"/>
              </w:rPr>
            </w:pPr>
            <w:r>
              <w:rPr>
                <w:rFonts w:eastAsia="仿宋_GB2312"/>
                <w:kern w:val="0"/>
                <w:sz w:val="24"/>
              </w:rPr>
              <w:t>云企星可视化平台</w:t>
            </w:r>
          </w:p>
        </w:tc>
        <w:tc>
          <w:tcPr>
            <w:tcW w:w="1629" w:type="pct"/>
            <w:tcBorders>
              <w:top w:val="nil"/>
              <w:left w:val="nil"/>
              <w:bottom w:val="single" w:color="auto" w:sz="4" w:space="0"/>
              <w:right w:val="single" w:color="auto" w:sz="4" w:space="0"/>
            </w:tcBorders>
            <w:shd w:val="clear" w:color="auto" w:fill="FFFFFF"/>
            <w:vAlign w:val="center"/>
          </w:tcPr>
          <w:p w14:paraId="2DB6CBF8">
            <w:pPr>
              <w:widowControl/>
              <w:jc w:val="center"/>
              <w:rPr>
                <w:rFonts w:eastAsia="仿宋_GB2312"/>
                <w:kern w:val="0"/>
                <w:sz w:val="24"/>
              </w:rPr>
            </w:pPr>
            <w:r>
              <w:rPr>
                <w:rFonts w:eastAsia="仿宋_GB2312"/>
                <w:kern w:val="0"/>
                <w:sz w:val="24"/>
              </w:rPr>
              <w:t>云企星可视化平台</w:t>
            </w:r>
          </w:p>
        </w:tc>
        <w:tc>
          <w:tcPr>
            <w:tcW w:w="1755" w:type="pct"/>
            <w:tcBorders>
              <w:top w:val="nil"/>
              <w:left w:val="nil"/>
              <w:bottom w:val="single" w:color="auto" w:sz="4" w:space="0"/>
              <w:right w:val="single" w:color="auto" w:sz="4" w:space="0"/>
            </w:tcBorders>
            <w:shd w:val="clear" w:color="auto" w:fill="FFFFFF"/>
            <w:vAlign w:val="center"/>
          </w:tcPr>
          <w:p w14:paraId="6043F1EC">
            <w:pPr>
              <w:widowControl/>
              <w:jc w:val="center"/>
              <w:rPr>
                <w:rFonts w:eastAsia="仿宋_GB2312"/>
                <w:kern w:val="0"/>
                <w:sz w:val="24"/>
              </w:rPr>
            </w:pPr>
            <w:r>
              <w:rPr>
                <w:rFonts w:eastAsia="仿宋_GB2312"/>
                <w:kern w:val="0"/>
                <w:sz w:val="24"/>
              </w:rPr>
              <w:t>可视化平台基础功能；用户及数据权限管理模块；WEB可视化渲染模块；独立设备级可视化许可；网络设备资产管理许可；监控管理许可；演示管理许可</w:t>
            </w:r>
          </w:p>
        </w:tc>
        <w:tc>
          <w:tcPr>
            <w:tcW w:w="261" w:type="pct"/>
            <w:tcBorders>
              <w:top w:val="nil"/>
              <w:left w:val="nil"/>
              <w:bottom w:val="single" w:color="auto" w:sz="4" w:space="0"/>
              <w:right w:val="single" w:color="auto" w:sz="4" w:space="0"/>
            </w:tcBorders>
            <w:shd w:val="clear" w:color="auto" w:fill="FFFFFF"/>
            <w:vAlign w:val="center"/>
          </w:tcPr>
          <w:p w14:paraId="02B9B824">
            <w:pPr>
              <w:widowControl/>
              <w:jc w:val="center"/>
              <w:rPr>
                <w:rFonts w:eastAsia="仿宋_GB2312"/>
                <w:kern w:val="0"/>
                <w:sz w:val="24"/>
              </w:rPr>
            </w:pPr>
            <w:r>
              <w:rPr>
                <w:rFonts w:eastAsia="仿宋_GB2312"/>
                <w:kern w:val="0"/>
                <w:sz w:val="24"/>
              </w:rPr>
              <w:t>1</w:t>
            </w:r>
          </w:p>
        </w:tc>
      </w:tr>
    </w:tbl>
    <w:p w14:paraId="1D272E77">
      <w:pPr>
        <w:widowControl/>
        <w:spacing w:line="360" w:lineRule="auto"/>
        <w:jc w:val="left"/>
        <w:rPr>
          <w:rFonts w:eastAsia="仿宋_GB2312"/>
          <w:kern w:val="0"/>
          <w:sz w:val="24"/>
        </w:rPr>
      </w:pPr>
      <w:r>
        <w:rPr>
          <w:rFonts w:eastAsia="仿宋_GB2312"/>
          <w:kern w:val="0"/>
          <w:sz w:val="24"/>
        </w:rPr>
        <w:t>2、18号楼</w:t>
      </w:r>
      <w:r>
        <w:rPr>
          <w:rFonts w:hint="eastAsia" w:eastAsia="仿宋_GB2312"/>
          <w:kern w:val="0"/>
          <w:sz w:val="24"/>
        </w:rPr>
        <w:t>涉及</w:t>
      </w:r>
      <w:r>
        <w:rPr>
          <w:rFonts w:eastAsia="仿宋_GB2312"/>
          <w:kern w:val="0"/>
          <w:sz w:val="24"/>
        </w:rPr>
        <w:t>相关设备及软件：</w:t>
      </w:r>
    </w:p>
    <w:tbl>
      <w:tblPr>
        <w:tblStyle w:val="7"/>
        <w:tblW w:w="4998" w:type="pct"/>
        <w:tblInd w:w="0" w:type="dxa"/>
        <w:tblLayout w:type="autofit"/>
        <w:tblCellMar>
          <w:top w:w="0" w:type="dxa"/>
          <w:left w:w="108" w:type="dxa"/>
          <w:bottom w:w="0" w:type="dxa"/>
          <w:right w:w="108" w:type="dxa"/>
        </w:tblCellMar>
      </w:tblPr>
      <w:tblGrid>
        <w:gridCol w:w="696"/>
        <w:gridCol w:w="2136"/>
        <w:gridCol w:w="696"/>
        <w:gridCol w:w="4991"/>
      </w:tblGrid>
      <w:tr w14:paraId="4405C343">
        <w:tblPrEx>
          <w:tblCellMar>
            <w:top w:w="0" w:type="dxa"/>
            <w:left w:w="108" w:type="dxa"/>
            <w:bottom w:w="0" w:type="dxa"/>
            <w:right w:w="108" w:type="dxa"/>
          </w:tblCellMar>
        </w:tblPrEx>
        <w:trPr>
          <w:trHeight w:val="380" w:hRule="atLeast"/>
        </w:trPr>
        <w:tc>
          <w:tcPr>
            <w:tcW w:w="408" w:type="pct"/>
            <w:tcBorders>
              <w:top w:val="single" w:color="000000" w:sz="4" w:space="0"/>
              <w:left w:val="single" w:color="000000" w:sz="4" w:space="0"/>
              <w:bottom w:val="single" w:color="000000" w:sz="4" w:space="0"/>
              <w:right w:val="single" w:color="000000" w:sz="4" w:space="0"/>
            </w:tcBorders>
            <w:shd w:val="clear" w:color="auto" w:fill="BEBEBE"/>
            <w:noWrap/>
            <w:vAlign w:val="center"/>
          </w:tcPr>
          <w:p w14:paraId="5693475A">
            <w:pPr>
              <w:widowControl/>
              <w:jc w:val="left"/>
              <w:textAlignment w:val="center"/>
              <w:rPr>
                <w:rFonts w:eastAsia="仿宋_GB2312"/>
                <w:color w:val="000000"/>
                <w:sz w:val="24"/>
              </w:rPr>
            </w:pPr>
            <w:r>
              <w:rPr>
                <w:rFonts w:eastAsia="仿宋_GB2312"/>
                <w:color w:val="000000"/>
                <w:kern w:val="0"/>
                <w:sz w:val="24"/>
                <w:lang w:bidi="ar"/>
              </w:rPr>
              <w:t>序号</w:t>
            </w:r>
          </w:p>
        </w:tc>
        <w:tc>
          <w:tcPr>
            <w:tcW w:w="1254" w:type="pct"/>
            <w:tcBorders>
              <w:top w:val="single" w:color="000000" w:sz="4" w:space="0"/>
              <w:left w:val="single" w:color="000000" w:sz="4" w:space="0"/>
              <w:bottom w:val="single" w:color="000000" w:sz="4" w:space="0"/>
              <w:right w:val="single" w:color="000000" w:sz="4" w:space="0"/>
            </w:tcBorders>
            <w:shd w:val="clear" w:color="auto" w:fill="BEBEBE"/>
            <w:noWrap/>
            <w:vAlign w:val="center"/>
          </w:tcPr>
          <w:p w14:paraId="74CE61DA">
            <w:pPr>
              <w:widowControl/>
              <w:jc w:val="left"/>
              <w:textAlignment w:val="center"/>
              <w:rPr>
                <w:rFonts w:eastAsia="仿宋_GB2312"/>
                <w:color w:val="000000"/>
                <w:sz w:val="24"/>
              </w:rPr>
            </w:pPr>
            <w:r>
              <w:rPr>
                <w:rFonts w:eastAsia="仿宋_GB2312"/>
                <w:color w:val="000000"/>
                <w:kern w:val="0"/>
                <w:sz w:val="24"/>
                <w:lang w:bidi="ar"/>
              </w:rPr>
              <w:t>设备名称</w:t>
            </w:r>
          </w:p>
        </w:tc>
        <w:tc>
          <w:tcPr>
            <w:tcW w:w="408" w:type="pct"/>
            <w:tcBorders>
              <w:top w:val="single" w:color="000000" w:sz="4" w:space="0"/>
              <w:left w:val="single" w:color="000000" w:sz="4" w:space="0"/>
              <w:bottom w:val="single" w:color="000000" w:sz="4" w:space="0"/>
              <w:right w:val="single" w:color="000000" w:sz="4" w:space="0"/>
            </w:tcBorders>
            <w:shd w:val="clear" w:color="auto" w:fill="BEBEBE"/>
            <w:noWrap/>
            <w:vAlign w:val="center"/>
          </w:tcPr>
          <w:p w14:paraId="61F09452">
            <w:pPr>
              <w:widowControl/>
              <w:jc w:val="left"/>
              <w:textAlignment w:val="center"/>
              <w:rPr>
                <w:rFonts w:eastAsia="仿宋_GB2312"/>
                <w:color w:val="000000"/>
                <w:sz w:val="24"/>
              </w:rPr>
            </w:pPr>
            <w:r>
              <w:rPr>
                <w:rFonts w:eastAsia="仿宋_GB2312"/>
                <w:color w:val="000000"/>
                <w:kern w:val="0"/>
                <w:sz w:val="24"/>
                <w:lang w:bidi="ar"/>
              </w:rPr>
              <w:t>数量</w:t>
            </w:r>
          </w:p>
        </w:tc>
        <w:tc>
          <w:tcPr>
            <w:tcW w:w="2929" w:type="pct"/>
            <w:tcBorders>
              <w:top w:val="single" w:color="000000" w:sz="4" w:space="0"/>
              <w:left w:val="single" w:color="000000" w:sz="4" w:space="0"/>
              <w:bottom w:val="single" w:color="000000" w:sz="4" w:space="0"/>
              <w:right w:val="single" w:color="000000" w:sz="4" w:space="0"/>
            </w:tcBorders>
            <w:shd w:val="clear" w:color="auto" w:fill="BEBEBE"/>
            <w:vAlign w:val="center"/>
          </w:tcPr>
          <w:p w14:paraId="471CA9A9">
            <w:pPr>
              <w:widowControl/>
              <w:jc w:val="left"/>
              <w:textAlignment w:val="center"/>
              <w:rPr>
                <w:rFonts w:eastAsia="仿宋_GB2312"/>
                <w:color w:val="000000"/>
                <w:sz w:val="24"/>
              </w:rPr>
            </w:pPr>
            <w:r>
              <w:rPr>
                <w:rFonts w:eastAsia="仿宋_GB2312"/>
                <w:color w:val="000000"/>
                <w:kern w:val="0"/>
                <w:sz w:val="24"/>
                <w:lang w:bidi="ar"/>
              </w:rPr>
              <w:t>备注</w:t>
            </w:r>
          </w:p>
        </w:tc>
      </w:tr>
      <w:tr w14:paraId="76A53EDB">
        <w:tblPrEx>
          <w:tblCellMar>
            <w:top w:w="0" w:type="dxa"/>
            <w:left w:w="108" w:type="dxa"/>
            <w:bottom w:w="0" w:type="dxa"/>
            <w:right w:w="108" w:type="dxa"/>
          </w:tblCellMar>
        </w:tblPrEx>
        <w:trPr>
          <w:trHeight w:val="440" w:hRule="atLeast"/>
        </w:trPr>
        <w:tc>
          <w:tcPr>
            <w:tcW w:w="408" w:type="pct"/>
            <w:tcBorders>
              <w:top w:val="single" w:color="000000" w:sz="4" w:space="0"/>
              <w:left w:val="single" w:color="000000" w:sz="4" w:space="0"/>
              <w:bottom w:val="single" w:color="000000" w:sz="4" w:space="0"/>
              <w:right w:val="single" w:color="000000" w:sz="4" w:space="0"/>
            </w:tcBorders>
            <w:noWrap/>
            <w:vAlign w:val="center"/>
          </w:tcPr>
          <w:p w14:paraId="03CA9C9F">
            <w:pPr>
              <w:widowControl/>
              <w:jc w:val="left"/>
              <w:textAlignment w:val="center"/>
              <w:rPr>
                <w:rFonts w:eastAsia="仿宋_GB2312"/>
                <w:sz w:val="24"/>
              </w:rPr>
            </w:pPr>
            <w:r>
              <w:rPr>
                <w:rFonts w:eastAsia="仿宋_GB2312"/>
                <w:kern w:val="0"/>
                <w:sz w:val="24"/>
                <w:lang w:bidi="ar"/>
              </w:rPr>
              <w:t>1</w:t>
            </w:r>
          </w:p>
        </w:tc>
        <w:tc>
          <w:tcPr>
            <w:tcW w:w="1254" w:type="pct"/>
            <w:tcBorders>
              <w:top w:val="single" w:color="000000" w:sz="4" w:space="0"/>
              <w:left w:val="single" w:color="000000" w:sz="4" w:space="0"/>
              <w:bottom w:val="single" w:color="000000" w:sz="4" w:space="0"/>
              <w:right w:val="single" w:color="000000" w:sz="4" w:space="0"/>
            </w:tcBorders>
            <w:noWrap/>
            <w:vAlign w:val="center"/>
          </w:tcPr>
          <w:p w14:paraId="505E9326">
            <w:pPr>
              <w:widowControl/>
              <w:jc w:val="left"/>
              <w:textAlignment w:val="center"/>
              <w:rPr>
                <w:rFonts w:eastAsia="仿宋_GB2312"/>
                <w:sz w:val="24"/>
              </w:rPr>
            </w:pPr>
            <w:r>
              <w:rPr>
                <w:rFonts w:eastAsia="仿宋_GB2312"/>
                <w:kern w:val="0"/>
                <w:sz w:val="24"/>
                <w:lang w:bidi="ar"/>
              </w:rPr>
              <w:t>无线AP</w:t>
            </w:r>
          </w:p>
        </w:tc>
        <w:tc>
          <w:tcPr>
            <w:tcW w:w="408" w:type="pct"/>
            <w:tcBorders>
              <w:top w:val="single" w:color="000000" w:sz="4" w:space="0"/>
              <w:left w:val="single" w:color="000000" w:sz="4" w:space="0"/>
              <w:bottom w:val="single" w:color="000000" w:sz="4" w:space="0"/>
              <w:right w:val="single" w:color="000000" w:sz="4" w:space="0"/>
            </w:tcBorders>
            <w:noWrap/>
            <w:vAlign w:val="center"/>
          </w:tcPr>
          <w:p w14:paraId="25667A74">
            <w:pPr>
              <w:widowControl/>
              <w:jc w:val="left"/>
              <w:textAlignment w:val="center"/>
              <w:rPr>
                <w:rFonts w:eastAsia="仿宋_GB2312"/>
                <w:sz w:val="24"/>
              </w:rPr>
            </w:pPr>
            <w:r>
              <w:rPr>
                <w:rFonts w:eastAsia="仿宋_GB2312"/>
                <w:sz w:val="24"/>
              </w:rPr>
              <w:t>316</w:t>
            </w:r>
          </w:p>
        </w:tc>
        <w:tc>
          <w:tcPr>
            <w:tcW w:w="2929" w:type="pct"/>
            <w:tcBorders>
              <w:top w:val="single" w:color="000000" w:sz="4" w:space="0"/>
              <w:left w:val="single" w:color="000000" w:sz="4" w:space="0"/>
              <w:bottom w:val="single" w:color="000000" w:sz="4" w:space="0"/>
              <w:right w:val="single" w:color="000000" w:sz="4" w:space="0"/>
            </w:tcBorders>
            <w:vAlign w:val="center"/>
          </w:tcPr>
          <w:p w14:paraId="11840B57">
            <w:pPr>
              <w:widowControl/>
              <w:jc w:val="left"/>
              <w:textAlignment w:val="center"/>
              <w:rPr>
                <w:rFonts w:eastAsia="仿宋_GB2312"/>
                <w:sz w:val="24"/>
              </w:rPr>
            </w:pPr>
            <w:r>
              <w:rPr>
                <w:rFonts w:eastAsia="仿宋_GB2312"/>
                <w:kern w:val="0"/>
                <w:sz w:val="24"/>
                <w:lang w:bidi="ar"/>
              </w:rPr>
              <w:t>使用H3C WA6520 内置天线双频四流802.11ax/ac/n无线接入点-FIT</w:t>
            </w:r>
          </w:p>
        </w:tc>
      </w:tr>
      <w:tr w14:paraId="0DDCFF4D">
        <w:tblPrEx>
          <w:tblCellMar>
            <w:top w:w="0" w:type="dxa"/>
            <w:left w:w="108" w:type="dxa"/>
            <w:bottom w:w="0" w:type="dxa"/>
            <w:right w:w="108" w:type="dxa"/>
          </w:tblCellMar>
        </w:tblPrEx>
        <w:trPr>
          <w:trHeight w:val="550" w:hRule="atLeast"/>
        </w:trPr>
        <w:tc>
          <w:tcPr>
            <w:tcW w:w="408" w:type="pct"/>
            <w:tcBorders>
              <w:top w:val="single" w:color="000000" w:sz="4" w:space="0"/>
              <w:left w:val="single" w:color="000000" w:sz="4" w:space="0"/>
              <w:bottom w:val="single" w:color="000000" w:sz="4" w:space="0"/>
              <w:right w:val="single" w:color="000000" w:sz="4" w:space="0"/>
            </w:tcBorders>
            <w:noWrap/>
            <w:vAlign w:val="center"/>
          </w:tcPr>
          <w:p w14:paraId="0E1550D8">
            <w:pPr>
              <w:widowControl/>
              <w:jc w:val="left"/>
              <w:textAlignment w:val="center"/>
              <w:rPr>
                <w:rFonts w:eastAsia="仿宋_GB2312"/>
                <w:sz w:val="24"/>
              </w:rPr>
            </w:pPr>
            <w:r>
              <w:rPr>
                <w:rFonts w:eastAsia="仿宋_GB2312"/>
                <w:kern w:val="0"/>
                <w:sz w:val="24"/>
                <w:lang w:bidi="ar"/>
              </w:rPr>
              <w:t>2</w:t>
            </w:r>
          </w:p>
        </w:tc>
        <w:tc>
          <w:tcPr>
            <w:tcW w:w="1254" w:type="pct"/>
            <w:tcBorders>
              <w:top w:val="single" w:color="000000" w:sz="4" w:space="0"/>
              <w:left w:val="single" w:color="000000" w:sz="4" w:space="0"/>
              <w:bottom w:val="single" w:color="000000" w:sz="4" w:space="0"/>
              <w:right w:val="single" w:color="000000" w:sz="4" w:space="0"/>
            </w:tcBorders>
            <w:noWrap/>
            <w:vAlign w:val="center"/>
          </w:tcPr>
          <w:p w14:paraId="552908A1">
            <w:pPr>
              <w:widowControl/>
              <w:jc w:val="left"/>
              <w:textAlignment w:val="center"/>
              <w:rPr>
                <w:rFonts w:eastAsia="仿宋_GB2312"/>
                <w:sz w:val="24"/>
              </w:rPr>
            </w:pPr>
            <w:r>
              <w:rPr>
                <w:rFonts w:eastAsia="仿宋_GB2312"/>
                <w:kern w:val="0"/>
                <w:sz w:val="24"/>
                <w:lang w:bidi="ar"/>
              </w:rPr>
              <w:t>POE交换机</w:t>
            </w:r>
          </w:p>
        </w:tc>
        <w:tc>
          <w:tcPr>
            <w:tcW w:w="408" w:type="pct"/>
            <w:tcBorders>
              <w:top w:val="single" w:color="000000" w:sz="4" w:space="0"/>
              <w:left w:val="single" w:color="000000" w:sz="4" w:space="0"/>
              <w:bottom w:val="single" w:color="000000" w:sz="4" w:space="0"/>
              <w:right w:val="single" w:color="000000" w:sz="4" w:space="0"/>
            </w:tcBorders>
            <w:noWrap/>
            <w:vAlign w:val="center"/>
          </w:tcPr>
          <w:p w14:paraId="4F659ED2">
            <w:pPr>
              <w:widowControl/>
              <w:jc w:val="left"/>
              <w:textAlignment w:val="center"/>
              <w:rPr>
                <w:rFonts w:eastAsia="仿宋_GB2312"/>
                <w:sz w:val="24"/>
              </w:rPr>
            </w:pPr>
            <w:r>
              <w:rPr>
                <w:rFonts w:eastAsia="仿宋_GB2312"/>
                <w:kern w:val="0"/>
                <w:sz w:val="24"/>
                <w:lang w:bidi="ar"/>
              </w:rPr>
              <w:t>25</w:t>
            </w:r>
          </w:p>
        </w:tc>
        <w:tc>
          <w:tcPr>
            <w:tcW w:w="2929" w:type="pct"/>
            <w:tcBorders>
              <w:top w:val="single" w:color="000000" w:sz="4" w:space="0"/>
              <w:left w:val="single" w:color="000000" w:sz="4" w:space="0"/>
              <w:bottom w:val="single" w:color="000000" w:sz="4" w:space="0"/>
              <w:right w:val="single" w:color="000000" w:sz="4" w:space="0"/>
            </w:tcBorders>
            <w:vAlign w:val="center"/>
          </w:tcPr>
          <w:p w14:paraId="7A6DAB48">
            <w:pPr>
              <w:widowControl/>
              <w:jc w:val="left"/>
              <w:textAlignment w:val="center"/>
              <w:rPr>
                <w:rFonts w:eastAsia="仿宋_GB2312"/>
                <w:sz w:val="24"/>
              </w:rPr>
            </w:pPr>
            <w:r>
              <w:rPr>
                <w:rFonts w:eastAsia="仿宋_GB2312"/>
                <w:kern w:val="0"/>
                <w:sz w:val="24"/>
                <w:lang w:bidi="ar"/>
              </w:rPr>
              <w:t>使用H3C S5130S-28S-HPWR-EI L2以太网交换机主机,支持24个10/100/1000BASE-T PoE+电口(AC 370W,DC 740W),4个100/1000BASE-X SFP Combo口,4个1G/10G BASE-X SFP+端口,支持AC/DC</w:t>
            </w:r>
          </w:p>
        </w:tc>
      </w:tr>
      <w:tr w14:paraId="795A557E">
        <w:tblPrEx>
          <w:tblCellMar>
            <w:top w:w="0" w:type="dxa"/>
            <w:left w:w="108" w:type="dxa"/>
            <w:bottom w:w="0" w:type="dxa"/>
            <w:right w:w="108" w:type="dxa"/>
          </w:tblCellMar>
        </w:tblPrEx>
        <w:trPr>
          <w:trHeight w:val="480" w:hRule="atLeast"/>
        </w:trPr>
        <w:tc>
          <w:tcPr>
            <w:tcW w:w="408" w:type="pct"/>
            <w:tcBorders>
              <w:top w:val="single" w:color="000000" w:sz="4" w:space="0"/>
              <w:left w:val="single" w:color="000000" w:sz="4" w:space="0"/>
              <w:bottom w:val="single" w:color="000000" w:sz="4" w:space="0"/>
              <w:right w:val="single" w:color="000000" w:sz="4" w:space="0"/>
            </w:tcBorders>
            <w:noWrap/>
            <w:vAlign w:val="center"/>
          </w:tcPr>
          <w:p w14:paraId="6305A4E1">
            <w:pPr>
              <w:widowControl/>
              <w:jc w:val="left"/>
              <w:textAlignment w:val="center"/>
              <w:rPr>
                <w:rFonts w:eastAsia="仿宋_GB2312"/>
                <w:sz w:val="24"/>
              </w:rPr>
            </w:pPr>
            <w:r>
              <w:rPr>
                <w:rFonts w:eastAsia="仿宋_GB2312"/>
                <w:kern w:val="0"/>
                <w:sz w:val="24"/>
                <w:lang w:bidi="ar"/>
              </w:rPr>
              <w:t>3</w:t>
            </w:r>
          </w:p>
        </w:tc>
        <w:tc>
          <w:tcPr>
            <w:tcW w:w="1254" w:type="pct"/>
            <w:tcBorders>
              <w:top w:val="single" w:color="000000" w:sz="4" w:space="0"/>
              <w:left w:val="single" w:color="000000" w:sz="4" w:space="0"/>
              <w:bottom w:val="single" w:color="000000" w:sz="4" w:space="0"/>
              <w:right w:val="single" w:color="000000" w:sz="4" w:space="0"/>
            </w:tcBorders>
            <w:noWrap/>
            <w:vAlign w:val="center"/>
          </w:tcPr>
          <w:p w14:paraId="2A358877">
            <w:pPr>
              <w:widowControl/>
              <w:jc w:val="left"/>
              <w:textAlignment w:val="center"/>
              <w:rPr>
                <w:rFonts w:eastAsia="仿宋_GB2312"/>
                <w:sz w:val="24"/>
              </w:rPr>
            </w:pPr>
            <w:r>
              <w:rPr>
                <w:rFonts w:eastAsia="仿宋_GB2312"/>
                <w:kern w:val="0"/>
                <w:sz w:val="24"/>
                <w:lang w:bidi="ar"/>
              </w:rPr>
              <w:t>光模块2</w:t>
            </w:r>
          </w:p>
        </w:tc>
        <w:tc>
          <w:tcPr>
            <w:tcW w:w="408" w:type="pct"/>
            <w:tcBorders>
              <w:top w:val="single" w:color="000000" w:sz="4" w:space="0"/>
              <w:left w:val="single" w:color="000000" w:sz="4" w:space="0"/>
              <w:bottom w:val="single" w:color="000000" w:sz="4" w:space="0"/>
              <w:right w:val="single" w:color="000000" w:sz="4" w:space="0"/>
            </w:tcBorders>
            <w:noWrap/>
            <w:vAlign w:val="center"/>
          </w:tcPr>
          <w:p w14:paraId="40E70707">
            <w:pPr>
              <w:widowControl/>
              <w:jc w:val="left"/>
              <w:textAlignment w:val="center"/>
              <w:rPr>
                <w:rFonts w:eastAsia="仿宋_GB2312"/>
                <w:sz w:val="24"/>
              </w:rPr>
            </w:pPr>
            <w:r>
              <w:rPr>
                <w:rFonts w:eastAsia="仿宋_GB2312"/>
                <w:kern w:val="0"/>
                <w:sz w:val="24"/>
                <w:lang w:bidi="ar"/>
              </w:rPr>
              <w:t>45</w:t>
            </w:r>
          </w:p>
        </w:tc>
        <w:tc>
          <w:tcPr>
            <w:tcW w:w="2929" w:type="pct"/>
            <w:tcBorders>
              <w:top w:val="single" w:color="000000" w:sz="4" w:space="0"/>
              <w:left w:val="single" w:color="000000" w:sz="4" w:space="0"/>
              <w:bottom w:val="single" w:color="000000" w:sz="4" w:space="0"/>
              <w:right w:val="single" w:color="000000" w:sz="4" w:space="0"/>
            </w:tcBorders>
            <w:vAlign w:val="center"/>
          </w:tcPr>
          <w:p w14:paraId="441F6F66">
            <w:pPr>
              <w:widowControl/>
              <w:jc w:val="left"/>
              <w:textAlignment w:val="center"/>
              <w:rPr>
                <w:rFonts w:eastAsia="仿宋_GB2312"/>
                <w:sz w:val="24"/>
              </w:rPr>
            </w:pPr>
            <w:r>
              <w:rPr>
                <w:rFonts w:eastAsia="仿宋_GB2312"/>
                <w:kern w:val="0"/>
                <w:sz w:val="24"/>
                <w:lang w:bidi="ar"/>
              </w:rPr>
              <w:t>使用光模块-SFP-GE-单模模块-(1310nm,10km,LC)</w:t>
            </w:r>
          </w:p>
        </w:tc>
      </w:tr>
      <w:tr w14:paraId="7C4D0A43">
        <w:tblPrEx>
          <w:tblCellMar>
            <w:top w:w="0" w:type="dxa"/>
            <w:left w:w="108" w:type="dxa"/>
            <w:bottom w:w="0" w:type="dxa"/>
            <w:right w:w="108" w:type="dxa"/>
          </w:tblCellMar>
        </w:tblPrEx>
        <w:trPr>
          <w:trHeight w:val="560" w:hRule="atLeast"/>
        </w:trPr>
        <w:tc>
          <w:tcPr>
            <w:tcW w:w="408" w:type="pct"/>
            <w:tcBorders>
              <w:top w:val="single" w:color="000000" w:sz="4" w:space="0"/>
              <w:left w:val="single" w:color="000000" w:sz="4" w:space="0"/>
              <w:bottom w:val="single" w:color="000000" w:sz="4" w:space="0"/>
              <w:right w:val="single" w:color="000000" w:sz="4" w:space="0"/>
            </w:tcBorders>
            <w:noWrap/>
            <w:vAlign w:val="center"/>
          </w:tcPr>
          <w:p w14:paraId="1C0D99A0">
            <w:pPr>
              <w:widowControl/>
              <w:jc w:val="left"/>
              <w:textAlignment w:val="center"/>
              <w:rPr>
                <w:rFonts w:eastAsia="仿宋_GB2312"/>
                <w:kern w:val="0"/>
                <w:sz w:val="24"/>
                <w:lang w:bidi="ar"/>
              </w:rPr>
            </w:pPr>
            <w:r>
              <w:rPr>
                <w:rFonts w:eastAsia="仿宋_GB2312"/>
                <w:kern w:val="0"/>
                <w:sz w:val="24"/>
                <w:lang w:bidi="ar"/>
              </w:rPr>
              <w:t>4</w:t>
            </w:r>
          </w:p>
        </w:tc>
        <w:tc>
          <w:tcPr>
            <w:tcW w:w="1254" w:type="pct"/>
            <w:tcBorders>
              <w:top w:val="single" w:color="000000" w:sz="4" w:space="0"/>
              <w:left w:val="single" w:color="000000" w:sz="4" w:space="0"/>
              <w:bottom w:val="single" w:color="000000" w:sz="4" w:space="0"/>
              <w:right w:val="single" w:color="000000" w:sz="4" w:space="0"/>
            </w:tcBorders>
            <w:noWrap/>
            <w:vAlign w:val="center"/>
          </w:tcPr>
          <w:p w14:paraId="1F543985">
            <w:pPr>
              <w:widowControl/>
              <w:jc w:val="left"/>
              <w:textAlignment w:val="center"/>
              <w:rPr>
                <w:rFonts w:eastAsia="仿宋_GB2312"/>
                <w:color w:val="000000"/>
                <w:kern w:val="0"/>
                <w:sz w:val="24"/>
                <w:lang w:bidi="ar"/>
              </w:rPr>
            </w:pPr>
            <w:r>
              <w:rPr>
                <w:rFonts w:eastAsia="仿宋_GB2312"/>
                <w:color w:val="000000"/>
                <w:kern w:val="0"/>
                <w:sz w:val="24"/>
                <w:lang w:bidi="ar"/>
              </w:rPr>
              <w:t>云企星可视化平台</w:t>
            </w:r>
          </w:p>
        </w:tc>
        <w:tc>
          <w:tcPr>
            <w:tcW w:w="408" w:type="pct"/>
            <w:tcBorders>
              <w:top w:val="single" w:color="000000" w:sz="4" w:space="0"/>
              <w:left w:val="single" w:color="000000" w:sz="4" w:space="0"/>
              <w:bottom w:val="single" w:color="000000" w:sz="4" w:space="0"/>
              <w:right w:val="single" w:color="000000" w:sz="4" w:space="0"/>
            </w:tcBorders>
            <w:noWrap/>
            <w:vAlign w:val="center"/>
          </w:tcPr>
          <w:p w14:paraId="46E1CD1D">
            <w:pPr>
              <w:widowControl/>
              <w:jc w:val="left"/>
              <w:textAlignment w:val="center"/>
              <w:rPr>
                <w:rFonts w:eastAsia="仿宋_GB2312"/>
                <w:color w:val="000000"/>
                <w:sz w:val="24"/>
              </w:rPr>
            </w:pPr>
            <w:r>
              <w:rPr>
                <w:rFonts w:eastAsia="仿宋_GB2312"/>
                <w:color w:val="000000"/>
                <w:kern w:val="0"/>
                <w:sz w:val="24"/>
                <w:lang w:bidi="ar"/>
              </w:rPr>
              <w:t>1</w:t>
            </w:r>
          </w:p>
        </w:tc>
        <w:tc>
          <w:tcPr>
            <w:tcW w:w="2929" w:type="pct"/>
            <w:tcBorders>
              <w:top w:val="single" w:color="000000" w:sz="4" w:space="0"/>
              <w:left w:val="single" w:color="000000" w:sz="4" w:space="0"/>
              <w:bottom w:val="single" w:color="000000" w:sz="4" w:space="0"/>
              <w:right w:val="single" w:color="000000" w:sz="4" w:space="0"/>
            </w:tcBorders>
            <w:vAlign w:val="center"/>
          </w:tcPr>
          <w:p w14:paraId="59864125">
            <w:pPr>
              <w:widowControl/>
              <w:jc w:val="left"/>
              <w:textAlignment w:val="center"/>
              <w:rPr>
                <w:rFonts w:eastAsia="仿宋_GB2312"/>
                <w:color w:val="000000"/>
                <w:kern w:val="0"/>
                <w:sz w:val="24"/>
                <w:lang w:bidi="ar"/>
              </w:rPr>
            </w:pPr>
            <w:r>
              <w:rPr>
                <w:rFonts w:eastAsia="仿宋_GB2312"/>
                <w:color w:val="000000"/>
                <w:kern w:val="0"/>
                <w:sz w:val="24"/>
                <w:lang w:bidi="ar"/>
              </w:rPr>
              <w:t>可视化平台基础功能；用户及数据权限管理模块；WEB可视化渲染模块；独立设备级可视化许可；网络设备资产管理许可；监控管理许可；演示管理许可</w:t>
            </w:r>
          </w:p>
        </w:tc>
      </w:tr>
    </w:tbl>
    <w:p w14:paraId="64EFAF33">
      <w:pPr>
        <w:spacing w:line="440" w:lineRule="exact"/>
        <w:rPr>
          <w:rFonts w:hint="eastAsia" w:ascii="宋体" w:hAnsi="宋体" w:cs="宋体"/>
          <w:b/>
          <w:bCs/>
          <w:kern w:val="0"/>
          <w:sz w:val="24"/>
          <w:lang w:val="en-US" w:eastAsia="zh-CN"/>
        </w:rPr>
      </w:pPr>
    </w:p>
    <w:p w14:paraId="569A6ECC">
      <w:pPr>
        <w:rPr>
          <w:rFonts w:hint="eastAsia" w:ascii="宋体" w:hAnsi="宋体" w:cs="宋体"/>
          <w:b/>
          <w:bCs/>
          <w:kern w:val="0"/>
          <w:sz w:val="24"/>
          <w:lang w:val="en-US" w:eastAsia="zh-CN"/>
        </w:rPr>
      </w:pPr>
      <w:r>
        <w:rPr>
          <w:rFonts w:hint="eastAsia" w:ascii="宋体" w:hAnsi="宋体" w:cs="宋体"/>
          <w:b/>
          <w:bCs/>
          <w:kern w:val="0"/>
          <w:sz w:val="24"/>
          <w:lang w:val="en-US" w:eastAsia="zh-CN"/>
        </w:rPr>
        <w:br w:type="page"/>
      </w:r>
    </w:p>
    <w:p w14:paraId="00CD4633">
      <w:pPr>
        <w:spacing w:line="440" w:lineRule="exact"/>
        <w:rPr>
          <w:rFonts w:ascii="宋体" w:hAnsi="宋体" w:cs="宋体"/>
          <w:b/>
          <w:bCs/>
          <w:kern w:val="0"/>
          <w:sz w:val="24"/>
        </w:rPr>
      </w:pPr>
      <w:r>
        <w:rPr>
          <w:rFonts w:hint="eastAsia" w:ascii="宋体" w:hAnsi="宋体" w:cs="宋体"/>
          <w:b/>
          <w:bCs/>
          <w:kern w:val="0"/>
          <w:sz w:val="24"/>
          <w:lang w:val="en-US" w:eastAsia="zh-CN"/>
        </w:rPr>
        <w:t>附件2：</w:t>
      </w:r>
      <w:r>
        <w:rPr>
          <w:rFonts w:hint="eastAsia" w:ascii="宋体" w:hAnsi="宋体" w:cs="宋体"/>
          <w:b/>
          <w:bCs/>
          <w:kern w:val="0"/>
          <w:sz w:val="24"/>
        </w:rPr>
        <w:t>评分标准</w:t>
      </w:r>
    </w:p>
    <w:tbl>
      <w:tblPr>
        <w:tblStyle w:val="7"/>
        <w:tblW w:w="5000" w:type="pct"/>
        <w:tblInd w:w="0" w:type="dxa"/>
        <w:tblLayout w:type="autofit"/>
        <w:tblCellMar>
          <w:top w:w="0" w:type="dxa"/>
          <w:left w:w="108" w:type="dxa"/>
          <w:bottom w:w="0" w:type="dxa"/>
          <w:right w:w="108" w:type="dxa"/>
        </w:tblCellMar>
      </w:tblPr>
      <w:tblGrid>
        <w:gridCol w:w="1222"/>
        <w:gridCol w:w="1682"/>
        <w:gridCol w:w="731"/>
        <w:gridCol w:w="4887"/>
      </w:tblGrid>
      <w:tr w14:paraId="69ABD6A1">
        <w:tblPrEx>
          <w:tblCellMar>
            <w:top w:w="0" w:type="dxa"/>
            <w:left w:w="108" w:type="dxa"/>
            <w:bottom w:w="0" w:type="dxa"/>
            <w:right w:w="108" w:type="dxa"/>
          </w:tblCellMar>
        </w:tblPrEx>
        <w:trPr>
          <w:tblHeader/>
        </w:trPr>
        <w:tc>
          <w:tcPr>
            <w:tcW w:w="717" w:type="pct"/>
            <w:tcBorders>
              <w:top w:val="single" w:color="000000" w:sz="4" w:space="0"/>
              <w:left w:val="single" w:color="000000" w:sz="4" w:space="0"/>
              <w:bottom w:val="single" w:color="000000" w:sz="4" w:space="0"/>
              <w:right w:val="single" w:color="000000" w:sz="4" w:space="0"/>
            </w:tcBorders>
            <w:vAlign w:val="center"/>
          </w:tcPr>
          <w:p w14:paraId="7C42A89F">
            <w:pPr>
              <w:jc w:val="center"/>
              <w:rPr>
                <w:b/>
                <w:bCs/>
              </w:rPr>
            </w:pPr>
            <w:r>
              <w:rPr>
                <w:rFonts w:hint="eastAsia"/>
                <w:b/>
                <w:bCs/>
              </w:rPr>
              <w:t>内容</w:t>
            </w:r>
          </w:p>
        </w:tc>
        <w:tc>
          <w:tcPr>
            <w:tcW w:w="987" w:type="pct"/>
            <w:tcBorders>
              <w:top w:val="single" w:color="000000" w:sz="4" w:space="0"/>
              <w:left w:val="single" w:color="000000" w:sz="4" w:space="0"/>
              <w:bottom w:val="single" w:color="000000" w:sz="4" w:space="0"/>
              <w:right w:val="single" w:color="000000" w:sz="4" w:space="0"/>
            </w:tcBorders>
            <w:vAlign w:val="center"/>
          </w:tcPr>
          <w:p w14:paraId="5D7C731E">
            <w:pPr>
              <w:jc w:val="center"/>
              <w:rPr>
                <w:b/>
                <w:bCs/>
              </w:rPr>
            </w:pPr>
            <w:r>
              <w:rPr>
                <w:rFonts w:hint="eastAsia"/>
                <w:b/>
                <w:bCs/>
              </w:rPr>
              <w:t>评分因素分项</w:t>
            </w:r>
          </w:p>
        </w:tc>
        <w:tc>
          <w:tcPr>
            <w:tcW w:w="429" w:type="pct"/>
            <w:tcBorders>
              <w:top w:val="single" w:color="000000" w:sz="4" w:space="0"/>
              <w:left w:val="single" w:color="000000" w:sz="4" w:space="0"/>
              <w:bottom w:val="single" w:color="000000" w:sz="4" w:space="0"/>
              <w:right w:val="single" w:color="000000" w:sz="4" w:space="0"/>
            </w:tcBorders>
          </w:tcPr>
          <w:p w14:paraId="1DB73836">
            <w:pPr>
              <w:jc w:val="center"/>
              <w:rPr>
                <w:b/>
                <w:bCs/>
              </w:rPr>
            </w:pPr>
            <w:r>
              <w:rPr>
                <w:rFonts w:hint="eastAsia"/>
                <w:b/>
                <w:bCs/>
              </w:rPr>
              <w:t>分值</w:t>
            </w:r>
          </w:p>
        </w:tc>
        <w:tc>
          <w:tcPr>
            <w:tcW w:w="2867" w:type="pct"/>
            <w:tcBorders>
              <w:top w:val="single" w:color="000000" w:sz="4" w:space="0"/>
              <w:left w:val="single" w:color="000000" w:sz="4" w:space="0"/>
              <w:bottom w:val="single" w:color="000000" w:sz="4" w:space="0"/>
              <w:right w:val="single" w:color="000000" w:sz="4" w:space="0"/>
            </w:tcBorders>
            <w:vAlign w:val="center"/>
          </w:tcPr>
          <w:p w14:paraId="39AFB857">
            <w:pPr>
              <w:jc w:val="center"/>
              <w:rPr>
                <w:b/>
                <w:bCs/>
              </w:rPr>
            </w:pPr>
            <w:r>
              <w:rPr>
                <w:rFonts w:hint="eastAsia"/>
                <w:b/>
                <w:bCs/>
              </w:rPr>
              <w:t>评分因素分项</w:t>
            </w:r>
          </w:p>
        </w:tc>
      </w:tr>
      <w:tr w14:paraId="40255A4F">
        <w:tblPrEx>
          <w:tblCellMar>
            <w:top w:w="0" w:type="dxa"/>
            <w:left w:w="108" w:type="dxa"/>
            <w:bottom w:w="0" w:type="dxa"/>
            <w:right w:w="108" w:type="dxa"/>
          </w:tblCellMar>
        </w:tblPrEx>
        <w:tc>
          <w:tcPr>
            <w:tcW w:w="717" w:type="pct"/>
            <w:tcBorders>
              <w:top w:val="single" w:color="000000" w:sz="4" w:space="0"/>
              <w:left w:val="single" w:color="000000" w:sz="4" w:space="0"/>
              <w:bottom w:val="single" w:color="000000" w:sz="4" w:space="0"/>
              <w:right w:val="single" w:color="000000" w:sz="4" w:space="0"/>
            </w:tcBorders>
            <w:vAlign w:val="center"/>
          </w:tcPr>
          <w:p w14:paraId="3E24CF90">
            <w:r>
              <w:rPr>
                <w:rFonts w:hint="eastAsia"/>
              </w:rPr>
              <w:t>价格部分30分</w:t>
            </w:r>
          </w:p>
        </w:tc>
        <w:tc>
          <w:tcPr>
            <w:tcW w:w="987" w:type="pct"/>
            <w:tcBorders>
              <w:top w:val="single" w:color="000000" w:sz="4" w:space="0"/>
              <w:left w:val="single" w:color="000000" w:sz="4" w:space="0"/>
              <w:bottom w:val="single" w:color="000000" w:sz="4" w:space="0"/>
              <w:right w:val="single" w:color="000000" w:sz="4" w:space="0"/>
            </w:tcBorders>
            <w:vAlign w:val="center"/>
          </w:tcPr>
          <w:p w14:paraId="0D98FE90">
            <w:r>
              <w:rPr>
                <w:rFonts w:hint="eastAsia"/>
              </w:rPr>
              <w:t>评标价格</w:t>
            </w:r>
            <w:r>
              <w:rPr>
                <w:rFonts w:hint="eastAsia"/>
              </w:rPr>
              <w:br w:type="textWrapping"/>
            </w:r>
            <w:r>
              <w:rPr>
                <w:rFonts w:hint="eastAsia"/>
              </w:rPr>
              <w:t>【客观】</w:t>
            </w:r>
          </w:p>
        </w:tc>
        <w:tc>
          <w:tcPr>
            <w:tcW w:w="429" w:type="pct"/>
            <w:tcBorders>
              <w:top w:val="single" w:color="000000" w:sz="4" w:space="0"/>
              <w:left w:val="single" w:color="000000" w:sz="4" w:space="0"/>
              <w:bottom w:val="single" w:color="000000" w:sz="4" w:space="0"/>
              <w:right w:val="single" w:color="000000" w:sz="4" w:space="0"/>
            </w:tcBorders>
          </w:tcPr>
          <w:p w14:paraId="713E4685">
            <w:pPr>
              <w:jc w:val="center"/>
            </w:pPr>
            <w:r>
              <w:rPr>
                <w:rFonts w:hint="eastAsia"/>
              </w:rPr>
              <w:t>30</w:t>
            </w:r>
          </w:p>
        </w:tc>
        <w:tc>
          <w:tcPr>
            <w:tcW w:w="2867" w:type="pct"/>
            <w:tcBorders>
              <w:top w:val="single" w:color="000000" w:sz="4" w:space="0"/>
              <w:left w:val="single" w:color="000000" w:sz="4" w:space="0"/>
              <w:bottom w:val="single" w:color="000000" w:sz="4" w:space="0"/>
              <w:right w:val="single" w:color="000000" w:sz="4" w:space="0"/>
            </w:tcBorders>
            <w:vAlign w:val="center"/>
          </w:tcPr>
          <w:p w14:paraId="7EE83140">
            <w:r>
              <w:rPr>
                <w:rFonts w:hint="eastAsia"/>
              </w:rPr>
              <w:t>满足遴选文件要求且投标价格最低的投标报价为评标基准价，其价格分为满分。其他投标人的价格分统一按照下列公式计算：</w:t>
            </w:r>
            <w:r>
              <w:rPr>
                <w:rFonts w:hint="eastAsia"/>
              </w:rPr>
              <w:br w:type="textWrapping"/>
            </w:r>
            <w:r>
              <w:rPr>
                <w:rFonts w:hint="eastAsia"/>
              </w:rPr>
              <w:t>投标报价得分＝（评标基准价/投标报价）×30</w:t>
            </w:r>
          </w:p>
        </w:tc>
      </w:tr>
      <w:tr w14:paraId="67E615CC">
        <w:tblPrEx>
          <w:tblCellMar>
            <w:top w:w="0" w:type="dxa"/>
            <w:left w:w="108" w:type="dxa"/>
            <w:bottom w:w="0" w:type="dxa"/>
            <w:right w:w="108" w:type="dxa"/>
          </w:tblCellMar>
        </w:tblPrEx>
        <w:tc>
          <w:tcPr>
            <w:tcW w:w="717" w:type="pct"/>
            <w:vMerge w:val="restart"/>
            <w:tcBorders>
              <w:top w:val="single" w:color="000000" w:sz="4" w:space="0"/>
              <w:left w:val="single" w:color="000000" w:sz="4" w:space="0"/>
              <w:bottom w:val="single" w:color="000000" w:sz="4" w:space="0"/>
              <w:right w:val="single" w:color="000000" w:sz="4" w:space="0"/>
            </w:tcBorders>
            <w:vAlign w:val="center"/>
          </w:tcPr>
          <w:p w14:paraId="148FBB51">
            <w:r>
              <w:rPr>
                <w:rFonts w:hint="eastAsia"/>
              </w:rPr>
              <w:t>商务部分10分</w:t>
            </w:r>
          </w:p>
        </w:tc>
        <w:tc>
          <w:tcPr>
            <w:tcW w:w="987" w:type="pct"/>
            <w:tcBorders>
              <w:top w:val="single" w:color="000000" w:sz="4" w:space="0"/>
              <w:left w:val="single" w:color="000000" w:sz="4" w:space="0"/>
              <w:bottom w:val="single" w:color="000000" w:sz="4" w:space="0"/>
              <w:right w:val="single" w:color="000000" w:sz="4" w:space="0"/>
            </w:tcBorders>
            <w:vAlign w:val="center"/>
          </w:tcPr>
          <w:p w14:paraId="2721DE64">
            <w:r>
              <w:rPr>
                <w:rFonts w:hint="eastAsia"/>
              </w:rPr>
              <w:t>同类项目业绩</w:t>
            </w:r>
            <w:r>
              <w:rPr>
                <w:rFonts w:hint="eastAsia"/>
              </w:rPr>
              <w:br w:type="textWrapping"/>
            </w:r>
            <w:r>
              <w:rPr>
                <w:rFonts w:hint="eastAsia"/>
              </w:rPr>
              <w:t>【客观】</w:t>
            </w:r>
          </w:p>
        </w:tc>
        <w:tc>
          <w:tcPr>
            <w:tcW w:w="429" w:type="pct"/>
            <w:tcBorders>
              <w:top w:val="single" w:color="000000" w:sz="4" w:space="0"/>
              <w:left w:val="single" w:color="000000" w:sz="4" w:space="0"/>
              <w:bottom w:val="single" w:color="000000" w:sz="4" w:space="0"/>
              <w:right w:val="single" w:color="000000" w:sz="4" w:space="0"/>
            </w:tcBorders>
          </w:tcPr>
          <w:p w14:paraId="01D1DFD4">
            <w:pPr>
              <w:jc w:val="center"/>
            </w:pPr>
            <w:r>
              <w:rPr>
                <w:rFonts w:hint="eastAsia"/>
              </w:rPr>
              <w:t>6</w:t>
            </w:r>
          </w:p>
        </w:tc>
        <w:tc>
          <w:tcPr>
            <w:tcW w:w="2867" w:type="pct"/>
            <w:tcBorders>
              <w:top w:val="single" w:color="000000" w:sz="4" w:space="0"/>
              <w:left w:val="single" w:color="000000" w:sz="4" w:space="0"/>
              <w:bottom w:val="single" w:color="000000" w:sz="4" w:space="0"/>
              <w:right w:val="single" w:color="000000" w:sz="4" w:space="0"/>
            </w:tcBorders>
            <w:vAlign w:val="center"/>
          </w:tcPr>
          <w:p w14:paraId="1DD008AE">
            <w:r>
              <w:rPr>
                <w:rFonts w:hint="eastAsia"/>
              </w:rPr>
              <w:t>根据投标人提供近三年同类业绩进行打分，每有1个得2分，最高得6分。须提供合同复印件，体现合同名称及双方签字盖章页。</w:t>
            </w:r>
          </w:p>
        </w:tc>
      </w:tr>
      <w:tr w14:paraId="29A0BCB5">
        <w:tblPrEx>
          <w:tblCellMar>
            <w:top w:w="0" w:type="dxa"/>
            <w:left w:w="108" w:type="dxa"/>
            <w:bottom w:w="0" w:type="dxa"/>
            <w:right w:w="108" w:type="dxa"/>
          </w:tblCellMar>
        </w:tblPrEx>
        <w:tc>
          <w:tcPr>
            <w:tcW w:w="717" w:type="pct"/>
            <w:vMerge w:val="continue"/>
            <w:tcBorders>
              <w:top w:val="single" w:color="000000" w:sz="4" w:space="0"/>
              <w:left w:val="single" w:color="000000" w:sz="4" w:space="0"/>
              <w:bottom w:val="single" w:color="000000" w:sz="4" w:space="0"/>
              <w:right w:val="single" w:color="000000" w:sz="4" w:space="0"/>
            </w:tcBorders>
            <w:vAlign w:val="center"/>
          </w:tcPr>
          <w:p w14:paraId="45C187AC"/>
        </w:tc>
        <w:tc>
          <w:tcPr>
            <w:tcW w:w="987" w:type="pct"/>
            <w:tcBorders>
              <w:top w:val="single" w:color="000000" w:sz="4" w:space="0"/>
              <w:left w:val="single" w:color="000000" w:sz="4" w:space="0"/>
              <w:bottom w:val="single" w:color="000000" w:sz="4" w:space="0"/>
              <w:right w:val="single" w:color="000000" w:sz="4" w:space="0"/>
            </w:tcBorders>
            <w:vAlign w:val="center"/>
          </w:tcPr>
          <w:p w14:paraId="5070DC7D">
            <w:r>
              <w:rPr>
                <w:rFonts w:hint="eastAsia"/>
              </w:rPr>
              <w:t>资质认证</w:t>
            </w:r>
            <w:r>
              <w:rPr>
                <w:rFonts w:hint="eastAsia"/>
              </w:rPr>
              <w:br w:type="textWrapping"/>
            </w:r>
            <w:r>
              <w:rPr>
                <w:rFonts w:hint="eastAsia"/>
              </w:rPr>
              <w:t>【客观】</w:t>
            </w:r>
          </w:p>
        </w:tc>
        <w:tc>
          <w:tcPr>
            <w:tcW w:w="429" w:type="pct"/>
            <w:tcBorders>
              <w:top w:val="single" w:color="000000" w:sz="4" w:space="0"/>
              <w:left w:val="single" w:color="000000" w:sz="4" w:space="0"/>
              <w:bottom w:val="single" w:color="000000" w:sz="4" w:space="0"/>
              <w:right w:val="single" w:color="000000" w:sz="4" w:space="0"/>
            </w:tcBorders>
          </w:tcPr>
          <w:p w14:paraId="3771C2D7">
            <w:pPr>
              <w:jc w:val="center"/>
            </w:pPr>
            <w:r>
              <w:rPr>
                <w:rFonts w:hint="eastAsia"/>
              </w:rPr>
              <w:t>4</w:t>
            </w:r>
          </w:p>
        </w:tc>
        <w:tc>
          <w:tcPr>
            <w:tcW w:w="2867" w:type="pct"/>
            <w:tcBorders>
              <w:top w:val="single" w:color="000000" w:sz="4" w:space="0"/>
              <w:left w:val="single" w:color="000000" w:sz="4" w:space="0"/>
              <w:bottom w:val="single" w:color="000000" w:sz="4" w:space="0"/>
              <w:right w:val="single" w:color="000000" w:sz="4" w:space="0"/>
            </w:tcBorders>
            <w:vAlign w:val="center"/>
          </w:tcPr>
          <w:p w14:paraId="149723B0">
            <w:r>
              <w:rPr>
                <w:rFonts w:hint="eastAsia"/>
              </w:rPr>
              <w:t>资质认证：投标人提供质量管理体系认证证书、环境管理体系认证证书、信息技术服务管理体系认证证书、信息安全管理体系认证证书，每提供一个有效期内证书得1分，最高得4分。</w:t>
            </w:r>
          </w:p>
        </w:tc>
      </w:tr>
      <w:tr w14:paraId="3B408068">
        <w:tblPrEx>
          <w:tblCellMar>
            <w:top w:w="0" w:type="dxa"/>
            <w:left w:w="108" w:type="dxa"/>
            <w:bottom w:w="0" w:type="dxa"/>
            <w:right w:w="108" w:type="dxa"/>
          </w:tblCellMar>
        </w:tblPrEx>
        <w:tc>
          <w:tcPr>
            <w:tcW w:w="717" w:type="pct"/>
            <w:tcBorders>
              <w:top w:val="single" w:color="000000" w:sz="4" w:space="0"/>
              <w:left w:val="single" w:color="000000" w:sz="4" w:space="0"/>
              <w:bottom w:val="single" w:color="000000" w:sz="4" w:space="0"/>
              <w:right w:val="single" w:color="000000" w:sz="4" w:space="0"/>
            </w:tcBorders>
            <w:vAlign w:val="center"/>
          </w:tcPr>
          <w:p w14:paraId="7AEE7338">
            <w:r>
              <w:rPr>
                <w:rFonts w:hint="eastAsia"/>
              </w:rPr>
              <w:t>技术部分</w:t>
            </w:r>
            <w:r>
              <w:rPr>
                <w:rFonts w:hint="eastAsia"/>
              </w:rPr>
              <w:br w:type="textWrapping"/>
            </w:r>
            <w:r>
              <w:rPr>
                <w:rFonts w:hint="eastAsia"/>
              </w:rPr>
              <w:t>30分</w:t>
            </w:r>
          </w:p>
        </w:tc>
        <w:tc>
          <w:tcPr>
            <w:tcW w:w="987" w:type="pct"/>
            <w:tcBorders>
              <w:top w:val="single" w:color="000000" w:sz="4" w:space="0"/>
              <w:left w:val="single" w:color="000000" w:sz="4" w:space="0"/>
              <w:bottom w:val="single" w:color="000000" w:sz="4" w:space="0"/>
              <w:right w:val="single" w:color="000000" w:sz="4" w:space="0"/>
            </w:tcBorders>
            <w:vAlign w:val="center"/>
          </w:tcPr>
          <w:p w14:paraId="4CB24CED">
            <w:r>
              <w:rPr>
                <w:rFonts w:hint="eastAsia"/>
              </w:rPr>
              <w:t>需求响应</w:t>
            </w:r>
            <w:r>
              <w:rPr>
                <w:rFonts w:hint="eastAsia"/>
              </w:rPr>
              <w:br w:type="textWrapping"/>
            </w:r>
            <w:r>
              <w:rPr>
                <w:rFonts w:hint="eastAsia"/>
              </w:rPr>
              <w:t>【客观】</w:t>
            </w:r>
          </w:p>
        </w:tc>
        <w:tc>
          <w:tcPr>
            <w:tcW w:w="429" w:type="pct"/>
            <w:tcBorders>
              <w:top w:val="single" w:color="000000" w:sz="4" w:space="0"/>
              <w:left w:val="single" w:color="000000" w:sz="4" w:space="0"/>
              <w:bottom w:val="single" w:color="000000" w:sz="4" w:space="0"/>
              <w:right w:val="single" w:color="000000" w:sz="4" w:space="0"/>
            </w:tcBorders>
          </w:tcPr>
          <w:p w14:paraId="338BE6AE">
            <w:pPr>
              <w:jc w:val="center"/>
            </w:pPr>
            <w:r>
              <w:rPr>
                <w:rFonts w:hint="eastAsia"/>
              </w:rPr>
              <w:t>30</w:t>
            </w:r>
          </w:p>
        </w:tc>
        <w:tc>
          <w:tcPr>
            <w:tcW w:w="2867" w:type="pct"/>
            <w:tcBorders>
              <w:top w:val="single" w:color="000000" w:sz="4" w:space="0"/>
              <w:left w:val="single" w:color="000000" w:sz="4" w:space="0"/>
              <w:bottom w:val="single" w:color="000000" w:sz="4" w:space="0"/>
              <w:right w:val="single" w:color="000000" w:sz="4" w:space="0"/>
            </w:tcBorders>
            <w:vAlign w:val="center"/>
          </w:tcPr>
          <w:p w14:paraId="73B7C604">
            <w:r>
              <w:rPr>
                <w:rFonts w:hint="eastAsia"/>
              </w:rPr>
              <w:t>1.完全满足需求文件“二、采购需求 ”的得满分30分。</w:t>
            </w:r>
          </w:p>
          <w:p w14:paraId="4AE121DE">
            <w:r>
              <w:rPr>
                <w:rFonts w:hint="eastAsia"/>
              </w:rPr>
              <w:t>2</w:t>
            </w:r>
            <w:r>
              <w:t>.</w:t>
            </w:r>
            <w:r>
              <w:rPr>
                <w:rFonts w:hint="eastAsia" w:ascii="宋体" w:hAnsi="宋体" w:cs="宋体"/>
                <w:color w:val="000000"/>
                <w:kern w:val="0"/>
                <w:sz w:val="24"/>
                <w:lang w:bidi="ar"/>
              </w:rPr>
              <w:t>需求文件中，一般要求(共计5条)负偏离扣6分，最低扣至0分</w:t>
            </w:r>
            <w:r>
              <w:rPr>
                <w:rFonts w:hint="eastAsia"/>
              </w:rPr>
              <w:t>。</w:t>
            </w:r>
          </w:p>
        </w:tc>
      </w:tr>
      <w:tr w14:paraId="3E3A06B2">
        <w:tblPrEx>
          <w:tblCellMar>
            <w:top w:w="0" w:type="dxa"/>
            <w:left w:w="108" w:type="dxa"/>
            <w:bottom w:w="0" w:type="dxa"/>
            <w:right w:w="108" w:type="dxa"/>
          </w:tblCellMar>
        </w:tblPrEx>
        <w:tc>
          <w:tcPr>
            <w:tcW w:w="717" w:type="pct"/>
            <w:vMerge w:val="restart"/>
            <w:tcBorders>
              <w:top w:val="single" w:color="000000" w:sz="4" w:space="0"/>
              <w:left w:val="single" w:color="000000" w:sz="4" w:space="0"/>
              <w:bottom w:val="single" w:color="000000" w:sz="4" w:space="0"/>
              <w:right w:val="single" w:color="000000" w:sz="4" w:space="0"/>
            </w:tcBorders>
            <w:vAlign w:val="center"/>
          </w:tcPr>
          <w:p w14:paraId="285964AC">
            <w:r>
              <w:rPr>
                <w:rFonts w:hint="eastAsia"/>
              </w:rPr>
              <w:t>服务部分</w:t>
            </w:r>
            <w:r>
              <w:rPr>
                <w:rFonts w:hint="eastAsia"/>
              </w:rPr>
              <w:br w:type="textWrapping"/>
            </w:r>
            <w:r>
              <w:t>3</w:t>
            </w:r>
            <w:r>
              <w:rPr>
                <w:rFonts w:hint="eastAsia"/>
              </w:rPr>
              <w:t>0分</w:t>
            </w:r>
          </w:p>
        </w:tc>
        <w:tc>
          <w:tcPr>
            <w:tcW w:w="987" w:type="pct"/>
            <w:tcBorders>
              <w:top w:val="single" w:color="000000" w:sz="4" w:space="0"/>
              <w:left w:val="single" w:color="000000" w:sz="4" w:space="0"/>
              <w:bottom w:val="single" w:color="000000" w:sz="4" w:space="0"/>
              <w:right w:val="single" w:color="000000" w:sz="4" w:space="0"/>
            </w:tcBorders>
            <w:vAlign w:val="center"/>
          </w:tcPr>
          <w:p w14:paraId="3B827B61">
            <w:r>
              <w:rPr>
                <w:rFonts w:hint="eastAsia"/>
              </w:rPr>
              <w:t>服务方案</w:t>
            </w:r>
            <w:r>
              <w:rPr>
                <w:rFonts w:hint="eastAsia"/>
              </w:rPr>
              <w:br w:type="textWrapping"/>
            </w:r>
            <w:r>
              <w:rPr>
                <w:rFonts w:hint="eastAsia"/>
              </w:rPr>
              <w:t>【主观】</w:t>
            </w:r>
          </w:p>
        </w:tc>
        <w:tc>
          <w:tcPr>
            <w:tcW w:w="429" w:type="pct"/>
            <w:tcBorders>
              <w:top w:val="single" w:color="000000" w:sz="4" w:space="0"/>
              <w:left w:val="single" w:color="000000" w:sz="4" w:space="0"/>
              <w:bottom w:val="single" w:color="000000" w:sz="4" w:space="0"/>
              <w:right w:val="single" w:color="000000" w:sz="4" w:space="0"/>
            </w:tcBorders>
          </w:tcPr>
          <w:p w14:paraId="6AEF2BC1">
            <w:pPr>
              <w:jc w:val="center"/>
            </w:pPr>
            <w:r>
              <w:rPr>
                <w:rFonts w:hint="eastAsia"/>
              </w:rPr>
              <w:t>15</w:t>
            </w:r>
          </w:p>
        </w:tc>
        <w:tc>
          <w:tcPr>
            <w:tcW w:w="2867" w:type="pct"/>
            <w:tcBorders>
              <w:top w:val="single" w:color="000000" w:sz="4" w:space="0"/>
              <w:left w:val="single" w:color="000000" w:sz="4" w:space="0"/>
              <w:bottom w:val="single" w:color="000000" w:sz="4" w:space="0"/>
              <w:right w:val="single" w:color="000000" w:sz="4" w:space="0"/>
            </w:tcBorders>
            <w:vAlign w:val="center"/>
          </w:tcPr>
          <w:p w14:paraId="25BF2021">
            <w:r>
              <w:rPr>
                <w:rFonts w:hint="eastAsia"/>
              </w:rPr>
              <w:t>根据对本项目实际情况的理解和综合分析，对提供服务方案的全面性、专业性、可操作性等方面进行综合评价，包括但不限于：①项目服务计划及具体服务内容；②服务响应时间及到达现场时间；③质量保障方案及风险管理。</w:t>
            </w:r>
          </w:p>
          <w:p w14:paraId="4DA81CC1">
            <w:r>
              <w:rPr>
                <w:rFonts w:hint="eastAsia"/>
              </w:rPr>
              <w:t>1.对项目理解深刻，服务方案详细且有很强的针对性，可操作性强，方案优秀，得15分；</w:t>
            </w:r>
          </w:p>
          <w:p w14:paraId="2FC79CA2">
            <w:r>
              <w:rPr>
                <w:rFonts w:hint="eastAsia"/>
              </w:rPr>
              <w:t>2.对项目理解较多，服务方案较为详细且有针对性，可操作性较好，方案良好，得10分；</w:t>
            </w:r>
          </w:p>
          <w:p w14:paraId="3F5A746C">
            <w:r>
              <w:rPr>
                <w:rFonts w:hint="eastAsia"/>
              </w:rPr>
              <w:t>3.对项目无理解，服务方案虽阐述但未贴合项目实际情况或内容未包括具体服务细节及措施且无针对性，方案通用，得5分；</w:t>
            </w:r>
          </w:p>
          <w:p w14:paraId="14719408">
            <w:r>
              <w:rPr>
                <w:rFonts w:hint="eastAsia"/>
              </w:rPr>
              <w:t>4.内容未进行阐述或不满足服务需求，不得分。</w:t>
            </w:r>
          </w:p>
        </w:tc>
      </w:tr>
      <w:tr w14:paraId="1CA0C048">
        <w:tblPrEx>
          <w:tblCellMar>
            <w:top w:w="0" w:type="dxa"/>
            <w:left w:w="108" w:type="dxa"/>
            <w:bottom w:w="0" w:type="dxa"/>
            <w:right w:w="108" w:type="dxa"/>
          </w:tblCellMar>
        </w:tblPrEx>
        <w:tc>
          <w:tcPr>
            <w:tcW w:w="717" w:type="pct"/>
            <w:vMerge w:val="continue"/>
            <w:tcBorders>
              <w:top w:val="single" w:color="000000" w:sz="4" w:space="0"/>
              <w:left w:val="single" w:color="000000" w:sz="4" w:space="0"/>
              <w:bottom w:val="single" w:color="000000" w:sz="4" w:space="0"/>
              <w:right w:val="single" w:color="000000" w:sz="4" w:space="0"/>
            </w:tcBorders>
            <w:vAlign w:val="center"/>
          </w:tcPr>
          <w:p w14:paraId="4A924CD8"/>
        </w:tc>
        <w:tc>
          <w:tcPr>
            <w:tcW w:w="987" w:type="pct"/>
            <w:tcBorders>
              <w:top w:val="single" w:color="000000" w:sz="4" w:space="0"/>
              <w:left w:val="single" w:color="000000" w:sz="4" w:space="0"/>
              <w:bottom w:val="single" w:color="000000" w:sz="4" w:space="0"/>
              <w:right w:val="single" w:color="000000" w:sz="4" w:space="0"/>
            </w:tcBorders>
            <w:vAlign w:val="center"/>
          </w:tcPr>
          <w:p w14:paraId="3044E089">
            <w:r>
              <w:rPr>
                <w:rFonts w:hint="eastAsia"/>
              </w:rPr>
              <w:t>服务团队</w:t>
            </w:r>
            <w:r>
              <w:rPr>
                <w:rFonts w:hint="eastAsia"/>
              </w:rPr>
              <w:br w:type="textWrapping"/>
            </w:r>
            <w:r>
              <w:rPr>
                <w:rFonts w:hint="eastAsia"/>
              </w:rPr>
              <w:t>【主观】</w:t>
            </w:r>
          </w:p>
        </w:tc>
        <w:tc>
          <w:tcPr>
            <w:tcW w:w="429" w:type="pct"/>
            <w:tcBorders>
              <w:top w:val="single" w:color="000000" w:sz="4" w:space="0"/>
              <w:left w:val="single" w:color="000000" w:sz="4" w:space="0"/>
              <w:bottom w:val="single" w:color="000000" w:sz="4" w:space="0"/>
              <w:right w:val="single" w:color="000000" w:sz="4" w:space="0"/>
            </w:tcBorders>
          </w:tcPr>
          <w:p w14:paraId="1AD683D3">
            <w:pPr>
              <w:jc w:val="center"/>
            </w:pPr>
            <w:r>
              <w:t>1</w:t>
            </w:r>
            <w:r>
              <w:rPr>
                <w:rFonts w:hint="eastAsia"/>
              </w:rPr>
              <w:t>0</w:t>
            </w:r>
          </w:p>
        </w:tc>
        <w:tc>
          <w:tcPr>
            <w:tcW w:w="2867" w:type="pct"/>
            <w:tcBorders>
              <w:top w:val="single" w:color="000000" w:sz="4" w:space="0"/>
              <w:left w:val="single" w:color="000000" w:sz="4" w:space="0"/>
              <w:bottom w:val="single" w:color="000000" w:sz="4" w:space="0"/>
              <w:right w:val="single" w:color="000000" w:sz="4" w:space="0"/>
            </w:tcBorders>
            <w:vAlign w:val="center"/>
          </w:tcPr>
          <w:p w14:paraId="690A9BEA">
            <w:r>
              <w:rPr>
                <w:rFonts w:hint="eastAsia"/>
              </w:rPr>
              <w:t>根据需求技术响应情况，对投标人提供的项目团队人员的分工情况和管理架构、责任划分、人员能力等进行评价，其中：</w:t>
            </w:r>
          </w:p>
          <w:p w14:paraId="4F895BF2">
            <w:r>
              <w:rPr>
                <w:rFonts w:hint="eastAsia"/>
              </w:rPr>
              <w:t>1.投标人提供的项目团队的分工情况和管理架构、责任明确、完整、具体，能完全满足或优于招标文件要求，得10分；</w:t>
            </w:r>
          </w:p>
          <w:p w14:paraId="7C7829FD">
            <w:r>
              <w:rPr>
                <w:rFonts w:hint="eastAsia"/>
              </w:rPr>
              <w:t>2.投标人提供的项目团队的分工情况和管理架构、责任较为明确、完整、具体，基本满足招标文件要求，得6分；</w:t>
            </w:r>
          </w:p>
          <w:p w14:paraId="72BFC32A">
            <w:r>
              <w:rPr>
                <w:rFonts w:hint="eastAsia"/>
              </w:rPr>
              <w:t>3.未明确项目团队的分工情况和管理架构、责任或项目管理团队的分工情况和管理架构、责任不能满足招标文件要求，得1分。</w:t>
            </w:r>
          </w:p>
        </w:tc>
      </w:tr>
      <w:tr w14:paraId="35EA6FDF">
        <w:tblPrEx>
          <w:tblCellMar>
            <w:top w:w="0" w:type="dxa"/>
            <w:left w:w="108" w:type="dxa"/>
            <w:bottom w:w="0" w:type="dxa"/>
            <w:right w:w="108" w:type="dxa"/>
          </w:tblCellMar>
        </w:tblPrEx>
        <w:tc>
          <w:tcPr>
            <w:tcW w:w="717" w:type="pct"/>
            <w:vMerge w:val="continue"/>
            <w:tcBorders>
              <w:top w:val="single" w:color="000000" w:sz="4" w:space="0"/>
              <w:left w:val="single" w:color="000000" w:sz="4" w:space="0"/>
              <w:bottom w:val="single" w:color="000000" w:sz="4" w:space="0"/>
              <w:right w:val="single" w:color="000000" w:sz="4" w:space="0"/>
            </w:tcBorders>
            <w:vAlign w:val="center"/>
          </w:tcPr>
          <w:p w14:paraId="31348DA7"/>
        </w:tc>
        <w:tc>
          <w:tcPr>
            <w:tcW w:w="987" w:type="pct"/>
            <w:tcBorders>
              <w:top w:val="single" w:color="000000" w:sz="4" w:space="0"/>
              <w:left w:val="single" w:color="000000" w:sz="4" w:space="0"/>
              <w:bottom w:val="single" w:color="000000" w:sz="4" w:space="0"/>
              <w:right w:val="single" w:color="000000" w:sz="4" w:space="0"/>
            </w:tcBorders>
            <w:vAlign w:val="center"/>
          </w:tcPr>
          <w:p w14:paraId="7530B313">
            <w:r>
              <w:rPr>
                <w:rFonts w:hint="eastAsia"/>
              </w:rPr>
              <w:t>应急响应</w:t>
            </w:r>
            <w:r>
              <w:rPr>
                <w:rFonts w:hint="eastAsia"/>
              </w:rPr>
              <w:br w:type="textWrapping"/>
            </w:r>
            <w:r>
              <w:rPr>
                <w:rFonts w:hint="eastAsia"/>
              </w:rPr>
              <w:t>【主观】</w:t>
            </w:r>
          </w:p>
        </w:tc>
        <w:tc>
          <w:tcPr>
            <w:tcW w:w="429" w:type="pct"/>
            <w:tcBorders>
              <w:top w:val="single" w:color="000000" w:sz="4" w:space="0"/>
              <w:left w:val="single" w:color="000000" w:sz="4" w:space="0"/>
              <w:bottom w:val="single" w:color="000000" w:sz="4" w:space="0"/>
              <w:right w:val="single" w:color="000000" w:sz="4" w:space="0"/>
            </w:tcBorders>
            <w:noWrap/>
          </w:tcPr>
          <w:p w14:paraId="06C80C7D">
            <w:pPr>
              <w:jc w:val="center"/>
            </w:pPr>
            <w:r>
              <w:rPr>
                <w:rFonts w:hint="eastAsia"/>
              </w:rPr>
              <w:t>5</w:t>
            </w:r>
          </w:p>
        </w:tc>
        <w:tc>
          <w:tcPr>
            <w:tcW w:w="2867" w:type="pct"/>
            <w:tcBorders>
              <w:top w:val="single" w:color="000000" w:sz="4" w:space="0"/>
              <w:left w:val="single" w:color="000000" w:sz="4" w:space="0"/>
              <w:bottom w:val="single" w:color="000000" w:sz="4" w:space="0"/>
              <w:right w:val="single" w:color="000000" w:sz="4" w:space="0"/>
            </w:tcBorders>
            <w:vAlign w:val="center"/>
          </w:tcPr>
          <w:p w14:paraId="2EDE7688">
            <w:r>
              <w:rPr>
                <w:rFonts w:hint="eastAsia"/>
              </w:rPr>
              <w:t>投标人针对本项目的软硬件设备故障问题处理等内容，制定的详细完整的应急响应方案。</w:t>
            </w:r>
          </w:p>
          <w:p w14:paraId="53263272">
            <w:r>
              <w:rPr>
                <w:rFonts w:hint="eastAsia"/>
              </w:rPr>
              <w:t>1</w:t>
            </w:r>
            <w:r>
              <w:t>.</w:t>
            </w:r>
            <w:r>
              <w:rPr>
                <w:rFonts w:hint="eastAsia"/>
              </w:rPr>
              <w:t>投标人的应急响应方案完整合理、内容详细，有较强的针对性，保障到位，得5分；</w:t>
            </w:r>
          </w:p>
          <w:p w14:paraId="5B80BD21">
            <w:r>
              <w:rPr>
                <w:rFonts w:hint="eastAsia"/>
              </w:rPr>
              <w:t>2</w:t>
            </w:r>
            <w:r>
              <w:t>.</w:t>
            </w:r>
            <w:r>
              <w:rPr>
                <w:rFonts w:hint="eastAsia"/>
              </w:rPr>
              <w:t>投标人的应急响应方案较为合理，内容较为详细，有一定的针对性，得3分；</w:t>
            </w:r>
          </w:p>
          <w:p w14:paraId="2BFFF35F">
            <w:r>
              <w:t>3.</w:t>
            </w:r>
            <w:r>
              <w:rPr>
                <w:rFonts w:hint="eastAsia"/>
              </w:rPr>
              <w:t>投标人的应急响应方案对属于通用类，非专门针对本项目，不符合实际情况或只是对需求进行简单复制，得</w:t>
            </w:r>
            <w:r>
              <w:t>1</w:t>
            </w:r>
            <w:r>
              <w:rPr>
                <w:rFonts w:hint="eastAsia"/>
              </w:rPr>
              <w:t>分；</w:t>
            </w:r>
          </w:p>
          <w:p w14:paraId="52AFD60E">
            <w:r>
              <w:rPr>
                <w:rFonts w:hint="eastAsia"/>
              </w:rPr>
              <w:t>4.未提供的得0分。</w:t>
            </w:r>
          </w:p>
        </w:tc>
      </w:tr>
    </w:tbl>
    <w:p w14:paraId="7D152506">
      <w:pPr>
        <w:spacing w:line="360" w:lineRule="auto"/>
        <w:jc w:val="center"/>
        <w:rPr>
          <w:rFonts w:eastAsia="仿宋_GB2312"/>
          <w:b/>
          <w:bCs/>
          <w:kern w:val="0"/>
          <w:sz w:val="28"/>
          <w:szCs w:val="28"/>
        </w:rPr>
      </w:pPr>
    </w:p>
    <w:p w14:paraId="7C5DC1E8">
      <w:pPr>
        <w:spacing w:line="360" w:lineRule="auto"/>
        <w:jc w:val="center"/>
        <w:rPr>
          <w:rFonts w:eastAsia="仿宋_GB2312"/>
          <w:b/>
          <w:bCs/>
          <w:kern w:val="0"/>
          <w:sz w:val="28"/>
          <w:szCs w:val="28"/>
        </w:rPr>
      </w:pPr>
    </w:p>
    <w:p w14:paraId="1BA751BC">
      <w:pPr>
        <w:spacing w:line="360" w:lineRule="auto"/>
        <w:jc w:val="center"/>
        <w:rPr>
          <w:rFonts w:eastAsia="仿宋_GB2312"/>
          <w:b/>
          <w:bCs/>
          <w:kern w:val="0"/>
          <w:sz w:val="28"/>
          <w:szCs w:val="28"/>
        </w:rPr>
      </w:pPr>
    </w:p>
    <w:p w14:paraId="249A076D">
      <w:pPr>
        <w:spacing w:line="360" w:lineRule="auto"/>
        <w:jc w:val="center"/>
        <w:rPr>
          <w:rFonts w:eastAsia="仿宋_GB2312"/>
          <w:b/>
          <w:bCs/>
          <w:kern w:val="0"/>
          <w:sz w:val="28"/>
          <w:szCs w:val="28"/>
        </w:rPr>
      </w:pPr>
    </w:p>
    <w:p w14:paraId="56973CE3">
      <w:pPr>
        <w:spacing w:line="440" w:lineRule="exact"/>
        <w:rPr>
          <w:rFonts w:hint="eastAsia" w:ascii="宋体" w:hAnsi="宋体" w:cs="宋体"/>
          <w:kern w:val="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TimesNewRomanPSMT">
    <w:altName w:val="等线"/>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480BBF"/>
    <w:multiLevelType w:val="singleLevel"/>
    <w:tmpl w:val="5F480BBF"/>
    <w:lvl w:ilvl="0" w:tentative="0">
      <w:start w:val="1"/>
      <w:numFmt w:val="chineseCounting"/>
      <w:suff w:val="nothing"/>
      <w:lvlText w:val="%1、"/>
      <w:lvlJc w:val="left"/>
      <w:rPr>
        <w:rFonts w:hint="eastAsia"/>
      </w:rPr>
    </w:lvl>
  </w:abstractNum>
  <w:abstractNum w:abstractNumId="1">
    <w:nsid w:val="67162E93"/>
    <w:multiLevelType w:val="singleLevel"/>
    <w:tmpl w:val="67162E93"/>
    <w:lvl w:ilvl="0" w:tentative="0">
      <w:start w:val="1"/>
      <w:numFmt w:val="chineseCounting"/>
      <w:pStyle w:val="10"/>
      <w:suff w:val="space"/>
      <w:lvlText w:val="第%1章"/>
      <w:lvlJc w:val="left"/>
      <w:pPr>
        <w:ind w:left="3640" w:firstLine="0"/>
      </w:pPr>
      <w:rPr>
        <w:rFonts w:hint="eastAsia" w:ascii="宋体" w:hAnsi="宋体" w:eastAsia="宋体" w:cs="宋体"/>
        <w:sz w:val="28"/>
        <w:szCs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4D1"/>
    <w:rsid w:val="002A7942"/>
    <w:rsid w:val="0041227C"/>
    <w:rsid w:val="004323A5"/>
    <w:rsid w:val="005D3C24"/>
    <w:rsid w:val="006044D1"/>
    <w:rsid w:val="00745F68"/>
    <w:rsid w:val="00A54B5E"/>
    <w:rsid w:val="00A80033"/>
    <w:rsid w:val="01B47A59"/>
    <w:rsid w:val="02204B8A"/>
    <w:rsid w:val="02246E13"/>
    <w:rsid w:val="022F2C26"/>
    <w:rsid w:val="02466FC8"/>
    <w:rsid w:val="038B765F"/>
    <w:rsid w:val="03D960F0"/>
    <w:rsid w:val="04452310"/>
    <w:rsid w:val="04477AA3"/>
    <w:rsid w:val="049F5EA2"/>
    <w:rsid w:val="05102CDE"/>
    <w:rsid w:val="05133C63"/>
    <w:rsid w:val="051538E2"/>
    <w:rsid w:val="05700779"/>
    <w:rsid w:val="05EF6AC9"/>
    <w:rsid w:val="06646A88"/>
    <w:rsid w:val="074E358D"/>
    <w:rsid w:val="0750320D"/>
    <w:rsid w:val="07B0452B"/>
    <w:rsid w:val="081467CE"/>
    <w:rsid w:val="091F7F85"/>
    <w:rsid w:val="09735491"/>
    <w:rsid w:val="097B289D"/>
    <w:rsid w:val="0A141797"/>
    <w:rsid w:val="0A3A19D7"/>
    <w:rsid w:val="0AA12680"/>
    <w:rsid w:val="0BCF786E"/>
    <w:rsid w:val="0C811890"/>
    <w:rsid w:val="0C853B1A"/>
    <w:rsid w:val="0CE90CEF"/>
    <w:rsid w:val="0D6D0214"/>
    <w:rsid w:val="0DC17C9E"/>
    <w:rsid w:val="0DF43970"/>
    <w:rsid w:val="0E7819CB"/>
    <w:rsid w:val="0FAA55C0"/>
    <w:rsid w:val="0FB726D8"/>
    <w:rsid w:val="100B4360"/>
    <w:rsid w:val="106172ED"/>
    <w:rsid w:val="113D59D7"/>
    <w:rsid w:val="11C56BB4"/>
    <w:rsid w:val="11E51668"/>
    <w:rsid w:val="12450788"/>
    <w:rsid w:val="1277445A"/>
    <w:rsid w:val="127D4165"/>
    <w:rsid w:val="12930507"/>
    <w:rsid w:val="13A74B4C"/>
    <w:rsid w:val="13B93B6C"/>
    <w:rsid w:val="13D42198"/>
    <w:rsid w:val="13D77899"/>
    <w:rsid w:val="141939BF"/>
    <w:rsid w:val="143321B1"/>
    <w:rsid w:val="14A04D63"/>
    <w:rsid w:val="14B67DF3"/>
    <w:rsid w:val="15FD2AA2"/>
    <w:rsid w:val="167304E2"/>
    <w:rsid w:val="167B1172"/>
    <w:rsid w:val="186C3B20"/>
    <w:rsid w:val="18CB193B"/>
    <w:rsid w:val="18D05DC3"/>
    <w:rsid w:val="18F97167"/>
    <w:rsid w:val="195F7C30"/>
    <w:rsid w:val="197F1C6C"/>
    <w:rsid w:val="19C9185E"/>
    <w:rsid w:val="19FC5530"/>
    <w:rsid w:val="1DAC27BE"/>
    <w:rsid w:val="1F690195"/>
    <w:rsid w:val="1FAB7D05"/>
    <w:rsid w:val="20612264"/>
    <w:rsid w:val="206261AF"/>
    <w:rsid w:val="208B4DF4"/>
    <w:rsid w:val="209A6308"/>
    <w:rsid w:val="209F6013"/>
    <w:rsid w:val="20DC5E78"/>
    <w:rsid w:val="21112ACF"/>
    <w:rsid w:val="21330A85"/>
    <w:rsid w:val="21993CAD"/>
    <w:rsid w:val="21A37E40"/>
    <w:rsid w:val="22FA03F1"/>
    <w:rsid w:val="2347578D"/>
    <w:rsid w:val="235E0116"/>
    <w:rsid w:val="23665522"/>
    <w:rsid w:val="24233357"/>
    <w:rsid w:val="24C97368"/>
    <w:rsid w:val="24CD5D6E"/>
    <w:rsid w:val="25194B68"/>
    <w:rsid w:val="25231339"/>
    <w:rsid w:val="258E5E2C"/>
    <w:rsid w:val="25BC3478"/>
    <w:rsid w:val="25CA5835"/>
    <w:rsid w:val="2695383D"/>
    <w:rsid w:val="271A5565"/>
    <w:rsid w:val="27370766"/>
    <w:rsid w:val="279A2A09"/>
    <w:rsid w:val="27DF65F5"/>
    <w:rsid w:val="282370EA"/>
    <w:rsid w:val="282B44F6"/>
    <w:rsid w:val="292B4099"/>
    <w:rsid w:val="296C2904"/>
    <w:rsid w:val="29CC7F7F"/>
    <w:rsid w:val="2AD134D0"/>
    <w:rsid w:val="2B28065B"/>
    <w:rsid w:val="2B30567A"/>
    <w:rsid w:val="2B575927"/>
    <w:rsid w:val="2B866477"/>
    <w:rsid w:val="2B870EEE"/>
    <w:rsid w:val="2C864D5D"/>
    <w:rsid w:val="2CE03230"/>
    <w:rsid w:val="2CE77338"/>
    <w:rsid w:val="2F627A4C"/>
    <w:rsid w:val="2F8C0890"/>
    <w:rsid w:val="2FB51A54"/>
    <w:rsid w:val="2FC51CEF"/>
    <w:rsid w:val="2FEC412C"/>
    <w:rsid w:val="2FFA4747"/>
    <w:rsid w:val="305118D2"/>
    <w:rsid w:val="30586CDF"/>
    <w:rsid w:val="30E61DC6"/>
    <w:rsid w:val="312D5DBE"/>
    <w:rsid w:val="315A7B86"/>
    <w:rsid w:val="319C18F5"/>
    <w:rsid w:val="31B23A98"/>
    <w:rsid w:val="31C64CB7"/>
    <w:rsid w:val="31DE2F46"/>
    <w:rsid w:val="32296F5A"/>
    <w:rsid w:val="32CB6763"/>
    <w:rsid w:val="332500F7"/>
    <w:rsid w:val="333D1021"/>
    <w:rsid w:val="34351F6D"/>
    <w:rsid w:val="347C06A8"/>
    <w:rsid w:val="34FE797D"/>
    <w:rsid w:val="351B4D2E"/>
    <w:rsid w:val="365D4441"/>
    <w:rsid w:val="36E2469A"/>
    <w:rsid w:val="37266088"/>
    <w:rsid w:val="38AC7189"/>
    <w:rsid w:val="38D11947"/>
    <w:rsid w:val="39B131B3"/>
    <w:rsid w:val="3A2669F5"/>
    <w:rsid w:val="3A4B33B2"/>
    <w:rsid w:val="3A864490"/>
    <w:rsid w:val="3B5F79F7"/>
    <w:rsid w:val="3B8D2AC4"/>
    <w:rsid w:val="3BF014E4"/>
    <w:rsid w:val="3CD043D5"/>
    <w:rsid w:val="3CE43076"/>
    <w:rsid w:val="3D440B11"/>
    <w:rsid w:val="3E5A1F38"/>
    <w:rsid w:val="3EC76A8F"/>
    <w:rsid w:val="3F28582E"/>
    <w:rsid w:val="3F875848"/>
    <w:rsid w:val="3FC60BB0"/>
    <w:rsid w:val="408966EF"/>
    <w:rsid w:val="408F607A"/>
    <w:rsid w:val="414F2C35"/>
    <w:rsid w:val="427B4921"/>
    <w:rsid w:val="43292B7E"/>
    <w:rsid w:val="43A24383"/>
    <w:rsid w:val="43CC7746"/>
    <w:rsid w:val="44410A09"/>
    <w:rsid w:val="4442648B"/>
    <w:rsid w:val="44551C28"/>
    <w:rsid w:val="44AF103D"/>
    <w:rsid w:val="45073506"/>
    <w:rsid w:val="452F3F31"/>
    <w:rsid w:val="454A1600"/>
    <w:rsid w:val="457C4F0E"/>
    <w:rsid w:val="45A2514E"/>
    <w:rsid w:val="46513FED"/>
    <w:rsid w:val="467B15AE"/>
    <w:rsid w:val="49670CFC"/>
    <w:rsid w:val="49B04973"/>
    <w:rsid w:val="49E8254F"/>
    <w:rsid w:val="4A5144FD"/>
    <w:rsid w:val="4AC15AB5"/>
    <w:rsid w:val="4B105834"/>
    <w:rsid w:val="4B7B4EE4"/>
    <w:rsid w:val="4B897A7D"/>
    <w:rsid w:val="4BFB4538"/>
    <w:rsid w:val="4C0B4865"/>
    <w:rsid w:val="4C480DB4"/>
    <w:rsid w:val="4CB33CE7"/>
    <w:rsid w:val="4CB613E8"/>
    <w:rsid w:val="4CCF7D94"/>
    <w:rsid w:val="4CD20D18"/>
    <w:rsid w:val="4CE0002E"/>
    <w:rsid w:val="4DC0189A"/>
    <w:rsid w:val="4DC20621"/>
    <w:rsid w:val="4E431E74"/>
    <w:rsid w:val="4F354C7F"/>
    <w:rsid w:val="4FB61D55"/>
    <w:rsid w:val="50CC1C98"/>
    <w:rsid w:val="50D137A7"/>
    <w:rsid w:val="51276734"/>
    <w:rsid w:val="51E67A6C"/>
    <w:rsid w:val="521066B1"/>
    <w:rsid w:val="524F1A19"/>
    <w:rsid w:val="526D6A4B"/>
    <w:rsid w:val="52B626C2"/>
    <w:rsid w:val="52C9005E"/>
    <w:rsid w:val="533E38A0"/>
    <w:rsid w:val="54D526BD"/>
    <w:rsid w:val="55160F28"/>
    <w:rsid w:val="552E07CD"/>
    <w:rsid w:val="55432CF1"/>
    <w:rsid w:val="5646709B"/>
    <w:rsid w:val="566540CD"/>
    <w:rsid w:val="56CC14F3"/>
    <w:rsid w:val="576461EE"/>
    <w:rsid w:val="57D65228"/>
    <w:rsid w:val="5921524A"/>
    <w:rsid w:val="59220949"/>
    <w:rsid w:val="59332F66"/>
    <w:rsid w:val="5B5C12F2"/>
    <w:rsid w:val="5B9A3355"/>
    <w:rsid w:val="5E557E95"/>
    <w:rsid w:val="5E79378D"/>
    <w:rsid w:val="5EEB49C6"/>
    <w:rsid w:val="5FF87482"/>
    <w:rsid w:val="602437C9"/>
    <w:rsid w:val="60837066"/>
    <w:rsid w:val="60E73CEC"/>
    <w:rsid w:val="61335B85"/>
    <w:rsid w:val="6160574F"/>
    <w:rsid w:val="61FF1DD5"/>
    <w:rsid w:val="620E0D6B"/>
    <w:rsid w:val="6264757B"/>
    <w:rsid w:val="63244136"/>
    <w:rsid w:val="63375355"/>
    <w:rsid w:val="63EF1280"/>
    <w:rsid w:val="64596731"/>
    <w:rsid w:val="647C2169"/>
    <w:rsid w:val="64A50DAF"/>
    <w:rsid w:val="64DA7F84"/>
    <w:rsid w:val="64DE698B"/>
    <w:rsid w:val="650258C5"/>
    <w:rsid w:val="663414BA"/>
    <w:rsid w:val="663D1DCA"/>
    <w:rsid w:val="66670A10"/>
    <w:rsid w:val="666A1995"/>
    <w:rsid w:val="66C40DA9"/>
    <w:rsid w:val="6709601B"/>
    <w:rsid w:val="67945BFF"/>
    <w:rsid w:val="67C87352"/>
    <w:rsid w:val="68EC3C32"/>
    <w:rsid w:val="692C1198"/>
    <w:rsid w:val="69821BA7"/>
    <w:rsid w:val="698A2836"/>
    <w:rsid w:val="69F67967"/>
    <w:rsid w:val="6A483EEE"/>
    <w:rsid w:val="6A667059"/>
    <w:rsid w:val="6B8A7D7E"/>
    <w:rsid w:val="6B8F6404"/>
    <w:rsid w:val="6CF959D6"/>
    <w:rsid w:val="6E2476C2"/>
    <w:rsid w:val="6E393369"/>
    <w:rsid w:val="6E5C781B"/>
    <w:rsid w:val="6EBF1ABE"/>
    <w:rsid w:val="6FBF7463"/>
    <w:rsid w:val="70244C09"/>
    <w:rsid w:val="70ED20D3"/>
    <w:rsid w:val="71527879"/>
    <w:rsid w:val="715B2707"/>
    <w:rsid w:val="718A3256"/>
    <w:rsid w:val="71A208FD"/>
    <w:rsid w:val="724D0D96"/>
    <w:rsid w:val="72B2653C"/>
    <w:rsid w:val="72F4323C"/>
    <w:rsid w:val="730275C0"/>
    <w:rsid w:val="731D5BEB"/>
    <w:rsid w:val="73C550FF"/>
    <w:rsid w:val="74846437"/>
    <w:rsid w:val="748E6D46"/>
    <w:rsid w:val="751F6635"/>
    <w:rsid w:val="757415C3"/>
    <w:rsid w:val="75CC7A53"/>
    <w:rsid w:val="762F1CF6"/>
    <w:rsid w:val="772B5411"/>
    <w:rsid w:val="776F59C7"/>
    <w:rsid w:val="77751592"/>
    <w:rsid w:val="77B34070"/>
    <w:rsid w:val="78260B2C"/>
    <w:rsid w:val="78646412"/>
    <w:rsid w:val="796F7BC9"/>
    <w:rsid w:val="79B54ABA"/>
    <w:rsid w:val="79E65289"/>
    <w:rsid w:val="7A8A5D97"/>
    <w:rsid w:val="7AED003A"/>
    <w:rsid w:val="7B29461C"/>
    <w:rsid w:val="7B533262"/>
    <w:rsid w:val="7B690C89"/>
    <w:rsid w:val="7B6A2E87"/>
    <w:rsid w:val="7B7C1EA8"/>
    <w:rsid w:val="7BC94525"/>
    <w:rsid w:val="7BEB7F5D"/>
    <w:rsid w:val="7C291FC0"/>
    <w:rsid w:val="7CF11A09"/>
    <w:rsid w:val="7D5052A6"/>
    <w:rsid w:val="7E0B5C5C"/>
    <w:rsid w:val="7E4313B6"/>
    <w:rsid w:val="7EE5313E"/>
    <w:rsid w:val="7EF014CF"/>
    <w:rsid w:val="7F754FAB"/>
    <w:rsid w:val="7FDB01D3"/>
    <w:rsid w:val="7FDD7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qFormat/>
    <w:uiPriority w:val="0"/>
    <w:pPr>
      <w:keepNext/>
      <w:adjustRightInd w:val="0"/>
      <w:spacing w:line="360" w:lineRule="atLeast"/>
      <w:jc w:val="center"/>
      <w:textAlignment w:val="baseline"/>
      <w:outlineLvl w:val="0"/>
    </w:pPr>
    <w:rPr>
      <w:rFonts w:ascii="DFKai-SB" w:hAnsi="DFKai-SB"/>
      <w:b/>
      <w:color w:val="000000"/>
      <w:kern w:val="0"/>
      <w:sz w:val="28"/>
      <w:lang w:eastAsia="zh-TW"/>
    </w:rPr>
  </w:style>
  <w:style w:type="paragraph" w:styleId="3">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paragraph" w:customStyle="1" w:styleId="10">
    <w:name w:val="样式5"/>
    <w:basedOn w:val="1"/>
    <w:next w:val="1"/>
    <w:qFormat/>
    <w:uiPriority w:val="0"/>
    <w:pPr>
      <w:keepNext/>
      <w:numPr>
        <w:ilvl w:val="0"/>
        <w:numId w:val="1"/>
      </w:numPr>
      <w:adjustRightInd w:val="0"/>
      <w:spacing w:line="360" w:lineRule="atLeast"/>
      <w:textAlignment w:val="baseline"/>
      <w:outlineLvl w:val="0"/>
    </w:pPr>
    <w:rPr>
      <w:rFonts w:hint="eastAsia" w:ascii="DFKai-SB" w:hAnsi="DFKai-SB"/>
      <w:b/>
      <w:color w:val="000000"/>
      <w:kern w:val="0"/>
      <w:sz w:val="28"/>
    </w:rPr>
  </w:style>
  <w:style w:type="paragraph" w:customStyle="1" w:styleId="11">
    <w:name w:val="样式7"/>
    <w:basedOn w:val="1"/>
    <w:next w:val="1"/>
    <w:qFormat/>
    <w:uiPriority w:val="0"/>
    <w:pPr>
      <w:keepNext/>
      <w:spacing w:line="720" w:lineRule="auto"/>
      <w:outlineLvl w:val="1"/>
    </w:pPr>
    <w:rPr>
      <w:rFonts w:hint="eastAsia" w:ascii="Arial" w:hAnsi="Arial"/>
      <w:b/>
      <w:bCs/>
      <w:sz w:val="28"/>
      <w:szCs w:val="48"/>
    </w:rPr>
  </w:style>
  <w:style w:type="paragraph" w:customStyle="1" w:styleId="12">
    <w:name w:val="正文+缩进"/>
    <w:basedOn w:val="1"/>
    <w:qFormat/>
    <w:uiPriority w:val="0"/>
    <w:pPr>
      <w:spacing w:line="360" w:lineRule="atLeast"/>
      <w:jc w:val="left"/>
      <w:textAlignment w:val="baseline"/>
    </w:pPr>
    <w:rPr>
      <w:rFonts w:ascii="Calibri" w:hAnsi="Calibri" w:cs="Calibri"/>
      <w:kern w:val="0"/>
    </w:rPr>
  </w:style>
  <w:style w:type="character" w:customStyle="1" w:styleId="13">
    <w:name w:val="页眉 Char"/>
    <w:basedOn w:val="8"/>
    <w:link w:val="6"/>
    <w:qFormat/>
    <w:uiPriority w:val="0"/>
    <w:rPr>
      <w:kern w:val="2"/>
      <w:sz w:val="18"/>
      <w:szCs w:val="18"/>
    </w:rPr>
  </w:style>
  <w:style w:type="character" w:customStyle="1" w:styleId="14">
    <w:name w:val="页脚 Char"/>
    <w:basedOn w:val="8"/>
    <w:link w:val="5"/>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5</Pages>
  <Words>1909</Words>
  <Characters>2372</Characters>
  <Lines>17</Lines>
  <Paragraphs>5</Paragraphs>
  <TotalTime>6</TotalTime>
  <ScaleCrop>false</ScaleCrop>
  <LinksUpToDate>false</LinksUpToDate>
  <CharactersWithSpaces>2399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POTATO</cp:lastModifiedBy>
  <dcterms:modified xsi:type="dcterms:W3CDTF">2026-01-15T08:51:17Z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9A4A8BD3A045473095C56BC1B2A719FD</vt:lpwstr>
  </property>
  <property fmtid="{D5CDD505-2E9C-101B-9397-08002B2CF9AE}" pid="4" name="KSOTemplateDocerSaveRecord">
    <vt:lpwstr>eyJoZGlkIjoiN2ZkN2U0NTE2ZWZjNGNkOGYwMTY5ODIwZjEyYjUxNGMiLCJ1c2VySWQiOiI4MDQ3MzIwNjEifQ==</vt:lpwstr>
  </property>
</Properties>
</file>