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7849ED">
      <w:pPr>
        <w:pStyle w:val="2"/>
        <w:spacing w:line="360" w:lineRule="auto"/>
        <w:rPr>
          <w:highlight w:val="none"/>
        </w:rPr>
      </w:pPr>
      <w:r>
        <w:rPr>
          <w:rFonts w:hint="eastAsia"/>
          <w:highlight w:val="none"/>
        </w:rPr>
        <w:t>采购公告</w:t>
      </w:r>
    </w:p>
    <w:p w14:paraId="0DB8F12D">
      <w:pPr>
        <w:pStyle w:val="3"/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0" w:name="_Toc28359079"/>
      <w:bookmarkStart w:id="1" w:name="_Toc35393621"/>
      <w:bookmarkStart w:id="2" w:name="_Toc28359002"/>
      <w:bookmarkStart w:id="3" w:name="_Toc191481346"/>
      <w:bookmarkStart w:id="4" w:name="_Toc35393790"/>
      <w:bookmarkStart w:id="5" w:name="_Toc191623377"/>
      <w:bookmarkStart w:id="6" w:name="_Toc191481371"/>
      <w:bookmarkStart w:id="7" w:name="_Hlk24379207"/>
      <w:r>
        <w:rPr>
          <w:rFonts w:hint="eastAsia" w:ascii="宋体" w:hAnsi="宋体" w:eastAsia="宋体" w:cs="宋体"/>
          <w:sz w:val="24"/>
          <w:szCs w:val="24"/>
          <w:highlight w:val="none"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</w:p>
    <w:p w14:paraId="74DC8289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1.项目名称：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环腔多孔介质催化床催化剂载体</w:t>
      </w:r>
    </w:p>
    <w:bookmarkEnd w:id="7"/>
    <w:p w14:paraId="661C3EFC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.采购人： 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清华大学核能与新能源技术研究院</w:t>
      </w:r>
    </w:p>
    <w:p w14:paraId="4A88B0D0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项目预算： 人民币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 xml:space="preserve"> 49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万元</w:t>
      </w:r>
    </w:p>
    <w:p w14:paraId="78F3FCE4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.采购需求：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1"/>
        <w:gridCol w:w="957"/>
        <w:gridCol w:w="4217"/>
        <w:gridCol w:w="1197"/>
      </w:tblGrid>
      <w:tr w14:paraId="1F383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0" w:type="auto"/>
            <w:vAlign w:val="center"/>
          </w:tcPr>
          <w:p w14:paraId="17E7A2F7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  <w:lang w:val="en-US" w:eastAsia="zh-CN"/>
              </w:rPr>
              <w:t>采购项目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0" w:type="auto"/>
            <w:vAlign w:val="center"/>
          </w:tcPr>
          <w:p w14:paraId="02FD0D79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预算金额</w:t>
            </w:r>
          </w:p>
          <w:p w14:paraId="40FA8C69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（万元）</w:t>
            </w:r>
          </w:p>
        </w:tc>
        <w:tc>
          <w:tcPr>
            <w:tcW w:w="0" w:type="auto"/>
            <w:vAlign w:val="center"/>
          </w:tcPr>
          <w:p w14:paraId="66E96D7D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highlight w:val="none"/>
                <w:lang w:val="en-US" w:eastAsia="zh-CN"/>
              </w:rPr>
              <w:t>采购内容</w:t>
            </w:r>
          </w:p>
        </w:tc>
        <w:tc>
          <w:tcPr>
            <w:tcW w:w="0" w:type="auto"/>
            <w:vAlign w:val="center"/>
          </w:tcPr>
          <w:p w14:paraId="241A40FC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数量</w:t>
            </w:r>
            <w:r>
              <w:rPr>
                <w:rFonts w:hint="eastAsia" w:ascii="宋体" w:hAnsi="宋体" w:cs="宋体"/>
                <w:bCs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bCs/>
                <w:sz w:val="24"/>
                <w:szCs w:val="24"/>
                <w:highlight w:val="none"/>
                <w:lang w:val="en-US" w:eastAsia="zh-CN"/>
              </w:rPr>
              <w:t>件）</w:t>
            </w:r>
          </w:p>
        </w:tc>
      </w:tr>
      <w:tr w14:paraId="1F2BA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0" w:type="auto"/>
            <w:vAlign w:val="center"/>
          </w:tcPr>
          <w:p w14:paraId="5618758A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环腔多孔介质催化床催化剂载体</w:t>
            </w:r>
          </w:p>
        </w:tc>
        <w:tc>
          <w:tcPr>
            <w:tcW w:w="0" w:type="auto"/>
            <w:vAlign w:val="center"/>
          </w:tcPr>
          <w:p w14:paraId="0362235A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  <w:lang w:val="en-US" w:eastAsia="zh-CN"/>
              </w:rPr>
              <w:t>49</w:t>
            </w:r>
          </w:p>
        </w:tc>
        <w:tc>
          <w:tcPr>
            <w:tcW w:w="0" w:type="auto"/>
            <w:vAlign w:val="center"/>
          </w:tcPr>
          <w:p w14:paraId="66F2DC9B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  <w:lang w:val="en-US" w:eastAsia="zh-CN"/>
              </w:rPr>
              <w:t>堇青石陶瓷催化剂载体，包括结构式催化块与堆积式催化块两大类</w:t>
            </w:r>
          </w:p>
        </w:tc>
        <w:tc>
          <w:tcPr>
            <w:tcW w:w="0" w:type="auto"/>
            <w:vAlign w:val="center"/>
          </w:tcPr>
          <w:p w14:paraId="0E0606E5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  <w:lang w:val="en-US" w:eastAsia="zh-CN"/>
              </w:rPr>
              <w:t>216500</w:t>
            </w:r>
          </w:p>
        </w:tc>
      </w:tr>
    </w:tbl>
    <w:p w14:paraId="108CBCF1">
      <w:pPr>
        <w:spacing w:before="156" w:beforeLines="50" w:line="360" w:lineRule="auto"/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简要技术需求或服务要求：</w:t>
      </w:r>
    </w:p>
    <w:p w14:paraId="6ACEEEC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1）</w:t>
      </w:r>
      <w:r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尺寸精度：严格按照采购清单中结构化（3 类环腔尺寸、10 种目数）及堆积式（蜂窝孔颗粒、拉西环、催化球）的规格参数加工，尺寸公差≤±0.05mm（结构化）/±0.1mm（堆积式），形位公差符合 GB/T 1184-2008 H 级要求，确保适配实验装置。</w:t>
      </w:r>
    </w:p>
    <w:p w14:paraId="26BD7CE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2）</w:t>
      </w:r>
      <w:r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材料性能：采用堇青石陶瓷，耐高温≥1200℃、抗压强度≥20MPa，耐氮气</w:t>
      </w:r>
      <w:r>
        <w:rPr>
          <w:rFonts w:hint="eastAsia" w:ascii="宋体" w:hAnsi="宋体" w:cs="宋体"/>
          <w:i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/</w:t>
      </w:r>
      <w:r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水蒸气腐蚀无杂质析出，热膨胀系数（室温～600℃）≤2.0×10</w:t>
      </w:r>
      <w:r>
        <w:rPr>
          <w:rFonts w:hint="eastAsia" w:ascii="宋体" w:hAnsi="宋体" w:cs="宋体"/>
          <w:iCs/>
          <w:color w:val="000000" w:themeColor="text1"/>
          <w:sz w:val="24"/>
          <w:szCs w:val="24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-6</w:t>
      </w:r>
      <w:r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/K，孔隙率 30%-60% 且孔径分布均匀。</w:t>
      </w:r>
    </w:p>
    <w:p w14:paraId="0A80DA5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3）</w:t>
      </w:r>
      <w:r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设计方案要求：供货商需提供结构</w:t>
      </w:r>
      <w:r>
        <w:rPr>
          <w:rFonts w:hint="eastAsia" w:ascii="宋体" w:hAnsi="宋体" w:cs="宋体"/>
          <w:i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式</w:t>
      </w:r>
      <w:r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催化剂详细设计方案，明确微孔道布局、孔径控制及加工工艺，满足微孔道流速测量要求。</w:t>
      </w:r>
    </w:p>
    <w:p w14:paraId="2A41670D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4）</w:t>
      </w:r>
      <w:r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质量验证：提供第三方权威检测报告（含尺寸、孔隙率、材质成分等）及产品合格证，支持供货前样品验证，样品性能与批量产品一致。</w:t>
      </w:r>
    </w:p>
    <w:p w14:paraId="32B707E4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5）</w:t>
      </w:r>
      <w:r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包装运输：结构化催化块单块独立防震包装，堆积式按规格密封防潮分箱包装，标注防护标识。</w:t>
      </w:r>
    </w:p>
    <w:p w14:paraId="764B063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6）</w:t>
      </w:r>
      <w:r>
        <w:rPr>
          <w:rFonts w:hint="eastAsia" w:ascii="宋体" w:hAnsi="宋体" w:eastAsia="宋体" w:cs="宋体"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服务保障：按 2026 年 04 月 13 日前到货要求按时交付，产品自验收合格之日起质保期不少于 60 个月。</w:t>
      </w:r>
      <w:bookmarkStart w:id="22" w:name="_GoBack"/>
      <w:bookmarkEnd w:id="22"/>
    </w:p>
    <w:p w14:paraId="2BFFAC9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合同履行期限：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合同签订后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000000"/>
          <w:sz w:val="24"/>
          <w:szCs w:val="24"/>
          <w:highlight w:val="none"/>
          <w:u w:val="single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个</w:t>
      </w:r>
      <w:r>
        <w:rPr>
          <w:rFonts w:hint="eastAsia" w:ascii="宋体" w:hAnsi="宋体" w:cs="宋体"/>
          <w:color w:val="000000"/>
          <w:sz w:val="24"/>
          <w:szCs w:val="24"/>
          <w:highlight w:val="none"/>
          <w:u w:val="single"/>
          <w:lang w:val="en-US" w:eastAsia="zh-CN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 xml:space="preserve">内完成标的交付、安装及调试工作，并达到验收合格标准。供应商所报产品整体质量保证期为验收合格之日起 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u w:val="single"/>
          <w:lang w:val="en-US" w:eastAsia="zh-CN"/>
        </w:rPr>
        <w:t>60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个月。</w:t>
      </w:r>
    </w:p>
    <w:p w14:paraId="3DCB9AAF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highlight w:val="none"/>
          <w:lang w:val="en-US" w:eastAsia="zh-CN"/>
        </w:rPr>
        <w:t>6.交货地点：清华大学核研院指定地点。</w:t>
      </w:r>
    </w:p>
    <w:p w14:paraId="0112AFB7">
      <w:pPr>
        <w:pStyle w:val="3"/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8" w:name="_Toc35393622"/>
      <w:bookmarkStart w:id="9" w:name="_Toc191481347"/>
      <w:bookmarkStart w:id="10" w:name="_Toc35393791"/>
      <w:bookmarkStart w:id="11" w:name="_Toc191623378"/>
      <w:bookmarkStart w:id="12" w:name="_Toc191481372"/>
      <w:bookmarkStart w:id="13" w:name="_Toc28359080"/>
      <w:bookmarkStart w:id="14" w:name="_Toc28359003"/>
      <w:r>
        <w:rPr>
          <w:rFonts w:hint="eastAsia" w:ascii="宋体" w:hAnsi="宋体" w:eastAsia="宋体" w:cs="宋体"/>
          <w:sz w:val="24"/>
          <w:szCs w:val="24"/>
          <w:highlight w:val="none"/>
        </w:rPr>
        <w:t>二、申请人的资格要求（须同时满足）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44EBAD30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1.满足《中华人民共和国政府采购法》第二十二条规定；</w:t>
      </w:r>
    </w:p>
    <w:p w14:paraId="70994782">
      <w:pPr>
        <w:tabs>
          <w:tab w:val="left" w:pos="900"/>
          <w:tab w:val="left" w:pos="1980"/>
        </w:tabs>
        <w:snapToGrid w:val="0"/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15" w:name="_Toc28359081"/>
      <w:bookmarkStart w:id="16" w:name="_Toc28359004"/>
      <w:r>
        <w:rPr>
          <w:rFonts w:hint="eastAsia" w:ascii="宋体" w:hAnsi="宋体" w:eastAsia="宋体" w:cs="宋体"/>
          <w:sz w:val="24"/>
          <w:szCs w:val="24"/>
          <w:highlight w:val="none"/>
        </w:rPr>
        <w:t>2.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通过“信用中国”网站（www.creditchina.gov.cn）和中国政府采购网（www.ccgp.gov.cn）查询信用记录，被列入失信被执行人、重大税收违法案件当事人名单、政府采购严重违法失信行为记录名单的供应商，没有资格参加本项目的采购活动。</w:t>
      </w:r>
    </w:p>
    <w:p w14:paraId="5D7A18E0">
      <w:pPr>
        <w:tabs>
          <w:tab w:val="left" w:pos="900"/>
          <w:tab w:val="left" w:pos="1980"/>
        </w:tabs>
        <w:snapToGrid w:val="0"/>
        <w:spacing w:line="360" w:lineRule="auto"/>
        <w:rPr>
          <w:rFonts w:hint="default" w:ascii="宋体" w:hAnsi="宋体" w:eastAsia="宋体" w:cs="宋体"/>
          <w:color w:val="FF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3.本项目的特定资格要求：</w:t>
      </w:r>
      <w:bookmarkEnd w:id="15"/>
      <w:bookmarkEnd w:id="16"/>
      <w:bookmarkStart w:id="17" w:name="_Toc191481348"/>
      <w:bookmarkStart w:id="18" w:name="_Toc35393792"/>
      <w:bookmarkStart w:id="19" w:name="_Toc191481373"/>
      <w:bookmarkStart w:id="20" w:name="_Toc35393623"/>
      <w:r>
        <w:rPr>
          <w:rFonts w:hint="eastAsia" w:ascii="宋体" w:hAnsi="宋体" w:cs="宋体"/>
          <w:color w:val="000000"/>
          <w:sz w:val="24"/>
          <w:szCs w:val="24"/>
          <w:highlight w:val="none"/>
          <w:lang w:val="en-US" w:eastAsia="zh-CN"/>
        </w:rPr>
        <w:t>供应商需提供企业质量管理体系认证证书、银行资信类证书或银行评级证明、开户许可证、公司证明、人事证明、纳税证明资质文件。</w:t>
      </w:r>
    </w:p>
    <w:p w14:paraId="290F357E">
      <w:pPr>
        <w:spacing w:line="360" w:lineRule="auto"/>
        <w:rPr>
          <w:rFonts w:hint="default" w:ascii="宋体" w:hAnsi="宋体" w:eastAsia="宋体" w:cs="宋体"/>
          <w:b/>
          <w:bCs/>
          <w:kern w:val="0"/>
          <w:sz w:val="24"/>
          <w:szCs w:val="24"/>
          <w:highlight w:val="none"/>
          <w:lang w:val="en-US" w:eastAsia="zh-CN"/>
        </w:rPr>
      </w:pPr>
      <w:bookmarkStart w:id="21" w:name="_Toc191623379"/>
      <w:r>
        <w:rPr>
          <w:rFonts w:hint="eastAsia" w:ascii="宋体" w:hAnsi="宋体" w:eastAsia="宋体" w:cs="宋体"/>
          <w:sz w:val="24"/>
          <w:szCs w:val="24"/>
          <w:highlight w:val="none"/>
        </w:rPr>
        <w:t>三、</w:t>
      </w:r>
      <w:bookmarkEnd w:id="17"/>
      <w:bookmarkEnd w:id="18"/>
      <w:bookmarkEnd w:id="19"/>
      <w:bookmarkEnd w:id="20"/>
      <w:bookmarkEnd w:id="21"/>
      <w:r>
        <w:rPr>
          <w:rFonts w:hint="eastAsia" w:ascii="宋体" w:hAnsi="宋体" w:cs="宋体"/>
          <w:b/>
          <w:bCs/>
          <w:kern w:val="0"/>
          <w:sz w:val="24"/>
          <w:szCs w:val="24"/>
          <w:highlight w:val="none"/>
          <w:lang w:val="en-US" w:eastAsia="zh-CN"/>
        </w:rPr>
        <w:t>采购人联系方式</w:t>
      </w:r>
    </w:p>
    <w:p w14:paraId="5354D675">
      <w:pPr>
        <w:spacing w:line="360" w:lineRule="auto"/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</w:rPr>
        <w:t>采购</w:t>
      </w:r>
      <w:r>
        <w:rPr>
          <w:rFonts w:hint="eastAsia" w:ascii="宋体" w:hAnsi="宋体" w:cs="宋体"/>
          <w:sz w:val="24"/>
          <w:szCs w:val="32"/>
          <w:highlight w:val="none"/>
          <w:lang w:val="en-US" w:eastAsia="zh-CN"/>
        </w:rPr>
        <w:t>方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：</w:t>
      </w:r>
      <w:r>
        <w:rPr>
          <w:rFonts w:hint="eastAsia" w:ascii="宋体" w:hAnsi="宋体" w:eastAsia="宋体" w:cs="宋体"/>
          <w:sz w:val="24"/>
          <w:szCs w:val="32"/>
          <w:highlight w:val="none"/>
          <w:u w:val="single"/>
        </w:rPr>
        <w:t>清华大学核能与新能源技术研究院</w:t>
      </w:r>
    </w:p>
    <w:p w14:paraId="02FE7D9A">
      <w:pPr>
        <w:spacing w:line="360" w:lineRule="auto"/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</w:rPr>
        <w:t>地址：</w:t>
      </w:r>
      <w:r>
        <w:rPr>
          <w:rFonts w:hint="eastAsia" w:ascii="宋体" w:hAnsi="宋体" w:eastAsia="宋体" w:cs="宋体"/>
          <w:sz w:val="24"/>
          <w:szCs w:val="32"/>
          <w:highlight w:val="none"/>
          <w:u w:val="single"/>
        </w:rPr>
        <w:t>北京市海淀区清华大学能科楼</w:t>
      </w:r>
    </w:p>
    <w:p w14:paraId="078F6529">
      <w:pPr>
        <w:spacing w:line="360" w:lineRule="auto"/>
        <w:rPr>
          <w:rFonts w:hint="eastAsia" w:ascii="宋体" w:hAnsi="宋体" w:eastAsia="宋体" w:cs="宋体"/>
          <w:sz w:val="24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highlight w:val="none"/>
        </w:rPr>
        <w:t>项目联系人：</w:t>
      </w:r>
      <w:r>
        <w:rPr>
          <w:rFonts w:hint="eastAsia" w:ascii="宋体" w:hAnsi="宋体" w:cs="宋体"/>
          <w:sz w:val="24"/>
          <w:szCs w:val="32"/>
          <w:highlight w:val="none"/>
          <w:u w:val="single"/>
          <w:lang w:val="en-US" w:eastAsia="zh-CN"/>
        </w:rPr>
        <w:t>刘潜峰</w:t>
      </w:r>
    </w:p>
    <w:p w14:paraId="69B4EE0B">
      <w:pPr>
        <w:spacing w:line="360" w:lineRule="auto"/>
        <w:rPr>
          <w:rFonts w:hint="default" w:ascii="宋体" w:hAnsi="宋体" w:eastAsia="宋体" w:cs="宋体"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32"/>
          <w:highlight w:val="none"/>
        </w:rPr>
        <w:t>联系电话：</w:t>
      </w:r>
      <w:r>
        <w:rPr>
          <w:rFonts w:hint="eastAsia" w:ascii="宋体" w:hAnsi="宋体" w:cs="宋体"/>
          <w:sz w:val="24"/>
          <w:szCs w:val="32"/>
          <w:highlight w:val="none"/>
          <w:u w:val="single"/>
          <w:lang w:val="en-US" w:eastAsia="zh-CN"/>
        </w:rPr>
        <w:t>13466783948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430A5A"/>
    <w:rsid w:val="23C15745"/>
    <w:rsid w:val="6796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6"/>
      <w:szCs w:val="44"/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spacing w:before="60" w:after="60" w:line="360" w:lineRule="auto"/>
      <w:outlineLvl w:val="2"/>
    </w:pPr>
    <w:rPr>
      <w:b/>
      <w:bCs/>
      <w:sz w:val="24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768</Words>
  <Characters>830</Characters>
  <Lines>0</Lines>
  <Paragraphs>0</Paragraphs>
  <TotalTime>18</TotalTime>
  <ScaleCrop>false</ScaleCrop>
  <LinksUpToDate>false</LinksUpToDate>
  <CharactersWithSpaces>839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2026-01-14T03:17:00Z</dcterms:created>
  <dc:creator>16198</dc:creator>
  <cp:lastModifiedBy>赵鑫怡(2025620361)</cp:lastModifiedBy>
  <dcterms:modified xsi:type="dcterms:W3CDTF">2026-01-21T01:10:46Z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eyJoZGlkIjoiODEyMmZjOWYzZGRkMTFkMzRkMGVkZTc0MGFkMjNiZDQiLCJ1c2VySWQiOiIxNzI5ODU2ODc5In0=</vt:lpwstr>
  </property>
  <property fmtid="{D5CDD505-2E9C-101B-9397-08002B2CF9AE}" pid="4" name="ICV">
    <vt:lpwstr>5E0BE1A337644E69B7C627C1BC4AD634_12</vt:lpwstr>
  </property>
</Properties>
</file>