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10242" w:type="dxa"/>
        <w:tblInd w:w="-7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"/>
        <w:gridCol w:w="572"/>
        <w:gridCol w:w="1010"/>
        <w:gridCol w:w="835"/>
        <w:gridCol w:w="2109"/>
        <w:gridCol w:w="5709"/>
        <w:gridCol w:w="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98" w:hRule="atLeast"/>
        </w:trPr>
        <w:tc>
          <w:tcPr>
            <w:tcW w:w="10239" w:type="dxa"/>
            <w:gridSpan w:val="6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微软雅黑" w:hAnsi="微软雅黑" w:eastAsia="微软雅黑" w:cs="宋体"/>
                <w:b/>
                <w:color w:val="000000"/>
                <w:kern w:val="0"/>
                <w:sz w:val="28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8"/>
              </w:rPr>
              <w:t>零件</w:t>
            </w:r>
            <w:r>
              <w:rPr>
                <w:rFonts w:ascii="微软雅黑" w:hAnsi="微软雅黑" w:eastAsia="微软雅黑" w:cs="宋体"/>
                <w:b/>
                <w:color w:val="000000"/>
                <w:kern w:val="0"/>
                <w:sz w:val="28"/>
              </w:rPr>
              <w:t>热处理</w:t>
            </w: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8"/>
              </w:rPr>
              <w:t>炉</w:t>
            </w:r>
            <w:r>
              <w:rPr>
                <w:rFonts w:ascii="微软雅黑" w:hAnsi="微软雅黑" w:eastAsia="微软雅黑" w:cs="宋体"/>
                <w:b/>
                <w:color w:val="000000"/>
                <w:kern w:val="0"/>
                <w:sz w:val="28"/>
              </w:rPr>
              <w:t>需求和设备情况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98" w:hRule="atLeast"/>
        </w:trPr>
        <w:tc>
          <w:tcPr>
            <w:tcW w:w="10239" w:type="dxa"/>
            <w:gridSpan w:val="6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b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</w:rPr>
              <w:t>一、使用需求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98" w:hRule="atLeast"/>
        </w:trPr>
        <w:tc>
          <w:tcPr>
            <w:tcW w:w="576" w:type="dxa"/>
            <w:gridSpan w:val="2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1</w:t>
            </w:r>
          </w:p>
        </w:tc>
        <w:tc>
          <w:tcPr>
            <w:tcW w:w="1010" w:type="dxa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零件</w:t>
            </w:r>
          </w:p>
        </w:tc>
        <w:tc>
          <w:tcPr>
            <w:tcW w:w="8653" w:type="dxa"/>
            <w:gridSpan w:val="3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球径40mm空心金属球，1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0g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重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，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镜面级光洁度，易氧化；一炉至少放入8只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98" w:hRule="atLeast"/>
        </w:trPr>
        <w:tc>
          <w:tcPr>
            <w:tcW w:w="576" w:type="dxa"/>
            <w:gridSpan w:val="2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2</w:t>
            </w:r>
          </w:p>
        </w:tc>
        <w:tc>
          <w:tcPr>
            <w:tcW w:w="1010" w:type="dxa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真空度</w:t>
            </w:r>
          </w:p>
        </w:tc>
        <w:tc>
          <w:tcPr>
            <w:tcW w:w="8653" w:type="dxa"/>
            <w:gridSpan w:val="3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left"/>
              <w:rPr>
                <w:rFonts w:hint="eastAsia" w:ascii="微软雅黑" w:hAnsi="微软雅黑" w:eastAsia="微软雅黑" w:cs="宋体"/>
                <w:color w:val="000000"/>
                <w:kern w:val="0"/>
                <w:lang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带料架，无零件，冷态优于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5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E-4Pa，</w:t>
            </w:r>
            <w:r>
              <w:rPr>
                <w:rFonts w:hint="eastAsia" w:ascii="微软雅黑" w:hAnsi="微软雅黑" w:eastAsia="微软雅黑" w:cs="宋体"/>
                <w:b/>
                <w:color w:val="FF0000"/>
                <w:kern w:val="0"/>
                <w:sz w:val="24"/>
              </w:rPr>
              <w:t>700度下优于</w:t>
            </w:r>
            <w:r>
              <w:rPr>
                <w:rFonts w:ascii="微软雅黑" w:hAnsi="微软雅黑" w:eastAsia="微软雅黑" w:cs="宋体"/>
                <w:b/>
                <w:color w:val="FF0000"/>
                <w:kern w:val="0"/>
                <w:sz w:val="24"/>
              </w:rPr>
              <w:t>1</w:t>
            </w:r>
            <w:r>
              <w:rPr>
                <w:rFonts w:hint="eastAsia" w:ascii="微软雅黑" w:hAnsi="微软雅黑" w:eastAsia="微软雅黑" w:cs="宋体"/>
                <w:b/>
                <w:color w:val="FF0000"/>
                <w:kern w:val="0"/>
                <w:sz w:val="24"/>
              </w:rPr>
              <w:t>E-</w:t>
            </w:r>
            <w:r>
              <w:rPr>
                <w:rFonts w:ascii="微软雅黑" w:hAnsi="微软雅黑" w:eastAsia="微软雅黑" w:cs="宋体"/>
                <w:b/>
                <w:color w:val="FF0000"/>
                <w:kern w:val="0"/>
                <w:sz w:val="24"/>
              </w:rPr>
              <w:t>2</w:t>
            </w:r>
            <w:r>
              <w:rPr>
                <w:rFonts w:hint="eastAsia" w:ascii="微软雅黑" w:hAnsi="微软雅黑" w:eastAsia="微软雅黑" w:cs="宋体"/>
                <w:b/>
                <w:color w:val="FF0000"/>
                <w:kern w:val="0"/>
                <w:sz w:val="24"/>
              </w:rPr>
              <w:t>Pa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，压升率＜0.5Pa/h</w:t>
            </w:r>
          </w:p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lang w:eastAsia="zh-CN"/>
              </w:rPr>
              <w:t>（建议采取措施保证料架位置实际真空度更接近测量值，如在管堵上加工出通气孔）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98" w:hRule="atLeast"/>
        </w:trPr>
        <w:tc>
          <w:tcPr>
            <w:tcW w:w="576" w:type="dxa"/>
            <w:gridSpan w:val="2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3</w:t>
            </w:r>
          </w:p>
        </w:tc>
        <w:tc>
          <w:tcPr>
            <w:tcW w:w="1010" w:type="dxa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温度</w:t>
            </w:r>
          </w:p>
        </w:tc>
        <w:tc>
          <w:tcPr>
            <w:tcW w:w="8653" w:type="dxa"/>
            <w:gridSpan w:val="3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600~900度下：</w:t>
            </w:r>
          </w:p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a）升温速度＞10℃/min，恒温控温±1℃，保温后降到400℃降温速度5℃/min；</w:t>
            </w:r>
          </w:p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b）参照国标5点测温，</w:t>
            </w:r>
            <w:r>
              <w:rPr>
                <w:rFonts w:hint="eastAsia" w:ascii="微软雅黑" w:hAnsi="微软雅黑" w:eastAsia="微软雅黑" w:cs="宋体"/>
                <w:b/>
                <w:color w:val="FF0000"/>
                <w:kern w:val="0"/>
                <w:sz w:val="24"/>
              </w:rPr>
              <w:t>均温区＞φ100×</w:t>
            </w:r>
            <w:r>
              <w:rPr>
                <w:rFonts w:ascii="微软雅黑" w:hAnsi="微软雅黑" w:eastAsia="微软雅黑" w:cs="宋体"/>
                <w:b/>
                <w:color w:val="FF0000"/>
                <w:kern w:val="0"/>
                <w:sz w:val="24"/>
              </w:rPr>
              <w:t>5</w:t>
            </w:r>
            <w:r>
              <w:rPr>
                <w:rFonts w:hint="eastAsia" w:ascii="微软雅黑" w:hAnsi="微软雅黑" w:eastAsia="微软雅黑" w:cs="宋体"/>
                <w:b/>
                <w:color w:val="FF0000"/>
                <w:kern w:val="0"/>
                <w:sz w:val="24"/>
              </w:rPr>
              <w:t>00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，</w:t>
            </w:r>
            <w:r>
              <w:rPr>
                <w:rFonts w:hint="eastAsia" w:ascii="微软雅黑" w:hAnsi="微软雅黑" w:eastAsia="微软雅黑" w:cs="宋体"/>
                <w:b/>
                <w:color w:val="FF0000"/>
                <w:kern w:val="0"/>
                <w:sz w:val="24"/>
              </w:rPr>
              <w:t>均温性±3℃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98" w:hRule="atLeast"/>
        </w:trPr>
        <w:tc>
          <w:tcPr>
            <w:tcW w:w="576" w:type="dxa"/>
            <w:gridSpan w:val="2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4</w:t>
            </w:r>
          </w:p>
        </w:tc>
        <w:tc>
          <w:tcPr>
            <w:tcW w:w="1010" w:type="dxa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炉体</w:t>
            </w:r>
          </w:p>
        </w:tc>
        <w:tc>
          <w:tcPr>
            <w:tcW w:w="8653" w:type="dxa"/>
            <w:gridSpan w:val="3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隔热好，取放零件方便</w:t>
            </w:r>
          </w:p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a）热处理时1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～</w:t>
            </w:r>
            <w:r>
              <w:rPr>
                <w:rFonts w:hint="eastAsia" w:ascii="微软雅黑" w:hAnsi="微软雅黑" w:eastAsia="微软雅黑" w:cs="宋体"/>
                <w:b/>
                <w:color w:val="FF0000"/>
                <w:kern w:val="0"/>
                <w:sz w:val="24"/>
              </w:rPr>
              <w:t>2路监测偶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测量零件附近的温度，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位置可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调；</w:t>
            </w:r>
          </w:p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b）石英管抽气侧另端，</w:t>
            </w:r>
            <w:r>
              <w:rPr>
                <w:rFonts w:hint="eastAsia" w:ascii="微软雅黑" w:hAnsi="微软雅黑" w:eastAsia="微软雅黑" w:cs="宋体"/>
                <w:b/>
                <w:color w:val="FF0000"/>
                <w:kern w:val="0"/>
                <w:sz w:val="24"/>
              </w:rPr>
              <w:t>方便放入零件，卡箍快接气密</w:t>
            </w:r>
            <w:r>
              <w:rPr>
                <w:rFonts w:ascii="微软雅黑" w:hAnsi="微软雅黑" w:eastAsia="微软雅黑" w:cs="宋体"/>
                <w:b/>
                <w:color w:val="FF0000"/>
                <w:kern w:val="0"/>
                <w:sz w:val="24"/>
              </w:rPr>
              <w:t>锁紧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；</w:t>
            </w:r>
          </w:p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c）抽气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和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进气时采取措施，</w:t>
            </w:r>
            <w:r>
              <w:rPr>
                <w:rFonts w:hint="eastAsia" w:ascii="微软雅黑" w:hAnsi="微软雅黑" w:eastAsia="微软雅黑" w:cs="宋体"/>
                <w:b/>
                <w:color w:val="FF0000"/>
                <w:kern w:val="0"/>
                <w:sz w:val="24"/>
              </w:rPr>
              <w:t>避免零件</w:t>
            </w:r>
            <w:r>
              <w:rPr>
                <w:rFonts w:hint="eastAsia" w:ascii="微软雅黑" w:hAnsi="微软雅黑" w:eastAsia="微软雅黑" w:cs="宋体"/>
                <w:b/>
                <w:color w:val="FF0000"/>
                <w:kern w:val="0"/>
                <w:sz w:val="24"/>
                <w:lang w:eastAsia="zh-CN"/>
              </w:rPr>
              <w:t>和料架摩擦产生划痕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（如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流量计控制缓慢充气）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98" w:hRule="atLeast"/>
        </w:trPr>
        <w:tc>
          <w:tcPr>
            <w:tcW w:w="576" w:type="dxa"/>
            <w:gridSpan w:val="2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5</w:t>
            </w:r>
          </w:p>
        </w:tc>
        <w:tc>
          <w:tcPr>
            <w:tcW w:w="1010" w:type="dxa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料架</w:t>
            </w:r>
          </w:p>
        </w:tc>
        <w:tc>
          <w:tcPr>
            <w:tcW w:w="8653" w:type="dxa"/>
            <w:gridSpan w:val="3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lang w:eastAsia="zh-CN"/>
              </w:rPr>
              <w:t>可以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采用石英舟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的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样式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，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稳定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可靠，</w:t>
            </w:r>
            <w:r>
              <w:rPr>
                <w:rFonts w:ascii="微软雅黑" w:hAnsi="微软雅黑" w:eastAsia="微软雅黑" w:cs="宋体"/>
                <w:b/>
                <w:color w:val="FF0000"/>
                <w:kern w:val="0"/>
                <w:sz w:val="24"/>
              </w:rPr>
              <w:t>不能</w:t>
            </w:r>
            <w:r>
              <w:rPr>
                <w:rFonts w:hint="eastAsia" w:ascii="微软雅黑" w:hAnsi="微软雅黑" w:eastAsia="微软雅黑" w:cs="宋体"/>
                <w:b/>
                <w:color w:val="FF0000"/>
                <w:kern w:val="0"/>
                <w:sz w:val="24"/>
              </w:rPr>
              <w:t>因碎裂损</w:t>
            </w:r>
            <w:r>
              <w:rPr>
                <w:rFonts w:ascii="微软雅黑" w:hAnsi="微软雅黑" w:eastAsia="微软雅黑" w:cs="宋体"/>
                <w:b/>
                <w:color w:val="FF0000"/>
                <w:kern w:val="0"/>
                <w:sz w:val="24"/>
              </w:rPr>
              <w:t>伤</w:t>
            </w:r>
            <w:r>
              <w:rPr>
                <w:rFonts w:hint="eastAsia" w:ascii="微软雅黑" w:hAnsi="微软雅黑" w:eastAsia="微软雅黑" w:cs="宋体"/>
                <w:b/>
                <w:color w:val="FF0000"/>
                <w:kern w:val="0"/>
                <w:sz w:val="24"/>
              </w:rPr>
              <w:t>零件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98" w:hRule="atLeast"/>
        </w:trPr>
        <w:tc>
          <w:tcPr>
            <w:tcW w:w="576" w:type="dxa"/>
            <w:gridSpan w:val="2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6</w:t>
            </w:r>
          </w:p>
        </w:tc>
        <w:tc>
          <w:tcPr>
            <w:tcW w:w="1010" w:type="dxa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炉管</w:t>
            </w:r>
          </w:p>
        </w:tc>
        <w:tc>
          <w:tcPr>
            <w:tcW w:w="8653" w:type="dxa"/>
            <w:gridSpan w:val="3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确保质量和可靠性。如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采用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石英管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，建议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用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高等级石英材料，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严格把控材料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纯度、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缺陷和应力等级。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出厂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附带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石英管的材质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检测报告。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298" w:hRule="atLeast"/>
        </w:trPr>
        <w:tc>
          <w:tcPr>
            <w:tcW w:w="576" w:type="dxa"/>
            <w:gridSpan w:val="2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7</w:t>
            </w:r>
          </w:p>
        </w:tc>
        <w:tc>
          <w:tcPr>
            <w:tcW w:w="1010" w:type="dxa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可靠性</w:t>
            </w:r>
          </w:p>
        </w:tc>
        <w:tc>
          <w:tcPr>
            <w:tcW w:w="8653" w:type="dxa"/>
            <w:gridSpan w:val="3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a）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lang w:eastAsia="zh-CN"/>
              </w:rPr>
              <w:t>至少</w:t>
            </w:r>
            <w:r>
              <w:rPr>
                <w:rFonts w:hint="eastAsia" w:ascii="微软雅黑" w:hAnsi="微软雅黑" w:eastAsia="微软雅黑" w:cs="宋体"/>
                <w:b/>
                <w:color w:val="FF0000"/>
                <w:kern w:val="0"/>
                <w:sz w:val="24"/>
              </w:rPr>
              <w:t>7</w:t>
            </w:r>
            <w:r>
              <w:rPr>
                <w:rFonts w:ascii="微软雅黑" w:hAnsi="微软雅黑" w:eastAsia="微软雅黑" w:cs="宋体"/>
                <w:b/>
                <w:color w:val="FF0000"/>
                <w:kern w:val="0"/>
                <w:sz w:val="24"/>
              </w:rPr>
              <w:t>00度下稳定运行8小时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；b）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易损件更换或维护方便；</w:t>
            </w:r>
          </w:p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ascii="微软雅黑" w:hAnsi="微软雅黑" w:eastAsia="微软雅黑" w:cs="宋体"/>
                <w:color w:val="000000"/>
                <w:kern w:val="0"/>
              </w:rPr>
              <w:t>c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）温控表、加热丝、真空泵、真空阀、真空规、冷水机等核心器件，优选国产一线品牌，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lang w:eastAsia="zh-CN"/>
              </w:rPr>
              <w:t>真空泵和真空阀门性能过硬，</w:t>
            </w:r>
            <w:r>
              <w:rPr>
                <w:rFonts w:ascii="微软雅黑" w:hAnsi="微软雅黑" w:eastAsia="微软雅黑" w:cs="宋体"/>
                <w:b/>
                <w:color w:val="FF0000"/>
                <w:kern w:val="0"/>
                <w:sz w:val="24"/>
              </w:rPr>
              <w:t>优选一线品牌</w:t>
            </w:r>
            <w:r>
              <w:rPr>
                <w:rFonts w:hint="eastAsia" w:ascii="微软雅黑" w:hAnsi="微软雅黑" w:eastAsia="微软雅黑" w:cs="宋体"/>
                <w:b/>
                <w:color w:val="FF0000"/>
                <w:kern w:val="0"/>
                <w:sz w:val="24"/>
              </w:rPr>
              <w:t>主流</w:t>
            </w:r>
            <w:r>
              <w:rPr>
                <w:rFonts w:ascii="微软雅黑" w:hAnsi="微软雅黑" w:eastAsia="微软雅黑" w:cs="宋体"/>
                <w:b/>
                <w:color w:val="FF0000"/>
                <w:kern w:val="0"/>
                <w:sz w:val="24"/>
              </w:rPr>
              <w:t>产品</w:t>
            </w:r>
            <w:r>
              <w:rPr>
                <w:rFonts w:hint="eastAsia" w:ascii="微软雅黑" w:hAnsi="微软雅黑" w:eastAsia="微软雅黑" w:cs="宋体"/>
                <w:b/>
                <w:color w:val="FF0000"/>
                <w:kern w:val="0"/>
                <w:sz w:val="24"/>
                <w:lang w:eastAsia="zh-CN"/>
              </w:rPr>
              <w:t>，如分子泵选</w:t>
            </w:r>
            <w:r>
              <w:rPr>
                <w:rFonts w:ascii="微软雅黑" w:hAnsi="微软雅黑" w:eastAsia="微软雅黑" w:cs="宋体"/>
                <w:b/>
                <w:color w:val="FF0000"/>
                <w:kern w:val="0"/>
                <w:sz w:val="24"/>
              </w:rPr>
              <w:t>科仪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922" w:hRule="atLeast"/>
        </w:trPr>
        <w:tc>
          <w:tcPr>
            <w:tcW w:w="576" w:type="dxa"/>
            <w:gridSpan w:val="2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8</w:t>
            </w:r>
          </w:p>
        </w:tc>
        <w:tc>
          <w:tcPr>
            <w:tcW w:w="1010" w:type="dxa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异常情况</w:t>
            </w:r>
          </w:p>
        </w:tc>
        <w:tc>
          <w:tcPr>
            <w:tcW w:w="8653" w:type="dxa"/>
            <w:gridSpan w:val="3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温控、真空、水冷等异常时，有妥善的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应对措施，如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声光报警（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报警声音超过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6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0分贝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）；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1067" w:hRule="atLeast"/>
        </w:trPr>
        <w:tc>
          <w:tcPr>
            <w:tcW w:w="576" w:type="dxa"/>
            <w:gridSpan w:val="2"/>
            <w:tcBorders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9</w:t>
            </w:r>
          </w:p>
        </w:tc>
        <w:tc>
          <w:tcPr>
            <w:tcW w:w="1010" w:type="dxa"/>
            <w:tcBorders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其他</w:t>
            </w:r>
          </w:p>
        </w:tc>
        <w:tc>
          <w:tcPr>
            <w:tcW w:w="8653" w:type="dxa"/>
            <w:gridSpan w:val="3"/>
            <w:tcBorders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a）过程中自动采集温度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和真空度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数据，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并能够导出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，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方便处理数据画图等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；</w:t>
            </w:r>
          </w:p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b）管体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两端配水冷法兰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；</w:t>
            </w:r>
          </w:p>
          <w:p>
            <w:pPr>
              <w:spacing w:after="0" w:line="240" w:lineRule="auto"/>
              <w:jc w:val="left"/>
              <w:rPr>
                <w:rFonts w:ascii="微软雅黑" w:hAnsi="微软雅黑" w:eastAsia="微软雅黑" w:cs="宋体"/>
                <w:color w:val="000000"/>
                <w:kern w:val="0"/>
              </w:rPr>
            </w:pPr>
            <w:r>
              <w:rPr>
                <w:rFonts w:ascii="微软雅黑" w:hAnsi="微软雅黑" w:eastAsia="微软雅黑" w:cs="宋体"/>
                <w:color w:val="000000"/>
                <w:kern w:val="0"/>
              </w:rPr>
              <w:t>c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）管体、加热丝、密封圈、热电偶等易耗品，必须可靠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lang w:val="en-US" w:eastAsia="zh-CN"/>
              </w:rPr>
              <w:t>耐用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，并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lang w:val="en-US" w:eastAsia="zh-CN"/>
              </w:rPr>
              <w:t>随货</w:t>
            </w:r>
            <w:r>
              <w:rPr>
                <w:rFonts w:ascii="微软雅黑" w:hAnsi="微软雅黑" w:eastAsia="微软雅黑" w:cs="宋体"/>
                <w:color w:val="000000"/>
                <w:kern w:val="0"/>
              </w:rPr>
              <w:t>提供足够备件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1067" w:hRule="atLeast"/>
        </w:trPr>
        <w:tc>
          <w:tcPr>
            <w:tcW w:w="10239" w:type="dxa"/>
            <w:gridSpan w:val="6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left"/>
              <w:rPr>
                <w:rFonts w:hint="default" w:ascii="微软雅黑" w:hAnsi="微软雅黑" w:eastAsia="微软雅黑" w:cs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lang w:val="en-US" w:eastAsia="zh-CN"/>
              </w:rPr>
              <w:t>二、网上必选考核点</w:t>
            </w:r>
          </w:p>
        </w:tc>
      </w:tr>
      <w:tr>
        <w:tblPrEx>
          <w:tblBorders>
            <w:top w:val="single" w:sz="40" w:space="0"/>
            <w:left w:val="single" w:sz="40" w:space="0"/>
            <w:bottom w:val="single" w:sz="40" w:space="0"/>
            <w:right w:val="single" w:sz="40" w:space="0"/>
            <w:insideH w:val="single" w:sz="40" w:space="0"/>
            <w:insideV w:val="single" w:sz="4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4" w:type="dxa"/>
          <w:trHeight w:val="577" w:hRule="atLeast"/>
        </w:trPr>
        <w:tc>
          <w:tcPr>
            <w:tcW w:w="2417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等线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比价项目</w:t>
            </w:r>
          </w:p>
        </w:tc>
        <w:tc>
          <w:tcPr>
            <w:tcW w:w="21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等线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default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</w:t>
            </w: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</w:t>
            </w:r>
          </w:p>
        </w:tc>
        <w:tc>
          <w:tcPr>
            <w:tcW w:w="5712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7" w:rightChars="0"/>
              <w:jc w:val="center"/>
              <w:textAlignment w:val="center"/>
              <w:rPr>
                <w:rFonts w:hint="default" w:ascii="仿宋_GB2312" w:hAnsi="等线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优选方向</w:t>
            </w:r>
          </w:p>
        </w:tc>
      </w:tr>
      <w:tr>
        <w:tblPrEx>
          <w:tblBorders>
            <w:top w:val="single" w:sz="40" w:space="0"/>
            <w:left w:val="single" w:sz="40" w:space="0"/>
            <w:bottom w:val="single" w:sz="40" w:space="0"/>
            <w:right w:val="single" w:sz="40" w:space="0"/>
            <w:insideH w:val="single" w:sz="40" w:space="0"/>
            <w:insideV w:val="single" w:sz="4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4" w:type="dxa"/>
          <w:trHeight w:val="721" w:hRule="atLeast"/>
        </w:trPr>
        <w:tc>
          <w:tcPr>
            <w:tcW w:w="2417" w:type="dxa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热态真空</w:t>
            </w:r>
          </w:p>
        </w:tc>
        <w:tc>
          <w:tcPr>
            <w:tcW w:w="21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优于1E-2Pa</w:t>
            </w:r>
          </w:p>
        </w:tc>
        <w:tc>
          <w:tcPr>
            <w:tcW w:w="571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更高的真空度如优于5E-3Pa或更高</w:t>
            </w:r>
          </w:p>
        </w:tc>
      </w:tr>
      <w:tr>
        <w:tblPrEx>
          <w:tblBorders>
            <w:top w:val="single" w:sz="40" w:space="0"/>
            <w:left w:val="single" w:sz="40" w:space="0"/>
            <w:bottom w:val="single" w:sz="40" w:space="0"/>
            <w:right w:val="single" w:sz="40" w:space="0"/>
            <w:insideH w:val="single" w:sz="40" w:space="0"/>
            <w:insideV w:val="single" w:sz="4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4" w:type="dxa"/>
          <w:trHeight w:val="684" w:hRule="atLeast"/>
        </w:trPr>
        <w:tc>
          <w:tcPr>
            <w:tcW w:w="2417" w:type="dxa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压升率</w:t>
            </w:r>
          </w:p>
        </w:tc>
        <w:tc>
          <w:tcPr>
            <w:tcW w:w="21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＜0.5Pa/h</w:t>
            </w:r>
          </w:p>
        </w:tc>
        <w:tc>
          <w:tcPr>
            <w:tcW w:w="571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更低的压升率</w:t>
            </w:r>
          </w:p>
        </w:tc>
      </w:tr>
      <w:tr>
        <w:tblPrEx>
          <w:tblBorders>
            <w:top w:val="single" w:sz="40" w:space="0"/>
            <w:left w:val="single" w:sz="40" w:space="0"/>
            <w:bottom w:val="single" w:sz="40" w:space="0"/>
            <w:right w:val="single" w:sz="40" w:space="0"/>
            <w:insideH w:val="single" w:sz="40" w:space="0"/>
            <w:insideV w:val="single" w:sz="4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4" w:type="dxa"/>
          <w:trHeight w:val="397" w:hRule="atLeast"/>
        </w:trPr>
        <w:tc>
          <w:tcPr>
            <w:tcW w:w="2417" w:type="dxa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均温性</w:t>
            </w:r>
          </w:p>
        </w:tc>
        <w:tc>
          <w:tcPr>
            <w:tcW w:w="21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±3℃</w:t>
            </w:r>
          </w:p>
        </w:tc>
        <w:tc>
          <w:tcPr>
            <w:tcW w:w="571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更小的温度偏差</w:t>
            </w:r>
          </w:p>
        </w:tc>
      </w:tr>
      <w:tr>
        <w:tblPrEx>
          <w:tblBorders>
            <w:top w:val="single" w:sz="40" w:space="0"/>
            <w:left w:val="single" w:sz="40" w:space="0"/>
            <w:bottom w:val="single" w:sz="40" w:space="0"/>
            <w:right w:val="single" w:sz="40" w:space="0"/>
            <w:insideH w:val="single" w:sz="40" w:space="0"/>
            <w:insideV w:val="single" w:sz="4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4" w:type="dxa"/>
          <w:trHeight w:val="884" w:hRule="atLeast"/>
        </w:trPr>
        <w:tc>
          <w:tcPr>
            <w:tcW w:w="2417" w:type="dxa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管件</w:t>
            </w:r>
          </w:p>
        </w:tc>
        <w:tc>
          <w:tcPr>
            <w:tcW w:w="21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业内常用的管件材料</w:t>
            </w:r>
          </w:p>
        </w:tc>
        <w:tc>
          <w:tcPr>
            <w:tcW w:w="571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级别更高更可靠的材料</w:t>
            </w:r>
          </w:p>
        </w:tc>
      </w:tr>
      <w:tr>
        <w:tblPrEx>
          <w:tblBorders>
            <w:top w:val="single" w:sz="40" w:space="0"/>
            <w:left w:val="single" w:sz="40" w:space="0"/>
            <w:bottom w:val="single" w:sz="40" w:space="0"/>
            <w:right w:val="single" w:sz="40" w:space="0"/>
            <w:insideH w:val="single" w:sz="40" w:space="0"/>
            <w:insideV w:val="single" w:sz="4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4" w:type="dxa"/>
          <w:trHeight w:val="1077" w:hRule="atLeast"/>
        </w:trPr>
        <w:tc>
          <w:tcPr>
            <w:tcW w:w="2417" w:type="dxa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核心器件</w:t>
            </w:r>
            <w:bookmarkStart w:id="0" w:name="_GoBack"/>
            <w:bookmarkEnd w:id="0"/>
          </w:p>
        </w:tc>
        <w:tc>
          <w:tcPr>
            <w:tcW w:w="21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国产一线品牌</w:t>
            </w:r>
          </w:p>
        </w:tc>
        <w:tc>
          <w:tcPr>
            <w:tcW w:w="571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品牌型号配置更高、更稳定可靠的组件，如分子泵、前级泵、真空阀、真空规、温控表、热电偶、加热丝、冷水机等</w:t>
            </w:r>
          </w:p>
        </w:tc>
      </w:tr>
      <w:tr>
        <w:tblPrEx>
          <w:tblBorders>
            <w:top w:val="single" w:sz="40" w:space="0"/>
            <w:left w:val="single" w:sz="40" w:space="0"/>
            <w:bottom w:val="single" w:sz="40" w:space="0"/>
            <w:right w:val="single" w:sz="40" w:space="0"/>
            <w:insideH w:val="single" w:sz="40" w:space="0"/>
            <w:insideV w:val="single" w:sz="4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4" w:type="dxa"/>
          <w:trHeight w:val="718" w:hRule="atLeast"/>
        </w:trPr>
        <w:tc>
          <w:tcPr>
            <w:tcW w:w="2417" w:type="dxa"/>
            <w:gridSpan w:val="3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设备总体功能</w:t>
            </w:r>
          </w:p>
        </w:tc>
        <w:tc>
          <w:tcPr>
            <w:tcW w:w="210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700度下连续稳定运行时间8h；声光报警；数据采集</w:t>
            </w:r>
          </w:p>
        </w:tc>
        <w:tc>
          <w:tcPr>
            <w:tcW w:w="5712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更好的满足需求；</w:t>
            </w: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连续稳定运行时间更长；</w:t>
            </w: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突发情况应对更好；</w:t>
            </w: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软件使用、数据监控、更易用更人性化</w:t>
            </w:r>
          </w:p>
        </w:tc>
      </w:tr>
      <w:tr>
        <w:tblPrEx>
          <w:tblBorders>
            <w:top w:val="single" w:sz="40" w:space="0"/>
            <w:left w:val="single" w:sz="40" w:space="0"/>
            <w:bottom w:val="single" w:sz="40" w:space="0"/>
            <w:right w:val="single" w:sz="40" w:space="0"/>
            <w:insideH w:val="single" w:sz="40" w:space="0"/>
            <w:insideV w:val="single" w:sz="4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4" w:type="dxa"/>
          <w:trHeight w:val="718" w:hRule="atLeast"/>
        </w:trPr>
        <w:tc>
          <w:tcPr>
            <w:tcW w:w="2417" w:type="dxa"/>
            <w:gridSpan w:val="3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12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sz="40" w:space="0"/>
            <w:left w:val="single" w:sz="40" w:space="0"/>
            <w:bottom w:val="single" w:sz="40" w:space="0"/>
            <w:right w:val="single" w:sz="40" w:space="0"/>
            <w:insideH w:val="single" w:sz="40" w:space="0"/>
            <w:insideV w:val="single" w:sz="4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4" w:type="dxa"/>
          <w:trHeight w:val="312" w:hRule="atLeast"/>
        </w:trPr>
        <w:tc>
          <w:tcPr>
            <w:tcW w:w="2417" w:type="dxa"/>
            <w:gridSpan w:val="3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12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/>
        </w:rPr>
      </w:pPr>
    </w:p>
    <w:sectPr>
      <w:pgSz w:w="11906" w:h="16838"/>
      <w:pgMar w:top="1361" w:right="1797" w:bottom="1247" w:left="179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 w:tentative="0">
      <w:start w:val="1"/>
      <w:numFmt w:val="decimal"/>
      <w:pStyle w:val="33"/>
      <w:lvlText w:val="%4."/>
      <w:lvlJc w:val="left"/>
      <w:pPr>
        <w:tabs>
          <w:tab w:val="left" w:pos="2880"/>
        </w:tabs>
        <w:ind w:left="2880" w:hanging="72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1">
    <w:nsid w:val="00000001"/>
    <w:multiLevelType w:val="multilevel"/>
    <w:tmpl w:val="00000001"/>
    <w:lvl w:ilvl="0" w:tentative="0">
      <w:start w:val="1"/>
      <w:numFmt w:val="decimal"/>
      <w:pStyle w:val="19"/>
      <w:suff w:val="nothing"/>
      <w:lvlText w:val="（%1）"/>
      <w:lvlJc w:val="left"/>
      <w:pPr>
        <w:ind w:left="420" w:firstLine="147"/>
      </w:pPr>
      <w:rPr>
        <w:b w:val="0"/>
        <w:bCs w:val="0"/>
        <w:i w:val="0"/>
        <w:iCs w:val="0"/>
        <w:caps w:val="0"/>
        <w:smallCaps w:val="0"/>
        <w:outline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  <w14:cntxtalts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2">
    <w:nsid w:val="00000004"/>
    <w:multiLevelType w:val="multilevel"/>
    <w:tmpl w:val="00000004"/>
    <w:lvl w:ilvl="0" w:tentative="0">
      <w:start w:val="1"/>
      <w:numFmt w:val="decimal"/>
      <w:pStyle w:val="15"/>
      <w:suff w:val="nothing"/>
      <w:lvlText w:val="%1."/>
      <w:lvlJc w:val="left"/>
      <w:pPr>
        <w:ind w:left="0" w:firstLine="0"/>
      </w:pPr>
      <w:rPr>
        <w:rFonts w:hint="eastAsia"/>
        <w:b/>
        <w:bCs w:val="0"/>
        <w:i w:val="0"/>
        <w:iCs w:val="0"/>
        <w:caps w:val="0"/>
        <w:smallCaps w:val="0"/>
        <w:outline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  <w14:cntxtalts/>
      </w:rPr>
    </w:lvl>
    <w:lvl w:ilvl="1" w:tentative="0">
      <w:start w:val="1"/>
      <w:numFmt w:val="decimal"/>
      <w:pStyle w:val="28"/>
      <w:suff w:val="nothing"/>
      <w:lvlText w:val="%1.%2"/>
      <w:lvlJc w:val="left"/>
      <w:pPr>
        <w:ind w:left="397" w:hanging="57"/>
      </w:pPr>
      <w:rPr>
        <w:rFonts w:hint="default" w:ascii="宋体" w:hAnsi="宋体" w:eastAsia="宋体"/>
        <w:sz w:val="30"/>
      </w:rPr>
    </w:lvl>
    <w:lvl w:ilvl="2" w:tentative="0">
      <w:start w:val="1"/>
      <w:numFmt w:val="decimal"/>
      <w:pStyle w:val="35"/>
      <w:suff w:val="space"/>
      <w:lvlText w:val="%1.%2.%3"/>
      <w:lvlJc w:val="left"/>
      <w:pPr>
        <w:ind w:left="0" w:firstLine="0"/>
      </w:pPr>
      <w:rPr>
        <w:rFonts w:hint="default" w:ascii="宋体" w:eastAsia="宋体"/>
        <w:sz w:val="28"/>
      </w:rPr>
    </w:lvl>
    <w:lvl w:ilvl="3" w:tentative="0">
      <w:start w:val="1"/>
      <w:numFmt w:val="decimal"/>
      <w:pStyle w:val="41"/>
      <w:suff w:val="nothing"/>
      <w:lvlText w:val="（%4）"/>
      <w:lvlJc w:val="left"/>
      <w:pPr>
        <w:ind w:left="0" w:firstLine="0"/>
      </w:pPr>
      <w:rPr>
        <w:rFonts w:hint="eastAsia"/>
        <w:b w:val="0"/>
        <w:bCs w:val="0"/>
        <w:i w:val="0"/>
        <w:iCs w:val="0"/>
        <w:caps w:val="0"/>
        <w:smallCaps w:val="0"/>
        <w:outline w:val="0"/>
        <w:emboss w:val="0"/>
        <w:imprint w:val="0"/>
        <w:vanish w:val="0"/>
        <w:spacing w:val="0"/>
        <w:position w:val="0"/>
        <w:u w:val="none"/>
        <w:vertAlign w:val="baseline"/>
        <w:lang w:val="en-US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  <w14:cntxtalts/>
      </w:rPr>
    </w:lvl>
    <w:lvl w:ilvl="4" w:tentative="0">
      <w:start w:val="1"/>
      <w:numFmt w:val="lowerLetter"/>
      <w:lvlText w:val="%5)"/>
      <w:lvlJc w:val="left"/>
      <w:pPr>
        <w:ind w:left="3381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3801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4221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4641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5061" w:hanging="420"/>
      </w:pPr>
      <w:rPr>
        <w:rFonts w:hint="eastAsia"/>
      </w:rPr>
    </w:lvl>
  </w:abstractNum>
  <w:abstractNum w:abstractNumId="3">
    <w:nsid w:val="00000006"/>
    <w:multiLevelType w:val="multilevel"/>
    <w:tmpl w:val="00000006"/>
    <w:lvl w:ilvl="0" w:tentative="0">
      <w:start w:val="1"/>
      <w:numFmt w:val="decimal"/>
      <w:pStyle w:val="9"/>
      <w:lvlText w:val="%1."/>
      <w:lvlJc w:val="left"/>
      <w:pPr>
        <w:tabs>
          <w:tab w:val="left" w:pos="720"/>
        </w:tabs>
        <w:ind w:left="720" w:hanging="72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4">
    <w:nsid w:val="00000007"/>
    <w:multiLevelType w:val="multilevel"/>
    <w:tmpl w:val="00000007"/>
    <w:lvl w:ilvl="0" w:tentative="0">
      <w:start w:val="1"/>
      <w:numFmt w:val="decimal"/>
      <w:pStyle w:val="26"/>
      <w:suff w:val="nothing"/>
      <w:lvlText w:val="（%1）"/>
      <w:lvlJc w:val="right"/>
      <w:pPr>
        <w:ind w:left="0" w:firstLine="1474"/>
      </w:pPr>
      <w:rPr>
        <w:rFonts w:hint="default" w:eastAsia="宋体"/>
        <w:b w:val="0"/>
        <w:bCs w:val="0"/>
        <w:i w:val="0"/>
        <w:iCs w:val="0"/>
        <w:caps w:val="0"/>
        <w:outline w:val="0"/>
        <w:emboss w:val="0"/>
        <w:imprint w:val="0"/>
        <w:vanish w:val="0"/>
        <w:spacing w:val="0"/>
        <w:position w:val="0"/>
        <w:sz w:val="28"/>
        <w:u w:val="none"/>
        <w:vertAlign w:val="baseline"/>
        <w14:shadow w14:blurRad="0" w14:dist="0" w14:dir="0" w14:sx="100000" w14:sy="100000" w14:kx="0" w14:ky="0" w14:algn="none">
          <w14:srgbClr w14:val="808080"/>
        </w14:shadow>
        <w14:ligatures w14:val="none"/>
        <w14:numForm w14:val="default"/>
        <w14:numSpacing w14:val="default"/>
        <w14:cntxtalts/>
      </w:rPr>
    </w:lvl>
    <w:lvl w:ilvl="1" w:tentative="0">
      <w:start w:val="1"/>
      <w:numFmt w:val="decimal"/>
      <w:suff w:val="space"/>
      <w:lvlText w:val="%1.%2"/>
      <w:lvlJc w:val="left"/>
      <w:pPr>
        <w:ind w:left="0" w:firstLine="0"/>
      </w:pPr>
      <w:rPr>
        <w:rFonts w:hint="default" w:ascii="宋体" w:hAnsi="宋体" w:eastAsia="宋体"/>
        <w:sz w:val="30"/>
      </w:rPr>
    </w:lvl>
    <w:lvl w:ilvl="2" w:tentative="0">
      <w:start w:val="1"/>
      <w:numFmt w:val="decimal"/>
      <w:suff w:val="space"/>
      <w:lvlText w:val="%1.%2.%3"/>
      <w:lvlJc w:val="right"/>
      <w:pPr>
        <w:ind w:left="794" w:firstLine="0"/>
      </w:pPr>
      <w:rPr>
        <w:rFonts w:hint="default" w:ascii="宋体" w:eastAsia="宋体"/>
        <w:sz w:val="28"/>
      </w:rPr>
    </w:lvl>
    <w:lvl w:ilvl="3" w:tentative="0">
      <w:start w:val="1"/>
      <w:numFmt w:val="decimal"/>
      <w:suff w:val="nothing"/>
      <w:lvlText w:val="（%4）"/>
      <w:lvlJc w:val="right"/>
      <w:pPr>
        <w:ind w:left="567" w:firstLine="0"/>
      </w:pPr>
      <w:rPr>
        <w:rFonts w:hint="eastAsia" w:ascii="Times New Roman" w:hAnsi="Times New Roman" w:cs="Times New Roman"/>
        <w:b w:val="0"/>
        <w:bCs w:val="0"/>
        <w:i w:val="0"/>
        <w:iCs w:val="0"/>
        <w:caps w:val="0"/>
        <w:smallCaps w:val="0"/>
        <w:outline w:val="0"/>
        <w:emboss w:val="0"/>
        <w:imprint w:val="0"/>
        <w:vanish w:val="0"/>
        <w:spacing w:val="0"/>
        <w:position w:val="0"/>
        <w:u w:val="none"/>
        <w:vertAlign w:val="baseline"/>
        <w14:shadow w14:blurRad="0" w14:dist="0" w14:dir="0" w14:sx="100000" w14:sy="100000" w14:kx="0" w14:ky="0" w14:algn="none">
          <w14:srgbClr w14:val="808080"/>
        </w14:shadow>
        <w14:ligatures w14:val="none"/>
        <w14:numForm w14:val="default"/>
        <w14:numSpacing w14:val="default"/>
        <w14:cntxtalts/>
      </w:rPr>
    </w:lvl>
    <w:lvl w:ilvl="4" w:tentative="0">
      <w:start w:val="1"/>
      <w:numFmt w:val="lowerLetter"/>
      <w:lvlText w:val="%5)"/>
      <w:lvlJc w:val="left"/>
      <w:pPr>
        <w:ind w:left="3381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3801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4221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4641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5061" w:hanging="420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stylePaneFormatFilter w:val="1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3D5D2CA3"/>
    <w:rsid w:val="52DB1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1" w:lineRule="auto"/>
      <w:jc w:val="both"/>
    </w:pPr>
    <w:rPr>
      <w:rFonts w:ascii="Calibri" w:hAnsi="Calibri" w:eastAsia="宋体" w:cs="宋体"/>
      <w:kern w:val="2"/>
      <w:sz w:val="22"/>
      <w:szCs w:val="22"/>
      <w:lang w:val="en-US" w:eastAsia="zh-CN" w:bidi="ar-SA"/>
    </w:rPr>
  </w:style>
  <w:style w:type="paragraph" w:styleId="2">
    <w:name w:val="heading 2"/>
    <w:basedOn w:val="1"/>
    <w:next w:val="1"/>
    <w:link w:val="16"/>
    <w:qFormat/>
    <w:uiPriority w:val="9"/>
    <w:pPr>
      <w:keepNext/>
      <w:keepLines/>
      <w:spacing w:before="260" w:after="260" w:line="416" w:lineRule="auto"/>
      <w:outlineLvl w:val="1"/>
    </w:pPr>
    <w:rPr>
      <w:rFonts w:ascii="Calibri Light" w:hAnsi="Calibri Light" w:eastAsia="宋体" w:cs="宋体"/>
      <w:b/>
      <w:bCs/>
      <w:sz w:val="32"/>
      <w:szCs w:val="32"/>
    </w:rPr>
  </w:style>
  <w:style w:type="paragraph" w:styleId="3">
    <w:name w:val="heading 3"/>
    <w:basedOn w:val="1"/>
    <w:next w:val="1"/>
    <w:link w:val="30"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1"/>
    <w:next w:val="1"/>
    <w:link w:val="36"/>
    <w:qFormat/>
    <w:uiPriority w:val="9"/>
    <w:pPr>
      <w:keepNext/>
      <w:keepLines/>
      <w:spacing w:before="280" w:after="290" w:line="376" w:lineRule="auto"/>
      <w:outlineLvl w:val="3"/>
    </w:pPr>
    <w:rPr>
      <w:rFonts w:ascii="Calibri Light" w:hAnsi="Calibri Light" w:eastAsia="宋体" w:cs="宋体"/>
      <w:b/>
      <w:bCs/>
      <w:sz w:val="28"/>
      <w:szCs w:val="28"/>
    </w:rPr>
  </w:style>
  <w:style w:type="character" w:default="1" w:styleId="8">
    <w:name w:val="Default Paragraph Font"/>
    <w:uiPriority w:val="1"/>
  </w:style>
  <w:style w:type="table" w:default="1" w:styleId="7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44"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6">
    <w:name w:val="header"/>
    <w:basedOn w:val="1"/>
    <w:link w:val="4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customStyle="1" w:styleId="9">
    <w:name w:val="0616a"/>
    <w:basedOn w:val="1"/>
    <w:next w:val="1"/>
    <w:link w:val="10"/>
    <w:qFormat/>
    <w:uiPriority w:val="0"/>
    <w:pPr>
      <w:widowControl w:val="0"/>
      <w:numPr>
        <w:ilvl w:val="0"/>
        <w:numId w:val="1"/>
      </w:numPr>
      <w:tabs>
        <w:tab w:val="left" w:pos="2127"/>
      </w:tabs>
      <w:spacing w:before="50" w:beforeLines="50" w:after="0" w:line="360" w:lineRule="auto"/>
      <w:ind w:left="1701" w:right="100" w:rightChars="100" w:hanging="420"/>
    </w:pPr>
    <w:rPr>
      <w:sz w:val="28"/>
      <w:szCs w:val="24"/>
    </w:rPr>
  </w:style>
  <w:style w:type="character" w:customStyle="1" w:styleId="10">
    <w:name w:val="0616a Char"/>
    <w:basedOn w:val="8"/>
    <w:link w:val="9"/>
    <w:qFormat/>
    <w:uiPriority w:val="0"/>
    <w:rPr>
      <w:sz w:val="28"/>
      <w:szCs w:val="24"/>
    </w:rPr>
  </w:style>
  <w:style w:type="paragraph" w:customStyle="1" w:styleId="11">
    <w:name w:val="0616a编号后的正文--样式2"/>
    <w:basedOn w:val="1"/>
    <w:link w:val="12"/>
    <w:qFormat/>
    <w:uiPriority w:val="0"/>
    <w:pPr>
      <w:widowControl w:val="0"/>
      <w:spacing w:after="0" w:line="240" w:lineRule="auto"/>
      <w:ind w:left="1413" w:leftChars="673" w:firstLine="428" w:firstLineChars="153"/>
      <w:jc w:val="left"/>
    </w:pPr>
    <w:rPr>
      <w:rFonts w:ascii="Times New Roman" w:hAnsi="Times New Roman" w:eastAsia="宋体" w:cs="Times New Roman"/>
      <w:color w:val="000000"/>
      <w:sz w:val="28"/>
      <w:szCs w:val="24"/>
    </w:rPr>
  </w:style>
  <w:style w:type="character" w:customStyle="1" w:styleId="12">
    <w:name w:val="0616a编号后的正文--样式2 Char"/>
    <w:basedOn w:val="8"/>
    <w:link w:val="11"/>
    <w:qFormat/>
    <w:uiPriority w:val="0"/>
    <w:rPr>
      <w:rFonts w:ascii="Times New Roman" w:hAnsi="Times New Roman" w:eastAsia="宋体" w:cs="Times New Roman"/>
      <w:color w:val="000000"/>
      <w:sz w:val="28"/>
      <w:szCs w:val="24"/>
    </w:rPr>
  </w:style>
  <w:style w:type="paragraph" w:customStyle="1" w:styleId="13">
    <w:name w:val="cx仅一个记录表"/>
    <w:basedOn w:val="1"/>
    <w:link w:val="14"/>
    <w:qFormat/>
    <w:uiPriority w:val="0"/>
    <w:pPr>
      <w:widowControl w:val="0"/>
      <w:spacing w:after="0" w:line="480" w:lineRule="auto"/>
      <w:ind w:left="1418" w:leftChars="675" w:firstLine="566" w:firstLineChars="202"/>
    </w:pPr>
    <w:rPr>
      <w:rFonts w:ascii="宋体" w:hAnsi="宋体" w:cs="Times New Roman"/>
      <w:color w:val="000000"/>
      <w:sz w:val="28"/>
      <w:szCs w:val="28"/>
    </w:rPr>
  </w:style>
  <w:style w:type="character" w:customStyle="1" w:styleId="14">
    <w:name w:val="cx仅一个记录表 Char"/>
    <w:basedOn w:val="8"/>
    <w:link w:val="13"/>
    <w:qFormat/>
    <w:uiPriority w:val="0"/>
    <w:rPr>
      <w:rFonts w:ascii="宋体" w:hAnsi="宋体" w:cs="Times New Roman"/>
      <w:color w:val="000000"/>
      <w:sz w:val="28"/>
      <w:szCs w:val="28"/>
    </w:rPr>
  </w:style>
  <w:style w:type="paragraph" w:customStyle="1" w:styleId="15">
    <w:name w:val="Aa一标"/>
    <w:basedOn w:val="2"/>
    <w:qFormat/>
    <w:uiPriority w:val="0"/>
    <w:pPr>
      <w:widowControl w:val="0"/>
      <w:numPr>
        <w:ilvl w:val="0"/>
        <w:numId w:val="2"/>
      </w:numPr>
      <w:spacing w:before="0" w:after="0" w:line="480" w:lineRule="auto"/>
    </w:pPr>
    <w:rPr>
      <w:rFonts w:ascii="宋体" w:hAnsi="宋体" w:cs="宋体"/>
      <w:szCs w:val="20"/>
    </w:rPr>
  </w:style>
  <w:style w:type="character" w:customStyle="1" w:styleId="16">
    <w:name w:val="标题 2 Char"/>
    <w:basedOn w:val="8"/>
    <w:link w:val="2"/>
    <w:qFormat/>
    <w:uiPriority w:val="9"/>
    <w:rPr>
      <w:rFonts w:ascii="Calibri Light" w:hAnsi="Calibri Light" w:eastAsia="宋体" w:cs="宋体"/>
      <w:b/>
      <w:bCs/>
      <w:sz w:val="32"/>
      <w:szCs w:val="32"/>
    </w:rPr>
  </w:style>
  <w:style w:type="paragraph" w:customStyle="1" w:styleId="17">
    <w:name w:val="Ab正文一标"/>
    <w:basedOn w:val="1"/>
    <w:link w:val="18"/>
    <w:qFormat/>
    <w:uiPriority w:val="0"/>
    <w:pPr>
      <w:widowControl w:val="0"/>
      <w:spacing w:after="0" w:line="480" w:lineRule="auto"/>
      <w:ind w:firstLine="200" w:firstLineChars="200"/>
      <w:jc w:val="left"/>
    </w:pPr>
    <w:rPr>
      <w:rFonts w:ascii="宋体" w:hAnsi="宋体" w:cs="Times New Roman"/>
      <w:color w:val="000000"/>
      <w:sz w:val="28"/>
      <w:szCs w:val="28"/>
    </w:rPr>
  </w:style>
  <w:style w:type="character" w:customStyle="1" w:styleId="18">
    <w:name w:val="Ab正文一标 Char"/>
    <w:basedOn w:val="8"/>
    <w:link w:val="17"/>
    <w:qFormat/>
    <w:uiPriority w:val="0"/>
    <w:rPr>
      <w:rFonts w:ascii="宋体" w:hAnsi="宋体" w:cs="Times New Roman"/>
      <w:color w:val="000000"/>
      <w:sz w:val="28"/>
      <w:szCs w:val="28"/>
    </w:rPr>
  </w:style>
  <w:style w:type="paragraph" w:customStyle="1" w:styleId="19">
    <w:name w:val="Ac72样式一标"/>
    <w:basedOn w:val="20"/>
    <w:link w:val="21"/>
    <w:qFormat/>
    <w:uiPriority w:val="0"/>
    <w:pPr>
      <w:widowControl w:val="0"/>
      <w:numPr>
        <w:ilvl w:val="0"/>
        <w:numId w:val="3"/>
      </w:numPr>
      <w:spacing w:after="0" w:line="240" w:lineRule="auto"/>
      <w:ind w:firstLine="0" w:firstLineChars="0"/>
    </w:pPr>
    <w:rPr>
      <w:rFonts w:ascii="Times New Roman" w:hAnsi="Times New Roman" w:eastAsia="宋体" w:cs="Times New Roman"/>
      <w:sz w:val="28"/>
      <w:szCs w:val="24"/>
    </w:rPr>
  </w:style>
  <w:style w:type="paragraph" w:styleId="20">
    <w:name w:val="List Paragraph"/>
    <w:basedOn w:val="1"/>
    <w:qFormat/>
    <w:uiPriority w:val="34"/>
    <w:pPr>
      <w:ind w:firstLine="420" w:firstLineChars="200"/>
    </w:pPr>
  </w:style>
  <w:style w:type="character" w:customStyle="1" w:styleId="21">
    <w:name w:val="Ac72样式一标 Char"/>
    <w:basedOn w:val="8"/>
    <w:link w:val="19"/>
    <w:qFormat/>
    <w:uiPriority w:val="0"/>
    <w:rPr>
      <w:rFonts w:ascii="Times New Roman" w:hAnsi="Times New Roman" w:eastAsia="宋体" w:cs="Times New Roman"/>
      <w:sz w:val="28"/>
      <w:szCs w:val="24"/>
    </w:rPr>
  </w:style>
  <w:style w:type="paragraph" w:customStyle="1" w:styleId="22">
    <w:name w:val="Ac7编号一标"/>
    <w:link w:val="23"/>
    <w:qFormat/>
    <w:uiPriority w:val="0"/>
    <w:pPr>
      <w:spacing w:after="0" w:line="240" w:lineRule="auto"/>
      <w:ind w:firstLine="1474"/>
      <w:jc w:val="left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customStyle="1" w:styleId="23">
    <w:name w:val="Ac7编号一标 Char"/>
    <w:basedOn w:val="8"/>
    <w:link w:val="22"/>
    <w:qFormat/>
    <w:uiPriority w:val="0"/>
    <w:rPr>
      <w:rFonts w:ascii="Times New Roman" w:hAnsi="Times New Roman" w:eastAsia="宋体" w:cs="Times New Roman"/>
      <w:sz w:val="28"/>
      <w:szCs w:val="24"/>
    </w:rPr>
  </w:style>
  <w:style w:type="paragraph" w:customStyle="1" w:styleId="24">
    <w:name w:val="Acb正文_Ac编号一标"/>
    <w:basedOn w:val="1"/>
    <w:link w:val="25"/>
    <w:qFormat/>
    <w:uiPriority w:val="0"/>
    <w:pPr>
      <w:widowControl w:val="0"/>
      <w:spacing w:after="0" w:line="480" w:lineRule="auto"/>
      <w:ind w:firstLine="560" w:firstLineChars="200"/>
      <w:jc w:val="left"/>
    </w:pPr>
    <w:rPr>
      <w:rFonts w:ascii="Times New Roman" w:hAnsi="Times New Roman" w:eastAsia="宋体" w:cs="宋体"/>
      <w:color w:val="000000"/>
      <w:sz w:val="28"/>
      <w:szCs w:val="20"/>
    </w:rPr>
  </w:style>
  <w:style w:type="character" w:customStyle="1" w:styleId="25">
    <w:name w:val="Acb正文_Ac编号一标 Char"/>
    <w:basedOn w:val="8"/>
    <w:link w:val="24"/>
    <w:qFormat/>
    <w:uiPriority w:val="0"/>
    <w:rPr>
      <w:rFonts w:ascii="Times New Roman" w:hAnsi="Times New Roman" w:eastAsia="宋体" w:cs="宋体"/>
      <w:color w:val="000000"/>
      <w:sz w:val="28"/>
      <w:szCs w:val="20"/>
    </w:rPr>
  </w:style>
  <w:style w:type="paragraph" w:customStyle="1" w:styleId="26">
    <w:name w:val="Ac编号一标"/>
    <w:link w:val="27"/>
    <w:qFormat/>
    <w:uiPriority w:val="0"/>
    <w:pPr>
      <w:numPr>
        <w:ilvl w:val="0"/>
        <w:numId w:val="4"/>
      </w:numPr>
      <w:spacing w:after="0" w:line="240" w:lineRule="auto"/>
      <w:jc w:val="left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customStyle="1" w:styleId="27">
    <w:name w:val="Ac编号一标 Char"/>
    <w:basedOn w:val="8"/>
    <w:link w:val="26"/>
    <w:qFormat/>
    <w:uiPriority w:val="0"/>
    <w:rPr>
      <w:rFonts w:ascii="Times New Roman" w:hAnsi="Times New Roman" w:eastAsia="宋体" w:cs="Times New Roman"/>
      <w:sz w:val="28"/>
      <w:szCs w:val="24"/>
    </w:rPr>
  </w:style>
  <w:style w:type="paragraph" w:customStyle="1" w:styleId="28">
    <w:name w:val="Ba二标"/>
    <w:basedOn w:val="3"/>
    <w:link w:val="29"/>
    <w:qFormat/>
    <w:uiPriority w:val="0"/>
    <w:pPr>
      <w:widowControl w:val="0"/>
      <w:numPr>
        <w:ilvl w:val="1"/>
        <w:numId w:val="2"/>
      </w:numPr>
      <w:spacing w:before="0" w:after="0" w:line="480" w:lineRule="auto"/>
    </w:pPr>
    <w:rPr>
      <w:rFonts w:ascii="宋体" w:hAnsi="Times New Roman" w:eastAsia="宋体" w:cs="Times New Roman"/>
      <w:sz w:val="30"/>
    </w:rPr>
  </w:style>
  <w:style w:type="character" w:customStyle="1" w:styleId="29">
    <w:name w:val="Ba二标 Char"/>
    <w:basedOn w:val="30"/>
    <w:link w:val="28"/>
    <w:qFormat/>
    <w:uiPriority w:val="0"/>
    <w:rPr>
      <w:rFonts w:ascii="宋体" w:hAnsi="Times New Roman" w:eastAsia="宋体" w:cs="Times New Roman"/>
      <w:sz w:val="30"/>
      <w:szCs w:val="32"/>
    </w:rPr>
  </w:style>
  <w:style w:type="character" w:customStyle="1" w:styleId="30">
    <w:name w:val="标题 3 Char"/>
    <w:basedOn w:val="8"/>
    <w:link w:val="3"/>
    <w:qFormat/>
    <w:uiPriority w:val="9"/>
    <w:rPr>
      <w:b/>
      <w:bCs/>
      <w:sz w:val="32"/>
      <w:szCs w:val="32"/>
    </w:rPr>
  </w:style>
  <w:style w:type="paragraph" w:customStyle="1" w:styleId="31">
    <w:name w:val="Bb正文_二标"/>
    <w:basedOn w:val="17"/>
    <w:link w:val="32"/>
    <w:qFormat/>
    <w:uiPriority w:val="0"/>
  </w:style>
  <w:style w:type="character" w:customStyle="1" w:styleId="32">
    <w:name w:val="Bb正文_二标 Char"/>
    <w:basedOn w:val="18"/>
    <w:link w:val="31"/>
    <w:qFormat/>
    <w:uiPriority w:val="0"/>
    <w:rPr>
      <w:rFonts w:ascii="宋体" w:hAnsi="宋体" w:cs="Times New Roman"/>
      <w:color w:val="000000"/>
      <w:sz w:val="28"/>
      <w:szCs w:val="28"/>
    </w:rPr>
  </w:style>
  <w:style w:type="paragraph" w:customStyle="1" w:styleId="33">
    <w:name w:val="Bc编号_二标"/>
    <w:basedOn w:val="1"/>
    <w:link w:val="34"/>
    <w:qFormat/>
    <w:uiPriority w:val="0"/>
    <w:pPr>
      <w:widowControl w:val="0"/>
      <w:numPr>
        <w:ilvl w:val="3"/>
        <w:numId w:val="5"/>
      </w:numPr>
      <w:spacing w:after="0" w:line="480" w:lineRule="auto"/>
    </w:pPr>
    <w:rPr>
      <w:rFonts w:ascii="Times New Roman" w:hAnsi="Times New Roman" w:eastAsia="宋体" w:cs="Times New Roman"/>
      <w:sz w:val="28"/>
      <w:szCs w:val="24"/>
    </w:rPr>
  </w:style>
  <w:style w:type="character" w:customStyle="1" w:styleId="34">
    <w:name w:val="Bc编号_二标 Char"/>
    <w:basedOn w:val="8"/>
    <w:link w:val="33"/>
    <w:qFormat/>
    <w:uiPriority w:val="0"/>
    <w:rPr>
      <w:rFonts w:ascii="Times New Roman" w:hAnsi="Times New Roman" w:eastAsia="宋体" w:cs="Times New Roman"/>
      <w:sz w:val="28"/>
      <w:szCs w:val="24"/>
    </w:rPr>
  </w:style>
  <w:style w:type="paragraph" w:customStyle="1" w:styleId="35">
    <w:name w:val="Ca三标"/>
    <w:basedOn w:val="4"/>
    <w:qFormat/>
    <w:uiPriority w:val="0"/>
    <w:pPr>
      <w:widowControl w:val="0"/>
      <w:numPr>
        <w:ilvl w:val="2"/>
        <w:numId w:val="2"/>
      </w:numPr>
      <w:spacing w:before="0" w:after="0" w:line="480" w:lineRule="auto"/>
    </w:pPr>
    <w:rPr>
      <w:rFonts w:ascii="Times New Roman" w:hAnsi="Times New Roman" w:cs="Times New Roman"/>
      <w:szCs w:val="20"/>
    </w:rPr>
  </w:style>
  <w:style w:type="character" w:customStyle="1" w:styleId="36">
    <w:name w:val="标题 4 Char"/>
    <w:basedOn w:val="8"/>
    <w:link w:val="4"/>
    <w:qFormat/>
    <w:uiPriority w:val="9"/>
    <w:rPr>
      <w:rFonts w:ascii="Calibri Light" w:hAnsi="Calibri Light" w:eastAsia="宋体" w:cs="宋体"/>
      <w:b/>
      <w:bCs/>
      <w:sz w:val="28"/>
      <w:szCs w:val="28"/>
    </w:rPr>
  </w:style>
  <w:style w:type="paragraph" w:customStyle="1" w:styleId="37">
    <w:name w:val="Cb正文_三标"/>
    <w:basedOn w:val="24"/>
    <w:link w:val="38"/>
    <w:qFormat/>
    <w:uiPriority w:val="0"/>
    <w:pPr>
      <w:ind w:left="850" w:leftChars="405" w:firstLine="588" w:firstLineChars="210"/>
    </w:pPr>
  </w:style>
  <w:style w:type="character" w:customStyle="1" w:styleId="38">
    <w:name w:val="Cb正文_三标 Char"/>
    <w:basedOn w:val="25"/>
    <w:link w:val="37"/>
    <w:qFormat/>
    <w:uiPriority w:val="0"/>
    <w:rPr>
      <w:rFonts w:ascii="Times New Roman" w:hAnsi="Times New Roman" w:eastAsia="宋体" w:cs="宋体"/>
      <w:color w:val="000000"/>
      <w:sz w:val="28"/>
      <w:szCs w:val="20"/>
    </w:rPr>
  </w:style>
  <w:style w:type="character" w:customStyle="1" w:styleId="39">
    <w:name w:val="ea封面_带框标识"/>
    <w:basedOn w:val="8"/>
    <w:qFormat/>
    <w:uiPriority w:val="0"/>
    <w:rPr>
      <w:rFonts w:ascii="仿宋" w:hAnsi="仿宋" w:eastAsia="仿宋"/>
      <w:color w:val="000000"/>
      <w:sz w:val="36"/>
      <w:bdr w:val="single" w:color="auto" w:sz="4" w:space="0"/>
    </w:rPr>
  </w:style>
  <w:style w:type="character" w:customStyle="1" w:styleId="40">
    <w:name w:val="eb正文_重要标志"/>
    <w:basedOn w:val="8"/>
    <w:qFormat/>
    <w:uiPriority w:val="1"/>
    <w:rPr>
      <w:rFonts w:ascii="仿宋" w:hAnsi="仿宋" w:eastAsia="仿宋"/>
      <w:bdr w:val="single" w:color="auto" w:sz="4" w:space="0"/>
    </w:rPr>
  </w:style>
  <w:style w:type="paragraph" w:customStyle="1" w:styleId="41">
    <w:name w:val="Cc编号_三标"/>
    <w:basedOn w:val="1"/>
    <w:link w:val="42"/>
    <w:qFormat/>
    <w:uiPriority w:val="0"/>
    <w:pPr>
      <w:widowControl w:val="0"/>
      <w:numPr>
        <w:ilvl w:val="3"/>
        <w:numId w:val="2"/>
      </w:numPr>
      <w:spacing w:after="0" w:line="480" w:lineRule="auto"/>
      <w:ind w:right="210" w:rightChars="100"/>
    </w:pPr>
    <w:rPr>
      <w:rFonts w:ascii="Times New Roman" w:hAnsi="Times New Roman" w:eastAsia="宋体" w:cs="Times New Roman"/>
      <w:sz w:val="28"/>
      <w:szCs w:val="24"/>
    </w:rPr>
  </w:style>
  <w:style w:type="character" w:customStyle="1" w:styleId="42">
    <w:name w:val="Cc编号_三标 Char"/>
    <w:basedOn w:val="8"/>
    <w:link w:val="41"/>
    <w:qFormat/>
    <w:uiPriority w:val="0"/>
    <w:rPr>
      <w:rFonts w:ascii="Times New Roman" w:hAnsi="Times New Roman" w:eastAsia="宋体" w:cs="Times New Roman"/>
      <w:sz w:val="28"/>
      <w:szCs w:val="24"/>
    </w:rPr>
  </w:style>
  <w:style w:type="character" w:customStyle="1" w:styleId="43">
    <w:name w:val="页眉 Char"/>
    <w:basedOn w:val="8"/>
    <w:link w:val="6"/>
    <w:qFormat/>
    <w:uiPriority w:val="99"/>
    <w:rPr>
      <w:sz w:val="18"/>
      <w:szCs w:val="18"/>
    </w:rPr>
  </w:style>
  <w:style w:type="character" w:customStyle="1" w:styleId="44">
    <w:name w:val="页脚 Char"/>
    <w:basedOn w:val="8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DH</Company>
  <Pages>1</Pages>
  <Words>614</Words>
  <Characters>660</Characters>
  <Paragraphs>50</Paragraphs>
  <TotalTime>3</TotalTime>
  <ScaleCrop>false</ScaleCrop>
  <LinksUpToDate>false</LinksUpToDate>
  <CharactersWithSpaces>660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2025-11-24T08:58:00Z</dcterms:created>
  <dc:creator>WangQing</dc:creator>
  <cp:lastModifiedBy>SLZX</cp:lastModifiedBy>
  <dcterms:modified xsi:type="dcterms:W3CDTF">2025-11-25T07:24:41Z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faddf9ccd3d14b0fbb82678f0e0ab731_22</vt:lpwstr>
  </property>
  <property fmtid="{D5CDD505-2E9C-101B-9397-08002B2CF9AE}" pid="3" name="KSOProductBuildVer">
    <vt:lpwstr>2052-11.1.0.10495</vt:lpwstr>
  </property>
</Properties>
</file>