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31145B">
      <w:pPr>
        <w:pStyle w:val="4"/>
        <w:spacing w:line="480" w:lineRule="exact"/>
        <w:ind w:firstLine="643"/>
        <w:jc w:val="center"/>
        <w:rPr>
          <w:rFonts w:hint="eastAsia" w:ascii="黑体" w:hAnsi="黑体" w:eastAsia="黑体"/>
        </w:rPr>
      </w:pPr>
      <w:r>
        <w:rPr>
          <w:rFonts w:hint="eastAsia" w:ascii="黑体" w:hAnsi="黑体" w:eastAsia="黑体"/>
        </w:rPr>
        <w:t>同步辐射原位成像模块试制技术要求书</w:t>
      </w:r>
    </w:p>
    <w:p w14:paraId="7CE6A9F7">
      <w:pPr>
        <w:pStyle w:val="2"/>
        <w:spacing w:line="480" w:lineRule="exact"/>
        <w:rPr>
          <w:rFonts w:hint="eastAsia"/>
        </w:rPr>
      </w:pPr>
      <w:r>
        <w:rPr>
          <w:rFonts w:hint="eastAsia"/>
        </w:rPr>
        <w:t>1. 总则</w:t>
      </w:r>
    </w:p>
    <w:p w14:paraId="381370CD">
      <w:pPr>
        <w:spacing w:line="480" w:lineRule="exact"/>
        <w:rPr>
          <w:rFonts w:hint="eastAsia" w:ascii="仿宋" w:hAnsi="仿宋"/>
        </w:rPr>
      </w:pPr>
      <w:r>
        <w:rPr>
          <w:rFonts w:hint="eastAsia" w:ascii="仿宋" w:hAnsi="仿宋"/>
        </w:rPr>
        <w:t xml:space="preserve">1.1 </w:t>
      </w:r>
      <w:r>
        <w:rPr>
          <w:rFonts w:hint="eastAsia"/>
        </w:rPr>
        <w:t>本技术规格书适用于石墨原位成像模块及辅助系统的采购说明。</w:t>
      </w:r>
    </w:p>
    <w:p w14:paraId="5CDB3CEA">
      <w:pPr>
        <w:spacing w:line="480" w:lineRule="exact"/>
        <w:rPr>
          <w:rFonts w:hint="eastAsia" w:ascii="仿宋" w:hAnsi="仿宋"/>
        </w:rPr>
      </w:pPr>
      <w:r>
        <w:rPr>
          <w:rFonts w:hint="eastAsia" w:ascii="仿宋" w:hAnsi="仿宋"/>
        </w:rPr>
        <w:t xml:space="preserve">1.2 </w:t>
      </w:r>
      <w:r>
        <w:rPr>
          <w:rFonts w:hint="eastAsia"/>
        </w:rPr>
        <w:t>本技术规格书提出的是最低限度的技术要求，未规定所有的技术要求和适用的标准。</w:t>
      </w:r>
    </w:p>
    <w:p w14:paraId="61BCD20B">
      <w:pPr>
        <w:spacing w:line="480" w:lineRule="exact"/>
        <w:rPr>
          <w:rFonts w:hint="eastAsia" w:ascii="仿宋" w:hAnsi="仿宋"/>
        </w:rPr>
      </w:pPr>
      <w:r>
        <w:rPr>
          <w:rFonts w:hint="eastAsia" w:ascii="仿宋" w:hAnsi="仿宋"/>
        </w:rPr>
        <w:t xml:space="preserve">1.3 </w:t>
      </w:r>
      <w:r>
        <w:rPr>
          <w:rFonts w:hint="eastAsia"/>
        </w:rPr>
        <w:t>投标人必须将偏差清楚地表示在</w:t>
      </w:r>
      <w:r>
        <w:rPr>
          <w:rFonts w:hint="eastAsia" w:ascii="仿宋" w:hAnsi="仿宋" w:eastAsia="仿宋"/>
        </w:rPr>
        <w:t>“</w:t>
      </w:r>
      <w:r>
        <w:rPr>
          <w:rFonts w:hint="eastAsia"/>
        </w:rPr>
        <w:t>技术偏差表</w:t>
      </w:r>
      <w:r>
        <w:rPr>
          <w:rFonts w:hint="eastAsia" w:ascii="仿宋" w:hAnsi="仿宋" w:eastAsia="仿宋"/>
        </w:rPr>
        <w:t>”</w:t>
      </w:r>
      <w:r>
        <w:rPr>
          <w:rFonts w:hint="eastAsia"/>
        </w:rPr>
        <w:t>中，如未对本技术规格书提出偏差，将认为提供的设备符合本技术要求。</w:t>
      </w:r>
    </w:p>
    <w:p w14:paraId="23D2E590">
      <w:pPr>
        <w:pStyle w:val="2"/>
        <w:spacing w:line="480" w:lineRule="exact"/>
        <w:rPr>
          <w:rFonts w:hint="eastAsia"/>
        </w:rPr>
      </w:pPr>
      <w:r>
        <w:rPr>
          <w:rFonts w:hint="eastAsia"/>
        </w:rPr>
        <w:t>2. 引用文件和执行标准</w:t>
      </w:r>
    </w:p>
    <w:p w14:paraId="6CBD7890">
      <w:pPr>
        <w:spacing w:line="480" w:lineRule="exact"/>
        <w:rPr>
          <w:rFonts w:hint="eastAsia" w:ascii="仿宋" w:hAnsi="仿宋"/>
        </w:rPr>
      </w:pPr>
      <w:r>
        <w:rPr>
          <w:rFonts w:hint="eastAsia"/>
        </w:rPr>
        <w:t>系统设备的设计、制造、安装、实验、检测、包装应按以下标准执行。</w:t>
      </w:r>
    </w:p>
    <w:p w14:paraId="5EA847E0">
      <w:pPr>
        <w:spacing w:line="480" w:lineRule="exact"/>
        <w:rPr>
          <w:rFonts w:hint="eastAsia"/>
        </w:rPr>
      </w:pPr>
      <w:r>
        <w:rPr>
          <w:rFonts w:hint="eastAsia"/>
        </w:rPr>
        <w:t>GB 50231</w:t>
      </w:r>
      <w:r>
        <w:rPr>
          <w:rFonts w:hint="eastAsia"/>
        </w:rPr>
        <w:tab/>
      </w:r>
      <w:r>
        <w:rPr>
          <w:rFonts w:hint="eastAsia"/>
        </w:rPr>
        <w:t xml:space="preserve">   机械设备安装工程施工及验收通用规范</w:t>
      </w:r>
    </w:p>
    <w:p w14:paraId="78DA56CE">
      <w:pPr>
        <w:spacing w:line="480" w:lineRule="exact"/>
        <w:rPr>
          <w:rFonts w:hint="eastAsia"/>
        </w:rPr>
      </w:pPr>
      <w:r>
        <w:rPr>
          <w:rFonts w:hint="eastAsia"/>
        </w:rPr>
        <w:t>GB 50235</w:t>
      </w:r>
      <w:r>
        <w:rPr>
          <w:rFonts w:hint="eastAsia"/>
        </w:rPr>
        <w:tab/>
      </w:r>
      <w:r>
        <w:rPr>
          <w:rFonts w:hint="eastAsia"/>
        </w:rPr>
        <w:t xml:space="preserve">   工业金属管道工程施工规范</w:t>
      </w:r>
    </w:p>
    <w:p w14:paraId="6B411565">
      <w:pPr>
        <w:spacing w:line="480" w:lineRule="exact"/>
        <w:rPr>
          <w:rFonts w:hint="eastAsia"/>
        </w:rPr>
      </w:pPr>
      <w:r>
        <w:rPr>
          <w:rFonts w:hint="eastAsia"/>
        </w:rPr>
        <w:t>GB 50236</w:t>
      </w:r>
      <w:r>
        <w:rPr>
          <w:rFonts w:hint="eastAsia"/>
        </w:rPr>
        <w:tab/>
      </w:r>
      <w:r>
        <w:rPr>
          <w:rFonts w:hint="eastAsia"/>
        </w:rPr>
        <w:t xml:space="preserve">   现场设备、工业管道焊接工程施工规范</w:t>
      </w:r>
    </w:p>
    <w:p w14:paraId="3ADEA792">
      <w:pPr>
        <w:spacing w:line="480" w:lineRule="exact"/>
        <w:rPr>
          <w:rFonts w:hint="eastAsia" w:ascii="仿宋" w:hAnsi="仿宋"/>
        </w:rPr>
      </w:pPr>
      <w:r>
        <w:rPr>
          <w:rFonts w:hint="eastAsia"/>
        </w:rPr>
        <w:t>EJ/T 1096</w:t>
      </w:r>
      <w:r>
        <w:rPr>
          <w:rFonts w:hint="eastAsia"/>
        </w:rPr>
        <w:tab/>
      </w:r>
      <w:r>
        <w:rPr>
          <w:rFonts w:hint="eastAsia"/>
        </w:rPr>
        <w:t xml:space="preserve">   密封箱室密封性分级及其检验方法</w:t>
      </w:r>
    </w:p>
    <w:p w14:paraId="0ACF6AD4">
      <w:pPr>
        <w:spacing w:line="480" w:lineRule="exact"/>
        <w:rPr>
          <w:rFonts w:hint="eastAsia" w:ascii="仿宋" w:hAnsi="仿宋"/>
        </w:rPr>
      </w:pPr>
      <w:r>
        <w:rPr>
          <w:rFonts w:hint="eastAsia" w:ascii="仿宋" w:hAnsi="仿宋" w:eastAsia="仿宋"/>
        </w:rPr>
        <w:t>JB/T 106</w:t>
      </w:r>
      <w:r>
        <w:rPr>
          <w:rFonts w:hint="eastAsia" w:ascii="仿宋" w:hAnsi="仿宋"/>
        </w:rPr>
        <w:tab/>
      </w:r>
      <w:r>
        <w:rPr>
          <w:rFonts w:hint="eastAsia" w:ascii="仿宋" w:hAnsi="仿宋"/>
        </w:rPr>
        <w:t xml:space="preserve">   </w:t>
      </w:r>
      <w:r>
        <w:rPr>
          <w:rFonts w:hint="eastAsia"/>
        </w:rPr>
        <w:t>阀门的标志和涂漆</w:t>
      </w:r>
    </w:p>
    <w:p w14:paraId="5241F1E0">
      <w:pPr>
        <w:spacing w:line="480" w:lineRule="exact"/>
        <w:rPr>
          <w:rFonts w:hint="eastAsia" w:ascii="仿宋" w:hAnsi="仿宋"/>
        </w:rPr>
      </w:pPr>
      <w:r>
        <w:rPr>
          <w:rFonts w:hint="eastAsia" w:ascii="仿宋" w:hAnsi="仿宋" w:eastAsia="仿宋"/>
        </w:rPr>
        <w:t xml:space="preserve">JB/T 9092 </w:t>
      </w:r>
      <w:r>
        <w:rPr>
          <w:rFonts w:hint="eastAsia" w:ascii="仿宋" w:hAnsi="仿宋"/>
        </w:rPr>
        <w:tab/>
      </w:r>
      <w:r>
        <w:rPr>
          <w:rFonts w:hint="eastAsia"/>
        </w:rPr>
        <w:t>阀门的检验与试验</w:t>
      </w:r>
    </w:p>
    <w:p w14:paraId="46E8F451">
      <w:pPr>
        <w:pStyle w:val="2"/>
        <w:spacing w:line="480" w:lineRule="exact"/>
        <w:rPr>
          <w:rFonts w:hint="eastAsia"/>
        </w:rPr>
      </w:pPr>
      <w:r>
        <w:rPr>
          <w:rFonts w:hint="eastAsia"/>
        </w:rPr>
        <w:t>3. 设备工作环境及操作参数</w:t>
      </w:r>
    </w:p>
    <w:p w14:paraId="71F1AE60">
      <w:pPr>
        <w:spacing w:line="480" w:lineRule="exact"/>
        <w:rPr>
          <w:rFonts w:hint="eastAsia" w:ascii="仿宋" w:hAnsi="仿宋"/>
        </w:rPr>
      </w:pPr>
      <w:r>
        <w:rPr>
          <w:rFonts w:hint="eastAsia" w:ascii="仿宋" w:hAnsi="仿宋"/>
        </w:rPr>
        <w:t xml:space="preserve">3.1 </w:t>
      </w:r>
      <w:r>
        <w:rPr>
          <w:rFonts w:hint="eastAsia"/>
        </w:rPr>
        <w:t>场地空间0.5</w:t>
      </w:r>
      <w:r>
        <w:t>*</w:t>
      </w:r>
      <w:r>
        <w:rPr>
          <w:rFonts w:hint="eastAsia"/>
        </w:rPr>
        <w:t>0.5</w:t>
      </w:r>
      <w:r>
        <w:t>m*</w:t>
      </w:r>
      <w:r>
        <w:rPr>
          <w:rFonts w:hint="eastAsia"/>
        </w:rPr>
        <w:t>0.5</w:t>
      </w:r>
      <w:r>
        <w:t>m</w:t>
      </w:r>
      <w:r>
        <w:rPr>
          <w:rFonts w:hint="eastAsia"/>
        </w:rPr>
        <w:t>；</w:t>
      </w:r>
    </w:p>
    <w:p w14:paraId="5FBB88BE">
      <w:pPr>
        <w:spacing w:line="480" w:lineRule="exact"/>
        <w:rPr>
          <w:rFonts w:hint="eastAsia" w:ascii="仿宋" w:hAnsi="仿宋"/>
        </w:rPr>
      </w:pPr>
      <w:r>
        <w:rPr>
          <w:rFonts w:hint="eastAsia" w:ascii="仿宋" w:hAnsi="仿宋" w:eastAsia="仿宋"/>
        </w:rPr>
        <w:t>3.2</w:t>
      </w:r>
      <w:r>
        <w:rPr>
          <w:rFonts w:hint="eastAsia" w:ascii="仿宋" w:hAnsi="仿宋"/>
        </w:rPr>
        <w:t xml:space="preserve"> </w:t>
      </w:r>
      <w:r>
        <w:rPr>
          <w:rFonts w:hint="eastAsia"/>
        </w:rPr>
        <w:t>相对湿度不大于</w:t>
      </w:r>
      <w:r>
        <w:rPr>
          <w:rFonts w:hint="eastAsia" w:ascii="仿宋" w:hAnsi="仿宋"/>
        </w:rPr>
        <w:t>90%</w:t>
      </w:r>
      <w:r>
        <w:rPr>
          <w:rFonts w:hint="eastAsia"/>
        </w:rPr>
        <w:t>；</w:t>
      </w:r>
    </w:p>
    <w:p w14:paraId="3879C235">
      <w:pPr>
        <w:spacing w:line="480" w:lineRule="exact"/>
        <w:rPr>
          <w:rFonts w:hint="eastAsia" w:ascii="仿宋" w:hAnsi="仿宋"/>
        </w:rPr>
      </w:pPr>
      <w:r>
        <w:rPr>
          <w:rFonts w:hint="eastAsia" w:ascii="仿宋" w:hAnsi="仿宋"/>
        </w:rPr>
        <w:t>3.</w:t>
      </w:r>
      <w:r>
        <w:rPr>
          <w:rFonts w:hint="eastAsia" w:ascii="仿宋" w:hAnsi="仿宋" w:eastAsia="仿宋"/>
        </w:rPr>
        <w:t>3</w:t>
      </w:r>
      <w:r>
        <w:rPr>
          <w:rFonts w:hint="eastAsia" w:ascii="仿宋" w:hAnsi="仿宋"/>
        </w:rPr>
        <w:t xml:space="preserve"> 外部</w:t>
      </w:r>
      <w:r>
        <w:rPr>
          <w:rFonts w:hint="eastAsia"/>
        </w:rPr>
        <w:t>环境温度：</w:t>
      </w:r>
      <w:r>
        <w:rPr>
          <w:rFonts w:hint="eastAsia" w:ascii="仿宋" w:hAnsi="仿宋"/>
        </w:rPr>
        <w:t>0</w:t>
      </w:r>
      <w:r>
        <w:rPr>
          <w:rFonts w:hint="eastAsia"/>
        </w:rPr>
        <w:t>～</w:t>
      </w:r>
      <w:r>
        <w:rPr>
          <w:rFonts w:hint="eastAsia" w:ascii="仿宋" w:hAnsi="仿宋" w:eastAsia="仿宋"/>
        </w:rPr>
        <w:t>40</w:t>
      </w:r>
      <w:r>
        <w:rPr>
          <w:rFonts w:hint="eastAsia"/>
        </w:rPr>
        <w:t>℃；</w:t>
      </w:r>
    </w:p>
    <w:p w14:paraId="321C3549">
      <w:pPr>
        <w:spacing w:line="480" w:lineRule="exact"/>
        <w:rPr>
          <w:rFonts w:hint="eastAsia" w:ascii="仿宋" w:hAnsi="仿宋"/>
        </w:rPr>
      </w:pPr>
      <w:r>
        <w:rPr>
          <w:rFonts w:hint="eastAsia" w:ascii="仿宋" w:hAnsi="仿宋"/>
        </w:rPr>
        <w:t>3.</w:t>
      </w:r>
      <w:r>
        <w:rPr>
          <w:rFonts w:hint="eastAsia" w:ascii="仿宋" w:hAnsi="仿宋" w:eastAsia="仿宋"/>
        </w:rPr>
        <w:t>4</w:t>
      </w:r>
      <w:r>
        <w:rPr>
          <w:rFonts w:hint="eastAsia" w:ascii="仿宋" w:hAnsi="仿宋"/>
        </w:rPr>
        <w:t xml:space="preserve"> </w:t>
      </w:r>
      <w:r>
        <w:rPr>
          <w:rFonts w:hint="eastAsia"/>
        </w:rPr>
        <w:t>供电方式：</w:t>
      </w:r>
      <w:r>
        <w:rPr>
          <w:rFonts w:hint="eastAsia" w:ascii="仿宋" w:hAnsi="仿宋"/>
        </w:rPr>
        <w:t>50Hz</w:t>
      </w:r>
      <w:r>
        <w:rPr>
          <w:rFonts w:hint="eastAsia"/>
        </w:rPr>
        <w:t>，</w:t>
      </w:r>
      <w:r>
        <w:rPr>
          <w:rFonts w:ascii="仿宋" w:hAnsi="仿宋" w:eastAsia="仿宋"/>
        </w:rPr>
        <w:t>22</w:t>
      </w:r>
      <w:r>
        <w:rPr>
          <w:rFonts w:hint="eastAsia" w:ascii="仿宋" w:hAnsi="仿宋" w:eastAsia="仿宋"/>
        </w:rPr>
        <w:t>0V</w:t>
      </w:r>
      <w:r>
        <w:rPr>
          <w:rFonts w:hint="eastAsia"/>
        </w:rPr>
        <w:t>；</w:t>
      </w:r>
    </w:p>
    <w:p w14:paraId="7F34F6AD">
      <w:pPr>
        <w:pStyle w:val="2"/>
        <w:spacing w:line="480" w:lineRule="exact"/>
        <w:rPr>
          <w:rFonts w:hint="eastAsia"/>
        </w:rPr>
      </w:pPr>
      <w:r>
        <w:rPr>
          <w:rFonts w:hint="eastAsia"/>
        </w:rPr>
        <w:t>4. 设备用途及工艺要求</w:t>
      </w:r>
    </w:p>
    <w:p w14:paraId="2DE83DCA">
      <w:pPr>
        <w:spacing w:line="480" w:lineRule="exact"/>
        <w:rPr>
          <w:rFonts w:hint="eastAsia"/>
        </w:rPr>
      </w:pPr>
      <w:r>
        <w:rPr>
          <w:rFonts w:hint="eastAsia"/>
        </w:rPr>
        <w:t>该设备主要用于在同步辐射光源测试低密度材料的拉伸、弯曲、压缩、圆盘劈裂等性能的同时进行原位CT分析，力学测试环境为高纯氦气连续通入环境</w:t>
      </w:r>
      <w:r>
        <w:rPr>
          <w:rFonts w:hint="eastAsia" w:ascii="Segoe UI Symbol" w:hAnsi="Segoe UI Symbol" w:cs="Segoe UI Symbol"/>
        </w:rPr>
        <w:t>。在无加载时，设备能够在空气及含有水蒸汽的氦气气氛下进行高温氧化试验</w:t>
      </w:r>
      <w:r>
        <w:rPr>
          <w:rFonts w:hint="eastAsia"/>
        </w:rPr>
        <w:t>。</w:t>
      </w:r>
    </w:p>
    <w:p w14:paraId="0F552A40">
      <w:pPr>
        <w:spacing w:line="480" w:lineRule="exact"/>
        <w:ind w:firstLine="0" w:firstLineChars="0"/>
        <w:rPr>
          <w:rFonts w:hint="eastAsia"/>
        </w:rPr>
      </w:pPr>
      <w:r>
        <w:rPr>
          <w:rFonts w:hint="eastAsia"/>
        </w:rPr>
        <w:t>4</w:t>
      </w:r>
      <w:r>
        <w:t xml:space="preserve">.1 </w:t>
      </w:r>
      <w:r>
        <w:rPr>
          <w:rFonts w:hint="eastAsia"/>
        </w:rPr>
        <w:t>整体性能；</w:t>
      </w:r>
    </w:p>
    <w:p w14:paraId="0519FF16">
      <w:pPr>
        <w:spacing w:line="480" w:lineRule="exact"/>
        <w:rPr>
          <w:rFonts w:hint="eastAsia"/>
        </w:rPr>
      </w:pPr>
      <w:bookmarkStart w:id="0" w:name="OLE_LINK2"/>
      <w:r>
        <w:rPr>
          <w:rFonts w:hint="eastAsia"/>
        </w:rPr>
        <w:t>光路上所有材料不影响石墨材料CT成像，在同样测试条件下，通过该设备与不通过该设备所获得图像中孔隙与基体之间衬度之差在10%以内；</w:t>
      </w:r>
    </w:p>
    <w:bookmarkEnd w:id="0"/>
    <w:p w14:paraId="6ECF5A28">
      <w:pPr>
        <w:spacing w:line="480" w:lineRule="exact"/>
        <w:rPr>
          <w:rFonts w:hint="eastAsia"/>
        </w:rPr>
      </w:pPr>
      <w:r>
        <w:rPr>
          <w:rFonts w:hint="eastAsia"/>
        </w:rPr>
        <w:t>最大载荷2KN，载荷测试分辨率优于0.5N；</w:t>
      </w:r>
    </w:p>
    <w:p w14:paraId="67B8B73E">
      <w:pPr>
        <w:spacing w:line="480" w:lineRule="exact"/>
        <w:rPr>
          <w:rFonts w:hint="eastAsia"/>
        </w:rPr>
      </w:pPr>
      <w:r>
        <w:rPr>
          <w:rFonts w:hint="eastAsia"/>
        </w:rPr>
        <w:t>满足石墨材料拉伸、压缩、三点弯曲、圆盘劈裂等力学测试的同时进行CT成像分析；</w:t>
      </w:r>
    </w:p>
    <w:p w14:paraId="1A3D82FC">
      <w:pPr>
        <w:spacing w:line="480" w:lineRule="exact"/>
        <w:rPr>
          <w:rFonts w:hint="eastAsia"/>
        </w:rPr>
      </w:pPr>
      <w:r>
        <w:rPr>
          <w:rFonts w:hint="eastAsia"/>
        </w:rPr>
        <w:t>可方便连接上海光源旋转底座并进行通讯；</w:t>
      </w:r>
    </w:p>
    <w:p w14:paraId="1998CD79">
      <w:pPr>
        <w:spacing w:line="480" w:lineRule="exact"/>
        <w:rPr>
          <w:rFonts w:hint="eastAsia"/>
        </w:rPr>
      </w:pPr>
      <w:r>
        <w:rPr>
          <w:rFonts w:hint="eastAsia"/>
        </w:rPr>
        <w:t>满足在空气及含水蒸气的氦气腐蚀气氛下进行氧化测试，氧化测试时无载荷，气氛流量0-200ml/min；</w:t>
      </w:r>
    </w:p>
    <w:p w14:paraId="48B98B12">
      <w:pPr>
        <w:spacing w:line="480" w:lineRule="exact"/>
        <w:rPr>
          <w:rFonts w:hint="eastAsia" w:cs="宋体"/>
          <w:spacing w:val="-4"/>
          <w:szCs w:val="21"/>
        </w:rPr>
      </w:pPr>
      <w:r>
        <w:rPr>
          <w:rFonts w:hint="eastAsia"/>
        </w:rPr>
        <w:t>力学及氧化测试最高温度</w:t>
      </w:r>
      <w:r>
        <w:rPr>
          <w:rFonts w:hint="eastAsia" w:cs="宋体"/>
          <w:spacing w:val="-4"/>
          <w:szCs w:val="21"/>
        </w:rPr>
        <w:t>1200 ℃，在0-1200 ℃内测温及控温精度≤1 ℃，样品不同位置温度均匀性满足≤1 ℃；</w:t>
      </w:r>
    </w:p>
    <w:p w14:paraId="7B71D900">
      <w:pPr>
        <w:spacing w:line="480" w:lineRule="exact"/>
        <w:rPr>
          <w:rFonts w:hint="eastAsia"/>
          <w:highlight w:val="none"/>
        </w:rPr>
      </w:pPr>
      <w:bookmarkStart w:id="1" w:name="OLE_LINK3"/>
      <w:r>
        <w:rPr>
          <w:rFonts w:hint="eastAsia" w:ascii="Segoe UI Symbol" w:hAnsi="Segoe UI Symbol" w:cs="Segoe UI Symbol"/>
        </w:rPr>
        <w:t>设备在抽真空状态下真</w:t>
      </w:r>
      <w:r>
        <w:rPr>
          <w:rFonts w:hint="eastAsia" w:cs="宋体"/>
          <w:spacing w:val="-4"/>
          <w:szCs w:val="21"/>
        </w:rPr>
        <w:t>空度优于10</w:t>
      </w:r>
      <w:r>
        <w:rPr>
          <w:rFonts w:hint="eastAsia" w:cs="宋体"/>
          <w:spacing w:val="-4"/>
          <w:szCs w:val="21"/>
          <w:vertAlign w:val="superscript"/>
        </w:rPr>
        <w:t>-3</w:t>
      </w:r>
      <w:r>
        <w:rPr>
          <w:rFonts w:hint="eastAsia" w:cs="宋体"/>
          <w:spacing w:val="-4"/>
          <w:szCs w:val="21"/>
        </w:rPr>
        <w:t>Pa；</w:t>
      </w:r>
      <w:r>
        <w:rPr>
          <w:rFonts w:ascii="仿宋" w:hAnsi="仿宋"/>
        </w:rPr>
        <w:t>管路及阀门漏率小于</w:t>
      </w:r>
      <w:r>
        <w:rPr>
          <w:rFonts w:cs="宋体"/>
          <w:spacing w:val="-4"/>
          <w:szCs w:val="21"/>
        </w:rPr>
        <w:t>1×10</w:t>
      </w:r>
      <w:r>
        <w:rPr>
          <w:rFonts w:cs="宋体"/>
          <w:spacing w:val="-4"/>
          <w:szCs w:val="21"/>
          <w:vertAlign w:val="superscript"/>
        </w:rPr>
        <w:t>-</w:t>
      </w:r>
      <w:r>
        <w:rPr>
          <w:rFonts w:hint="eastAsia" w:cs="宋体"/>
          <w:spacing w:val="-4"/>
          <w:szCs w:val="21"/>
          <w:vertAlign w:val="superscript"/>
        </w:rPr>
        <w:t>8</w:t>
      </w:r>
      <w:r>
        <w:rPr>
          <w:rFonts w:cs="宋体"/>
          <w:spacing w:val="-4"/>
          <w:szCs w:val="21"/>
        </w:rPr>
        <w:t>Pa·m</w:t>
      </w:r>
      <w:r>
        <w:rPr>
          <w:rFonts w:cs="宋体"/>
          <w:spacing w:val="-4"/>
          <w:szCs w:val="21"/>
          <w:vertAlign w:val="superscript"/>
        </w:rPr>
        <w:t>3</w:t>
      </w:r>
      <w:r>
        <w:rPr>
          <w:rFonts w:cs="宋体"/>
          <w:spacing w:val="-4"/>
          <w:szCs w:val="21"/>
        </w:rPr>
        <w:t>/s</w:t>
      </w:r>
      <w:r>
        <w:rPr>
          <w:rFonts w:hint="eastAsia" w:cs="宋体"/>
          <w:spacing w:val="-4"/>
          <w:szCs w:val="21"/>
        </w:rPr>
        <w:t>（氦检）</w:t>
      </w:r>
      <w:bookmarkEnd w:id="1"/>
      <w:r>
        <w:rPr>
          <w:rFonts w:hint="eastAsia" w:cs="宋体"/>
          <w:spacing w:val="-4"/>
          <w:szCs w:val="21"/>
        </w:rPr>
        <w:t>。</w:t>
      </w:r>
      <w:r>
        <w:rPr>
          <w:rFonts w:ascii="宋体" w:hAnsi="宋体" w:eastAsia="宋体" w:cs="宋体"/>
          <w:sz w:val="24"/>
          <w:szCs w:val="24"/>
          <w:highlight w:val="none"/>
        </w:rPr>
        <w:t>供方需提供设备详细结构</w:t>
      </w:r>
      <w:r>
        <w:rPr>
          <w:rFonts w:hint="eastAsia" w:cs="宋体"/>
          <w:sz w:val="24"/>
          <w:szCs w:val="24"/>
          <w:highlight w:val="none"/>
          <w:lang w:val="en-US" w:eastAsia="zh-CN"/>
        </w:rPr>
        <w:t>设计说明</w:t>
      </w:r>
      <w:r>
        <w:rPr>
          <w:rFonts w:ascii="宋体" w:hAnsi="宋体" w:eastAsia="宋体" w:cs="宋体"/>
          <w:sz w:val="24"/>
          <w:szCs w:val="24"/>
          <w:highlight w:val="none"/>
        </w:rPr>
        <w:t>，论证整机结构、密封方案可满足指标规定的真空度要求。</w:t>
      </w:r>
    </w:p>
    <w:p w14:paraId="599ED2FE">
      <w:pPr>
        <w:spacing w:line="480" w:lineRule="exact"/>
        <w:ind w:firstLine="0" w:firstLineChars="0"/>
        <w:rPr>
          <w:rFonts w:hint="eastAsia"/>
        </w:rPr>
      </w:pPr>
      <w:r>
        <w:rPr>
          <w:rFonts w:hint="eastAsia"/>
        </w:rPr>
        <w:t>4</w:t>
      </w:r>
      <w:r>
        <w:t xml:space="preserve">.2 </w:t>
      </w:r>
      <w:r>
        <w:rPr>
          <w:rFonts w:hint="eastAsia"/>
        </w:rPr>
        <w:t>力学加载装置</w:t>
      </w:r>
    </w:p>
    <w:p w14:paraId="04C792E6">
      <w:pPr>
        <w:spacing w:line="480" w:lineRule="exact"/>
        <w:rPr>
          <w:rFonts w:hint="eastAsia"/>
        </w:rPr>
      </w:pPr>
      <w:r>
        <w:rPr>
          <w:rFonts w:hint="eastAsia"/>
        </w:rPr>
        <w:t>最大载荷2KN，载荷测试分辨率优于0.5N；</w:t>
      </w:r>
    </w:p>
    <w:p w14:paraId="7B7387CB">
      <w:pPr>
        <w:spacing w:line="480" w:lineRule="exact"/>
        <w:rPr>
          <w:rFonts w:hint="eastAsia"/>
        </w:rPr>
      </w:pPr>
      <w:bookmarkStart w:id="2" w:name="OLE_LINK4"/>
      <w:r>
        <w:rPr>
          <w:rFonts w:hint="eastAsia"/>
        </w:rPr>
        <w:t>加载模块可更换，可更换最大载荷200N，载荷分辨率优于0.05N的模块；</w:t>
      </w:r>
    </w:p>
    <w:bookmarkEnd w:id="2"/>
    <w:p w14:paraId="096325EE">
      <w:pPr>
        <w:spacing w:line="480" w:lineRule="exact"/>
        <w:rPr>
          <w:rFonts w:hint="eastAsia"/>
        </w:rPr>
      </w:pPr>
      <w:r>
        <w:rPr>
          <w:rFonts w:hint="eastAsia"/>
        </w:rPr>
        <w:t>位移：0-10mm，位移精度：0.1um；</w:t>
      </w:r>
    </w:p>
    <w:p w14:paraId="64D754C4">
      <w:pPr>
        <w:spacing w:line="480" w:lineRule="exact"/>
        <w:rPr>
          <w:rFonts w:hint="eastAsia"/>
        </w:rPr>
      </w:pPr>
      <w:r>
        <w:t>试验速度：0.00</w:t>
      </w:r>
      <w:r>
        <w:rPr>
          <w:rFonts w:hint="eastAsia"/>
        </w:rPr>
        <w:t>1</w:t>
      </w:r>
      <w:r>
        <w:t>-1</w:t>
      </w:r>
      <w:r>
        <w:rPr>
          <w:rFonts w:hint="eastAsia"/>
        </w:rPr>
        <w:t>0</w:t>
      </w:r>
      <w:r>
        <w:t>mm/min</w:t>
      </w:r>
      <w:r>
        <w:rPr>
          <w:rFonts w:hint="eastAsia"/>
        </w:rPr>
        <w:t>；</w:t>
      </w:r>
    </w:p>
    <w:p w14:paraId="053790BF">
      <w:pPr>
        <w:spacing w:line="480" w:lineRule="exact"/>
        <w:rPr>
          <w:rFonts w:hint="eastAsia"/>
        </w:rPr>
      </w:pPr>
      <w:r>
        <w:rPr>
          <w:rFonts w:hint="eastAsia"/>
        </w:rPr>
        <w:t>力学加载模块材质及各满足在室温至1200 ℃范围内使用</w:t>
      </w:r>
    </w:p>
    <w:p w14:paraId="22E31739">
      <w:pPr>
        <w:spacing w:line="480" w:lineRule="exact"/>
        <w:ind w:firstLine="0" w:firstLineChars="0"/>
        <w:rPr>
          <w:rFonts w:hint="eastAsia"/>
        </w:rPr>
      </w:pPr>
      <w:r>
        <w:rPr>
          <w:rFonts w:hint="eastAsia"/>
        </w:rPr>
        <w:t>4</w:t>
      </w:r>
      <w:r>
        <w:t>.3</w:t>
      </w:r>
      <w:r>
        <w:rPr>
          <w:rFonts w:hint="eastAsia"/>
        </w:rPr>
        <w:t xml:space="preserve"> 高温加热装置</w:t>
      </w:r>
    </w:p>
    <w:p w14:paraId="7CFEA984">
      <w:pPr>
        <w:spacing w:line="480" w:lineRule="exact"/>
        <w:jc w:val="left"/>
        <w:rPr>
          <w:rFonts w:hint="eastAsia" w:cs="宋体"/>
          <w:spacing w:val="-4"/>
          <w:szCs w:val="21"/>
        </w:rPr>
      </w:pPr>
      <w:r>
        <w:rPr>
          <w:rFonts w:hint="eastAsia"/>
        </w:rPr>
        <w:t>样品最高温度：</w:t>
      </w:r>
      <w:r>
        <w:rPr>
          <w:rFonts w:hint="eastAsia" w:cs="宋体"/>
          <w:spacing w:val="-4"/>
          <w:szCs w:val="21"/>
        </w:rPr>
        <w:t>1200 ℃；</w:t>
      </w:r>
    </w:p>
    <w:p w14:paraId="011B9D46">
      <w:pPr>
        <w:spacing w:line="480" w:lineRule="exact"/>
        <w:ind w:firstLine="464"/>
        <w:jc w:val="left"/>
        <w:rPr>
          <w:rFonts w:hint="eastAsia" w:cs="宋体"/>
          <w:spacing w:val="-4"/>
          <w:szCs w:val="21"/>
        </w:rPr>
      </w:pPr>
      <w:r>
        <w:rPr>
          <w:rFonts w:hint="eastAsia" w:cs="宋体"/>
          <w:spacing w:val="-4"/>
          <w:szCs w:val="21"/>
        </w:rPr>
        <w:t>一个铠装S型热电偶进行控温及两个K型热电偶进行测温；</w:t>
      </w:r>
    </w:p>
    <w:p w14:paraId="6ADB7F5F">
      <w:pPr>
        <w:spacing w:line="480" w:lineRule="exact"/>
        <w:ind w:firstLine="464"/>
        <w:jc w:val="left"/>
        <w:rPr>
          <w:rFonts w:hint="eastAsia" w:cs="宋体"/>
          <w:spacing w:val="-4"/>
          <w:szCs w:val="21"/>
        </w:rPr>
      </w:pPr>
      <w:r>
        <w:rPr>
          <w:rFonts w:hint="eastAsia" w:cs="宋体"/>
          <w:spacing w:val="-4"/>
          <w:szCs w:val="21"/>
        </w:rPr>
        <w:t>在0-1200 ℃内测温及控温精度≤1 ℃；</w:t>
      </w:r>
    </w:p>
    <w:p w14:paraId="10675FD0">
      <w:pPr>
        <w:spacing w:line="480" w:lineRule="exact"/>
        <w:ind w:firstLine="464"/>
        <w:jc w:val="left"/>
        <w:rPr>
          <w:rFonts w:hint="eastAsia" w:cs="宋体"/>
          <w:spacing w:val="-4"/>
          <w:szCs w:val="21"/>
        </w:rPr>
      </w:pPr>
      <w:r>
        <w:rPr>
          <w:rFonts w:hint="eastAsia" w:cs="宋体"/>
          <w:spacing w:val="-4"/>
          <w:szCs w:val="21"/>
        </w:rPr>
        <w:t>样品不同位置温度均匀性满足≤1 ℃；</w:t>
      </w:r>
    </w:p>
    <w:p w14:paraId="275987E3">
      <w:pPr>
        <w:spacing w:line="480" w:lineRule="exact"/>
        <w:ind w:firstLine="464"/>
        <w:jc w:val="left"/>
        <w:rPr>
          <w:rFonts w:hint="eastAsia" w:cs="宋体"/>
          <w:spacing w:val="-4"/>
          <w:szCs w:val="21"/>
        </w:rPr>
      </w:pPr>
      <w:r>
        <w:rPr>
          <w:rFonts w:hint="eastAsia" w:cs="宋体"/>
          <w:spacing w:val="-4"/>
          <w:szCs w:val="21"/>
        </w:rPr>
        <w:t>加热部分不与成像光路干涉。</w:t>
      </w:r>
    </w:p>
    <w:p w14:paraId="7B3E9557">
      <w:pPr>
        <w:spacing w:line="480" w:lineRule="exact"/>
        <w:ind w:firstLine="0" w:firstLineChars="0"/>
        <w:jc w:val="left"/>
        <w:rPr>
          <w:rFonts w:hint="eastAsia"/>
        </w:rPr>
      </w:pPr>
      <w:r>
        <w:rPr>
          <w:rFonts w:hint="eastAsia"/>
        </w:rPr>
        <w:t>4</w:t>
      </w:r>
      <w:r>
        <w:t xml:space="preserve">.4 </w:t>
      </w:r>
      <w:r>
        <w:rPr>
          <w:rFonts w:hint="eastAsia"/>
        </w:rPr>
        <w:t>真空腔体及气路系统部分</w:t>
      </w:r>
    </w:p>
    <w:p w14:paraId="2FD9F713">
      <w:pPr>
        <w:spacing w:line="480" w:lineRule="exact"/>
        <w:ind w:firstLine="420" w:firstLineChars="0"/>
        <w:jc w:val="left"/>
        <w:rPr>
          <w:rFonts w:hint="eastAsia"/>
        </w:rPr>
      </w:pPr>
      <w:r>
        <w:rPr>
          <w:rFonts w:hint="eastAsia" w:ascii="Segoe UI Symbol" w:hAnsi="Segoe UI Symbol" w:cs="Segoe UI Symbol"/>
        </w:rPr>
        <w:t>设备在抽真空状态下真</w:t>
      </w:r>
      <w:r>
        <w:rPr>
          <w:rFonts w:hint="eastAsia" w:cs="宋体"/>
          <w:spacing w:val="-4"/>
          <w:szCs w:val="21"/>
        </w:rPr>
        <w:t>空度优于10</w:t>
      </w:r>
      <w:r>
        <w:rPr>
          <w:rFonts w:hint="eastAsia" w:cs="宋体"/>
          <w:spacing w:val="-4"/>
          <w:szCs w:val="21"/>
          <w:vertAlign w:val="superscript"/>
        </w:rPr>
        <w:t>-3</w:t>
      </w:r>
      <w:r>
        <w:rPr>
          <w:rFonts w:hint="eastAsia" w:cs="宋体"/>
          <w:spacing w:val="-4"/>
          <w:szCs w:val="21"/>
        </w:rPr>
        <w:t>Pa；</w:t>
      </w:r>
      <w:r>
        <w:rPr>
          <w:rFonts w:ascii="仿宋" w:hAnsi="仿宋"/>
        </w:rPr>
        <w:t>管路及阀门漏率小于</w:t>
      </w:r>
      <w:r>
        <w:rPr>
          <w:rFonts w:cs="宋体"/>
          <w:spacing w:val="-4"/>
          <w:szCs w:val="21"/>
        </w:rPr>
        <w:t>1×10</w:t>
      </w:r>
      <w:r>
        <w:rPr>
          <w:rFonts w:cs="宋体"/>
          <w:spacing w:val="-4"/>
          <w:szCs w:val="21"/>
          <w:vertAlign w:val="superscript"/>
        </w:rPr>
        <w:t>-</w:t>
      </w:r>
      <w:r>
        <w:rPr>
          <w:rFonts w:hint="eastAsia" w:cs="宋体"/>
          <w:spacing w:val="-4"/>
          <w:szCs w:val="21"/>
          <w:vertAlign w:val="superscript"/>
        </w:rPr>
        <w:t>8</w:t>
      </w:r>
      <w:r>
        <w:rPr>
          <w:rFonts w:cs="宋体"/>
          <w:spacing w:val="-4"/>
          <w:szCs w:val="21"/>
        </w:rPr>
        <w:t>Pa·m</w:t>
      </w:r>
      <w:r>
        <w:rPr>
          <w:rFonts w:cs="宋体"/>
          <w:spacing w:val="-4"/>
          <w:szCs w:val="21"/>
          <w:vertAlign w:val="superscript"/>
        </w:rPr>
        <w:t>3</w:t>
      </w:r>
      <w:r>
        <w:rPr>
          <w:rFonts w:cs="宋体"/>
          <w:spacing w:val="-4"/>
          <w:szCs w:val="21"/>
        </w:rPr>
        <w:t>/s；</w:t>
      </w:r>
      <w:r>
        <w:rPr>
          <w:rFonts w:hint="eastAsia"/>
        </w:rPr>
        <w:t>用金属波纹管进行密封；</w:t>
      </w:r>
    </w:p>
    <w:p w14:paraId="34D812AC">
      <w:pPr>
        <w:spacing w:line="480" w:lineRule="exact"/>
        <w:jc w:val="left"/>
        <w:rPr>
          <w:rFonts w:hint="eastAsia"/>
        </w:rPr>
      </w:pPr>
      <w:r>
        <w:rPr>
          <w:rFonts w:hint="eastAsia"/>
        </w:rPr>
        <w:t>腔体外为两路气体，一路为纯He等惰性气体，一路为空气等腐蚀气氛，在升温阶段使用惰性气氛，力学试验过程的保温阶段使用惰性气氛，高温氧化腐蚀试验的保温阶段使用空气等腐蚀气氛；</w:t>
      </w:r>
    </w:p>
    <w:p w14:paraId="65C5F75F">
      <w:pPr>
        <w:spacing w:line="480" w:lineRule="exact"/>
        <w:jc w:val="left"/>
        <w:rPr>
          <w:rFonts w:hint="eastAsia"/>
        </w:rPr>
      </w:pPr>
      <w:r>
        <w:rPr>
          <w:rFonts w:hint="eastAsia"/>
        </w:rPr>
        <w:t>可进行自动多次换气操作；</w:t>
      </w:r>
    </w:p>
    <w:p w14:paraId="094B3063">
      <w:pPr>
        <w:spacing w:line="480" w:lineRule="exact"/>
        <w:jc w:val="left"/>
        <w:rPr>
          <w:rFonts w:hint="eastAsia"/>
        </w:rPr>
      </w:pPr>
      <w:r>
        <w:rPr>
          <w:rFonts w:hint="eastAsia"/>
        </w:rPr>
        <w:t>气路阀门、接口等采用世伟洛克品牌；</w:t>
      </w:r>
    </w:p>
    <w:p w14:paraId="23092DF8">
      <w:pPr>
        <w:spacing w:line="480" w:lineRule="exact"/>
        <w:ind w:firstLine="420" w:firstLineChars="0"/>
        <w:jc w:val="left"/>
        <w:rPr>
          <w:rFonts w:hint="eastAsia" w:cs="宋体"/>
          <w:spacing w:val="-4"/>
          <w:szCs w:val="21"/>
        </w:rPr>
      </w:pPr>
      <w:bookmarkStart w:id="3" w:name="OLE_LINK1"/>
      <w:r>
        <w:rPr>
          <w:rFonts w:hint="eastAsia"/>
        </w:rPr>
        <w:t>设备腔体外部温度在需满足</w:t>
      </w:r>
      <w:r>
        <w:rPr>
          <w:rFonts w:hint="eastAsia" w:cs="宋体"/>
          <w:spacing w:val="-4"/>
          <w:szCs w:val="21"/>
        </w:rPr>
        <w:t>≤40 ℃</w:t>
      </w:r>
    </w:p>
    <w:bookmarkEnd w:id="3"/>
    <w:p w14:paraId="41828B50">
      <w:pPr>
        <w:spacing w:line="480" w:lineRule="exact"/>
        <w:ind w:firstLine="0" w:firstLineChars="0"/>
        <w:jc w:val="left"/>
        <w:rPr>
          <w:rFonts w:hint="eastAsia" w:cs="宋体"/>
          <w:spacing w:val="-4"/>
          <w:szCs w:val="21"/>
        </w:rPr>
      </w:pPr>
      <w:r>
        <w:rPr>
          <w:rFonts w:hint="eastAsia" w:cs="宋体"/>
          <w:spacing w:val="-4"/>
          <w:szCs w:val="21"/>
        </w:rPr>
        <w:t>4.5 窗口材料</w:t>
      </w:r>
    </w:p>
    <w:p w14:paraId="4DCADBC4">
      <w:pPr>
        <w:spacing w:line="480" w:lineRule="exact"/>
        <w:ind w:firstLine="0" w:firstLineChars="0"/>
        <w:jc w:val="left"/>
        <w:rPr>
          <w:rFonts w:hint="eastAsia"/>
        </w:rPr>
      </w:pPr>
      <w:r>
        <w:rPr>
          <w:rFonts w:cs="宋体"/>
          <w:spacing w:val="-4"/>
          <w:szCs w:val="21"/>
        </w:rPr>
        <w:tab/>
      </w:r>
      <w:r>
        <w:rPr>
          <w:rFonts w:hint="eastAsia" w:cs="宋体"/>
          <w:spacing w:val="-4"/>
          <w:szCs w:val="21"/>
        </w:rPr>
        <w:t>窗口材料不影响石墨材料成像</w:t>
      </w:r>
    </w:p>
    <w:p w14:paraId="5378C247">
      <w:pPr>
        <w:spacing w:line="480" w:lineRule="exact"/>
        <w:ind w:firstLine="0" w:firstLineChars="0"/>
        <w:jc w:val="left"/>
      </w:pPr>
      <w:r>
        <w:rPr>
          <w:rFonts w:hint="eastAsia"/>
        </w:rPr>
        <w:t>4</w:t>
      </w:r>
      <w:r>
        <w:t>.</w:t>
      </w:r>
      <w:r>
        <w:rPr>
          <w:rFonts w:hint="eastAsia"/>
        </w:rPr>
        <w:t>6</w:t>
      </w:r>
      <w:r>
        <w:t xml:space="preserve"> 网络化控制与传输</w:t>
      </w:r>
    </w:p>
    <w:p w14:paraId="70DCF90B">
      <w:pPr>
        <w:spacing w:after="0" w:line="480" w:lineRule="exact"/>
        <w:ind w:firstLine="480" w:firstLineChars="200"/>
        <w:rPr>
          <w:rFonts w:hint="eastAsia" w:ascii="宋体" w:hAnsi="宋体" w:eastAsia="宋体" w:cs="宋体"/>
          <w:sz w:val="24"/>
          <w:szCs w:val="24"/>
          <w:highlight w:val="none"/>
          <w:lang w:eastAsia="zh-CN"/>
        </w:rPr>
      </w:pPr>
      <w:r>
        <w:rPr>
          <w:rFonts w:ascii="宋体" w:hAnsi="宋体" w:eastAsia="宋体" w:cs="宋体"/>
          <w:sz w:val="24"/>
          <w:szCs w:val="24"/>
          <w:highlight w:val="none"/>
        </w:rPr>
        <w:t>软件系统具备无人值守自动运行功能，可完成光源上位软件嵌入式集成对接。</w:t>
      </w:r>
    </w:p>
    <w:p w14:paraId="2AFE800B">
      <w:pPr>
        <w:spacing w:line="480" w:lineRule="exact"/>
        <w:ind w:firstLine="480" w:firstLineChars="200"/>
        <w:jc w:val="left"/>
        <w:rPr>
          <w:rFonts w:hint="eastAsia"/>
        </w:rPr>
      </w:pPr>
      <w:r>
        <w:rPr>
          <w:rFonts w:ascii="宋体" w:hAnsi="宋体" w:eastAsia="宋体" w:cs="宋体"/>
          <w:sz w:val="24"/>
          <w:szCs w:val="24"/>
          <w:highlight w:val="none"/>
        </w:rPr>
        <w:t>软件具备语音控制功能，可通过语音下发各类设备控制指令。</w:t>
      </w:r>
    </w:p>
    <w:p w14:paraId="23ECF0C5">
      <w:pPr>
        <w:spacing w:line="480" w:lineRule="exact"/>
        <w:jc w:val="left"/>
        <w:rPr>
          <w:rFonts w:hint="eastAsia"/>
        </w:rPr>
      </w:pPr>
      <w:r>
        <w:rPr>
          <w:rFonts w:hint="eastAsia"/>
        </w:rPr>
        <w:t>软件可在windows系统运行；可在多台电脑端进行分析；</w:t>
      </w:r>
    </w:p>
    <w:p w14:paraId="0E080F20">
      <w:pPr>
        <w:spacing w:line="480" w:lineRule="exact"/>
        <w:jc w:val="left"/>
        <w:rPr>
          <w:rFonts w:hint="eastAsia"/>
        </w:rPr>
      </w:pPr>
      <w:r>
        <w:rPr>
          <w:rFonts w:hint="eastAsia"/>
        </w:rPr>
        <w:t>可自动运行力学测试、高温及腐蚀试验及相应的气路系统控制；</w:t>
      </w:r>
    </w:p>
    <w:p w14:paraId="5E5712BF">
      <w:pPr>
        <w:spacing w:line="480" w:lineRule="exact"/>
        <w:ind w:firstLine="420" w:firstLineChars="0"/>
        <w:jc w:val="left"/>
        <w:rPr>
          <w:rFonts w:hint="eastAsia" w:eastAsia="宋体"/>
          <w:lang w:eastAsia="zh-CN"/>
        </w:rPr>
      </w:pPr>
      <w:r>
        <w:rPr>
          <w:rFonts w:hint="eastAsia"/>
        </w:rPr>
        <w:t>支持局域网</w:t>
      </w:r>
      <w:r>
        <w:t>/互联网远程控制、数据采集与传输</w:t>
      </w:r>
      <w:r>
        <w:rPr>
          <w:rFonts w:hint="eastAsia"/>
          <w:lang w:eastAsia="zh-CN"/>
        </w:rPr>
        <w:t>；</w:t>
      </w:r>
    </w:p>
    <w:p w14:paraId="0A3E27C2">
      <w:pPr>
        <w:spacing w:line="480" w:lineRule="exact"/>
        <w:ind w:firstLine="420" w:firstLineChars="0"/>
        <w:jc w:val="left"/>
        <w:rPr>
          <w:rFonts w:hint="eastAsia" w:eastAsia="宋体"/>
          <w:lang w:val="en-US" w:eastAsia="zh-CN"/>
        </w:rPr>
      </w:pPr>
      <w:r>
        <w:rPr>
          <w:rFonts w:hint="eastAsia"/>
        </w:rPr>
        <w:t>支持多终端实时监控</w:t>
      </w:r>
      <w:r>
        <w:rPr>
          <w:rFonts w:hint="eastAsia"/>
          <w:lang w:eastAsia="zh-CN"/>
        </w:rPr>
        <w:t>。</w:t>
      </w:r>
    </w:p>
    <w:p w14:paraId="0D87E797">
      <w:pPr>
        <w:pStyle w:val="2"/>
        <w:spacing w:line="480" w:lineRule="exact"/>
        <w:rPr>
          <w:rFonts w:hint="eastAsia"/>
          <w:shd w:val="clear" w:color="auto" w:fill="FFFFFF"/>
        </w:rPr>
      </w:pPr>
      <w:r>
        <w:rPr>
          <w:rFonts w:hint="eastAsia"/>
          <w:shd w:val="clear" w:color="auto" w:fill="FFFFFF"/>
        </w:rPr>
        <w:t>6. 环安标准要求</w:t>
      </w:r>
    </w:p>
    <w:p w14:paraId="31CC427B">
      <w:pPr>
        <w:pStyle w:val="3"/>
        <w:spacing w:line="480" w:lineRule="exact"/>
        <w:rPr>
          <w:rFonts w:hint="eastAsia"/>
          <w:shd w:val="clear" w:color="auto" w:fill="FFFFFF"/>
        </w:rPr>
      </w:pPr>
      <w:r>
        <w:rPr>
          <w:rFonts w:hint="eastAsia"/>
          <w:shd w:val="clear" w:color="auto" w:fill="FFFFFF"/>
        </w:rPr>
        <w:t>6.1 设备制造要求</w:t>
      </w:r>
    </w:p>
    <w:p w14:paraId="041F2C1F">
      <w:pPr>
        <w:spacing w:line="480" w:lineRule="exact"/>
        <w:rPr>
          <w:rFonts w:hint="eastAsia" w:ascii="仿宋" w:hAnsi="仿宋"/>
          <w:shd w:val="clear" w:color="auto" w:fill="FFFFFF"/>
        </w:rPr>
      </w:pPr>
      <w:r>
        <w:rPr>
          <w:rFonts w:hint="eastAsia"/>
          <w:shd w:val="clear" w:color="auto" w:fill="FFFFFF"/>
        </w:rPr>
        <w:t>设备设计制造必须符合国家及行业相关标准，防止误操作引起的安全事故。如由于乙方设计、制造等缺陷所造成的安全事故及财产损失，由乙方全部承担。</w:t>
      </w:r>
    </w:p>
    <w:p w14:paraId="3AEC6705">
      <w:pPr>
        <w:pStyle w:val="3"/>
        <w:spacing w:line="480" w:lineRule="exact"/>
        <w:rPr>
          <w:rFonts w:hint="eastAsia"/>
          <w:shd w:val="clear" w:color="auto" w:fill="FFFFFF"/>
        </w:rPr>
      </w:pPr>
      <w:r>
        <w:rPr>
          <w:rFonts w:hint="eastAsia"/>
          <w:shd w:val="clear" w:color="auto" w:fill="FFFFFF"/>
        </w:rPr>
        <w:t>6.2 安全标示要求</w:t>
      </w:r>
    </w:p>
    <w:p w14:paraId="1A3908C7">
      <w:pPr>
        <w:spacing w:line="480" w:lineRule="exact"/>
        <w:rPr>
          <w:rFonts w:hint="eastAsia" w:ascii="仿宋" w:hAnsi="仿宋"/>
          <w:shd w:val="clear" w:color="auto" w:fill="FFFFFF"/>
        </w:rPr>
      </w:pPr>
      <w:r>
        <w:rPr>
          <w:rFonts w:hint="eastAsia"/>
          <w:shd w:val="clear" w:color="auto" w:fill="FFFFFF"/>
        </w:rPr>
        <w:t>在设备的危险位置安装可靠的防护装置，贴有明显的警示标示，同时要求在说明书上标示。</w:t>
      </w:r>
    </w:p>
    <w:p w14:paraId="19128B98">
      <w:pPr>
        <w:pStyle w:val="3"/>
        <w:spacing w:line="480" w:lineRule="exact"/>
        <w:rPr>
          <w:rFonts w:hint="eastAsia"/>
          <w:shd w:val="clear" w:color="auto" w:fill="FFFFFF"/>
        </w:rPr>
      </w:pPr>
      <w:r>
        <w:rPr>
          <w:rFonts w:hint="eastAsia"/>
          <w:shd w:val="clear" w:color="auto" w:fill="FFFFFF"/>
        </w:rPr>
        <w:t>6.3 管线及线路布置、色彩要求</w:t>
      </w:r>
    </w:p>
    <w:p w14:paraId="7781FCC3">
      <w:pPr>
        <w:spacing w:line="480" w:lineRule="exact"/>
        <w:rPr>
          <w:rFonts w:hint="eastAsia" w:ascii="仿宋" w:hAnsi="仿宋"/>
          <w:shd w:val="clear" w:color="auto" w:fill="FFFFFF"/>
        </w:rPr>
      </w:pPr>
      <w:r>
        <w:rPr>
          <w:rFonts w:hint="eastAsia"/>
          <w:shd w:val="clear" w:color="auto" w:fill="FFFFFF"/>
        </w:rPr>
        <w:t>管线及线路布置、色彩应规范并符合国家的相应标准，应有清晰的文字标识及流向标识，禁止杂乱交叉；设备阀门标识在正常工作状态下，是常开或是常闭；设备仪表盘符合相关行业标准或国家标准，盘面应有区域颜色区别危险、正常、异常。</w:t>
      </w:r>
    </w:p>
    <w:p w14:paraId="50CACE08">
      <w:pPr>
        <w:pStyle w:val="3"/>
        <w:spacing w:line="480" w:lineRule="exact"/>
        <w:rPr>
          <w:rFonts w:hint="eastAsia"/>
          <w:shd w:val="clear" w:color="auto" w:fill="FFFFFF"/>
        </w:rPr>
      </w:pPr>
      <w:r>
        <w:rPr>
          <w:rFonts w:hint="eastAsia"/>
          <w:shd w:val="clear" w:color="auto" w:fill="FFFFFF"/>
        </w:rPr>
        <w:t>6.4 电器要求</w:t>
      </w:r>
    </w:p>
    <w:p w14:paraId="0F4EF93A">
      <w:pPr>
        <w:spacing w:line="480" w:lineRule="exact"/>
        <w:rPr>
          <w:rFonts w:hint="eastAsia" w:ascii="仿宋" w:hAnsi="仿宋"/>
          <w:shd w:val="clear" w:color="auto" w:fill="FFFFFF"/>
        </w:rPr>
      </w:pPr>
      <w:r>
        <w:rPr>
          <w:rFonts w:hint="eastAsia"/>
          <w:shd w:val="clear" w:color="auto" w:fill="FFFFFF"/>
        </w:rPr>
        <w:t>设备电器符合国家安全标准布线规范，开关容量应与设备负荷负载匹配，具有有效的电器接地和漏电保护措施。</w:t>
      </w:r>
    </w:p>
    <w:p w14:paraId="63BBE442">
      <w:pPr>
        <w:pStyle w:val="3"/>
        <w:spacing w:line="480" w:lineRule="exact"/>
        <w:rPr>
          <w:rFonts w:hint="eastAsia"/>
          <w:shd w:val="clear" w:color="auto" w:fill="FFFFFF"/>
        </w:rPr>
      </w:pPr>
      <w:r>
        <w:rPr>
          <w:rFonts w:hint="eastAsia"/>
          <w:shd w:val="clear" w:color="auto" w:fill="FFFFFF"/>
        </w:rPr>
        <w:t>6.5 其他要求</w:t>
      </w:r>
    </w:p>
    <w:p w14:paraId="3A30AF0A">
      <w:pPr>
        <w:spacing w:line="480" w:lineRule="exact"/>
        <w:rPr>
          <w:rFonts w:hint="eastAsia" w:ascii="仿宋" w:hAnsi="仿宋"/>
          <w:shd w:val="clear" w:color="auto" w:fill="FFFFFF"/>
        </w:rPr>
      </w:pPr>
      <w:r>
        <w:rPr>
          <w:rFonts w:hint="eastAsia"/>
          <w:shd w:val="clear" w:color="auto" w:fill="FFFFFF"/>
        </w:rPr>
        <w:t>废水、废气、噪音和固体废物的排放应符合国家标准及相关的行业标准。</w:t>
      </w:r>
    </w:p>
    <w:p w14:paraId="78B7DE28">
      <w:pPr>
        <w:pStyle w:val="2"/>
        <w:spacing w:line="480" w:lineRule="exact"/>
        <w:rPr>
          <w:rFonts w:hint="eastAsia"/>
          <w:shd w:val="clear" w:color="auto" w:fill="FFFFFF"/>
        </w:rPr>
      </w:pPr>
      <w:r>
        <w:rPr>
          <w:rFonts w:hint="eastAsia"/>
          <w:shd w:val="clear" w:color="auto" w:fill="FFFFFF"/>
        </w:rPr>
        <w:t>7. 设备技术资料及随机附件</w:t>
      </w:r>
    </w:p>
    <w:p w14:paraId="40D2A855">
      <w:pPr>
        <w:pStyle w:val="3"/>
        <w:spacing w:line="480" w:lineRule="exact"/>
        <w:rPr>
          <w:rFonts w:hint="eastAsia"/>
          <w:shd w:val="clear" w:color="auto" w:fill="FFFFFF"/>
        </w:rPr>
      </w:pPr>
      <w:r>
        <w:rPr>
          <w:rFonts w:hint="eastAsia"/>
          <w:shd w:val="clear" w:color="auto" w:fill="FFFFFF"/>
        </w:rPr>
        <w:t>7.1 设备铭牌</w:t>
      </w:r>
    </w:p>
    <w:p w14:paraId="6C908BD5">
      <w:pPr>
        <w:spacing w:line="480" w:lineRule="exact"/>
        <w:rPr>
          <w:rFonts w:hint="eastAsia" w:ascii="仿宋" w:hAnsi="仿宋"/>
          <w:shd w:val="clear" w:color="auto" w:fill="FFFFFF"/>
        </w:rPr>
      </w:pPr>
      <w:r>
        <w:rPr>
          <w:rFonts w:hint="eastAsia"/>
          <w:shd w:val="clear" w:color="auto" w:fill="FFFFFF"/>
        </w:rPr>
        <w:t>明确铭牌标识、出厂年月、出厂编号、制造厂家、设备外形尺寸、设备自重、装机容量、动力源供给等信息。</w:t>
      </w:r>
    </w:p>
    <w:p w14:paraId="00516B1C">
      <w:pPr>
        <w:pStyle w:val="3"/>
        <w:spacing w:line="480" w:lineRule="exact"/>
        <w:rPr>
          <w:rFonts w:hint="eastAsia"/>
          <w:shd w:val="clear" w:color="auto" w:fill="FFFFFF"/>
        </w:rPr>
      </w:pPr>
      <w:r>
        <w:rPr>
          <w:rFonts w:hint="eastAsia"/>
          <w:shd w:val="clear" w:color="auto" w:fill="FFFFFF"/>
        </w:rPr>
        <w:t>7.2 图文资料</w:t>
      </w:r>
    </w:p>
    <w:p w14:paraId="6E3470D7">
      <w:pPr>
        <w:spacing w:line="480" w:lineRule="exact"/>
        <w:rPr>
          <w:rFonts w:hint="eastAsia"/>
          <w:shd w:val="clear" w:color="auto" w:fill="FFFFFF"/>
        </w:rPr>
      </w:pPr>
      <w:r>
        <w:rPr>
          <w:rFonts w:hint="eastAsia"/>
          <w:shd w:val="clear" w:color="auto" w:fill="FFFFFF"/>
        </w:rPr>
        <w:t>（1）设备设计、加工图纸，包括设备CAD文件，电子版及纸版各一套，纸板需要编、审、校签字。</w:t>
      </w:r>
    </w:p>
    <w:p w14:paraId="238EE1D7">
      <w:pPr>
        <w:spacing w:line="480" w:lineRule="exact"/>
        <w:rPr>
          <w:rFonts w:hint="eastAsia" w:ascii="仿宋" w:hAnsi="仿宋"/>
          <w:shd w:val="clear" w:color="auto" w:fill="FFFFFF"/>
        </w:rPr>
      </w:pPr>
      <w:r>
        <w:rPr>
          <w:rFonts w:hint="eastAsia"/>
          <w:shd w:val="clear" w:color="auto" w:fill="FFFFFF"/>
        </w:rPr>
        <w:t>（2）设备源地验收文件；</w:t>
      </w:r>
    </w:p>
    <w:p w14:paraId="70F4B07F">
      <w:pPr>
        <w:spacing w:line="480" w:lineRule="exact"/>
        <w:rPr>
          <w:rFonts w:hint="eastAsia" w:ascii="仿宋" w:hAnsi="仿宋"/>
          <w:shd w:val="clear" w:color="auto" w:fill="FFFFFF"/>
        </w:rPr>
      </w:pPr>
      <w:r>
        <w:rPr>
          <w:rFonts w:hint="eastAsia"/>
          <w:shd w:val="clear" w:color="auto" w:fill="FFFFFF"/>
        </w:rPr>
        <w:t>（3）设备使用说明书（纸质和电子版各一套）；</w:t>
      </w:r>
    </w:p>
    <w:p w14:paraId="5D626EB2">
      <w:pPr>
        <w:spacing w:line="480" w:lineRule="exact"/>
        <w:rPr>
          <w:rFonts w:hint="eastAsia" w:ascii="仿宋" w:hAnsi="仿宋"/>
          <w:shd w:val="clear" w:color="auto" w:fill="FFFFFF"/>
        </w:rPr>
      </w:pPr>
      <w:r>
        <w:rPr>
          <w:rFonts w:hint="eastAsia"/>
          <w:shd w:val="clear" w:color="auto" w:fill="FFFFFF"/>
        </w:rPr>
        <w:t>（4）工厂检验相关记录文件；</w:t>
      </w:r>
    </w:p>
    <w:p w14:paraId="243D8832">
      <w:pPr>
        <w:spacing w:line="480" w:lineRule="exact"/>
        <w:rPr>
          <w:rFonts w:hint="eastAsia" w:eastAsia="宋体"/>
          <w:shd w:val="clear" w:color="auto" w:fill="FFFFFF"/>
          <w:lang w:eastAsia="zh-CN"/>
        </w:rPr>
      </w:pPr>
      <w:r>
        <w:rPr>
          <w:rFonts w:hint="eastAsia"/>
          <w:shd w:val="clear" w:color="auto" w:fill="FFFFFF"/>
        </w:rPr>
        <w:t>（5）外购成品件需提供说明书、产品合格证；</w:t>
      </w:r>
      <w:r>
        <w:rPr>
          <w:shd w:val="clear" w:color="auto" w:fill="FFFFFF"/>
        </w:rPr>
        <w:t>耗材提供清单及价格</w:t>
      </w:r>
      <w:r>
        <w:rPr>
          <w:rFonts w:hint="eastAsia"/>
          <w:shd w:val="clear" w:color="auto" w:fill="FFFFFF"/>
          <w:lang w:eastAsia="zh-CN"/>
        </w:rPr>
        <w:t>；</w:t>
      </w:r>
      <w:bookmarkStart w:id="5" w:name="_GoBack"/>
      <w:bookmarkEnd w:id="5"/>
    </w:p>
    <w:p w14:paraId="795FDB17">
      <w:pPr>
        <w:spacing w:line="480" w:lineRule="exact"/>
        <w:rPr>
          <w:rFonts w:hint="eastAsia" w:eastAsia="宋体"/>
          <w:shd w:val="clear" w:color="auto" w:fill="FFFFFF"/>
          <w:lang w:eastAsia="zh-CN"/>
        </w:rPr>
      </w:pPr>
      <w:r>
        <w:rPr>
          <w:rFonts w:hint="eastAsia"/>
          <w:shd w:val="clear" w:color="auto" w:fill="FFFFFF"/>
        </w:rPr>
        <w:t>（6）装箱单（两套）</w:t>
      </w:r>
      <w:r>
        <w:rPr>
          <w:rFonts w:hint="eastAsia"/>
          <w:shd w:val="clear" w:color="auto" w:fill="FFFFFF"/>
          <w:lang w:eastAsia="zh-CN"/>
        </w:rPr>
        <w:t>；</w:t>
      </w:r>
    </w:p>
    <w:p w14:paraId="3B840771">
      <w:pPr>
        <w:spacing w:line="480" w:lineRule="exact"/>
        <w:rPr>
          <w:rFonts w:hint="eastAsia" w:eastAsia="宋体"/>
          <w:shd w:val="clear" w:color="auto" w:fill="FFFFFF"/>
          <w:lang w:eastAsia="zh-CN"/>
        </w:rPr>
      </w:pPr>
      <w:r>
        <w:rPr>
          <w:rFonts w:hint="eastAsia"/>
          <w:shd w:val="clear" w:color="auto" w:fill="FFFFFF"/>
        </w:rPr>
        <w:t>（7）合格证</w:t>
      </w:r>
      <w:r>
        <w:rPr>
          <w:rFonts w:hint="eastAsia"/>
          <w:shd w:val="clear" w:color="auto" w:fill="FFFFFF"/>
          <w:lang w:eastAsia="zh-CN"/>
        </w:rPr>
        <w:t>；</w:t>
      </w:r>
    </w:p>
    <w:p w14:paraId="42160056">
      <w:pPr>
        <w:spacing w:line="480" w:lineRule="exact"/>
        <w:rPr>
          <w:rFonts w:hint="eastAsia" w:eastAsia="宋体"/>
          <w:shd w:val="clear" w:color="auto" w:fill="FFFFFF"/>
          <w:lang w:eastAsia="zh-CN"/>
        </w:rPr>
      </w:pPr>
      <w:r>
        <w:rPr>
          <w:rFonts w:hint="eastAsia"/>
          <w:shd w:val="clear" w:color="auto" w:fill="FFFFFF"/>
        </w:rPr>
        <w:t>（8）设备真空度、最高温度、控温精度、最高载荷及载荷精度等</w:t>
      </w:r>
      <w:r>
        <w:rPr>
          <w:rFonts w:hint="eastAsia"/>
          <w:shd w:val="clear" w:color="auto" w:fill="FFFFFF"/>
          <w:lang w:val="en-US" w:eastAsia="zh-CN"/>
        </w:rPr>
        <w:t>第三方</w:t>
      </w:r>
      <w:r>
        <w:rPr>
          <w:rFonts w:hint="eastAsia"/>
          <w:shd w:val="clear" w:color="auto" w:fill="FFFFFF"/>
        </w:rPr>
        <w:t>测试报告</w:t>
      </w:r>
      <w:r>
        <w:rPr>
          <w:rFonts w:hint="eastAsia"/>
          <w:shd w:val="clear" w:color="auto" w:fill="FFFFFF"/>
          <w:lang w:eastAsia="zh-CN"/>
        </w:rPr>
        <w:t>。</w:t>
      </w:r>
    </w:p>
    <w:p w14:paraId="679E9E5C">
      <w:pPr>
        <w:spacing w:after="0" w:line="480" w:lineRule="exact"/>
        <w:ind w:firstLine="480" w:firstLineChars="200"/>
        <w:rPr>
          <w:rFonts w:hint="eastAsia"/>
          <w:shd w:val="clear" w:color="auto" w:fill="FFFFFF"/>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eastAsia="zh-CN"/>
        </w:rPr>
        <w:t>）</w:t>
      </w:r>
      <w:r>
        <w:rPr>
          <w:rFonts w:ascii="宋体" w:hAnsi="宋体" w:eastAsia="宋体" w:cs="宋体"/>
          <w:sz w:val="24"/>
          <w:szCs w:val="24"/>
          <w:highlight w:val="none"/>
        </w:rPr>
        <w:t>供方需提供设备全套完整设计结构图纸，并对整机结构适配同步辐射光源安装使用要求进行详细说明。</w:t>
      </w:r>
      <w:r>
        <w:rPr>
          <w:rFonts w:hint="eastAsia" w:ascii="仿宋" w:hAnsi="仿宋"/>
          <w:highlight w:val="none"/>
          <w:shd w:val="clear" w:color="auto" w:fill="FFFFFF"/>
        </w:rPr>
        <w:br w:type="textWrapping"/>
      </w:r>
      <w:r>
        <w:rPr>
          <w:rFonts w:hint="eastAsia" w:ascii="仿宋" w:hAnsi="仿宋"/>
          <w:shd w:val="clear" w:color="auto" w:fill="FFFFFF"/>
        </w:rPr>
        <w:tab/>
      </w:r>
      <w:r>
        <w:rPr>
          <w:rFonts w:hint="eastAsia"/>
          <w:shd w:val="clear" w:color="auto" w:fill="FFFFFF"/>
        </w:rPr>
        <w:t>设备的技术图文资料包括但不限于下述要求：要求所附的图文资料必须真实有效，信息完整。</w:t>
      </w:r>
    </w:p>
    <w:p w14:paraId="4B2E121A">
      <w:pPr>
        <w:pStyle w:val="2"/>
        <w:spacing w:line="480" w:lineRule="exact"/>
        <w:rPr>
          <w:rFonts w:hint="eastAsia"/>
          <w:shd w:val="clear" w:color="auto" w:fill="FFFFFF"/>
        </w:rPr>
      </w:pPr>
      <w:r>
        <w:rPr>
          <w:rFonts w:hint="eastAsia"/>
          <w:shd w:val="clear" w:color="auto" w:fill="FFFFFF"/>
        </w:rPr>
        <w:t>8.调试及培训要求</w:t>
      </w:r>
    </w:p>
    <w:p w14:paraId="66421893">
      <w:pPr>
        <w:spacing w:line="480" w:lineRule="exact"/>
        <w:rPr>
          <w:rFonts w:hint="eastAsia"/>
          <w:shd w:val="clear" w:color="auto" w:fill="FFFFFF"/>
        </w:rPr>
      </w:pPr>
      <w:bookmarkStart w:id="4" w:name="OLE_LINK5"/>
      <w:r>
        <w:rPr>
          <w:rFonts w:hint="eastAsia"/>
          <w:shd w:val="clear" w:color="auto" w:fill="FFFFFF"/>
        </w:rPr>
        <w:t>安装调试完毕后，需对使用设备操作及相关人员进行设备运行、安全防护、故障处理、关键零部件和易损件的更换进行培训，使参与培训人员自行达到保证设备正常运行和维修、维护的目的，在同步辐射光源进行试验时乙方需进行技术支持，并完成现场工艺测试。</w:t>
      </w:r>
    </w:p>
    <w:bookmarkEnd w:id="4"/>
    <w:p w14:paraId="5EB4BE9E">
      <w:pPr>
        <w:spacing w:line="480" w:lineRule="exact"/>
        <w:rPr>
          <w:rFonts w:hint="eastAsia"/>
          <w:shd w:val="clear" w:color="auto" w:fill="FFFFFF"/>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3E7F7">
    <w:pPr>
      <w:pStyle w:val="6"/>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C4020A">
    <w:pPr>
      <w:pStyle w:val="6"/>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3CD33">
    <w:pPr>
      <w:pStyle w:val="6"/>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3" w:lineRule="auto"/>
        <w:ind w:firstLine="480"/>
      </w:pPr>
      <w:r>
        <w:separator/>
      </w:r>
    </w:p>
  </w:footnote>
  <w:footnote w:type="continuationSeparator" w:id="1">
    <w:p>
      <w:pPr>
        <w:spacing w:line="273"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F4D3F">
    <w:pPr>
      <w:pStyle w:val="7"/>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3ADA9">
    <w:pPr>
      <w:pStyle w:val="7"/>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177CC">
    <w:pPr>
      <w:pStyle w:val="7"/>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DE7"/>
    <w:rsid w:val="0002107A"/>
    <w:rsid w:val="00030DE7"/>
    <w:rsid w:val="00045623"/>
    <w:rsid w:val="00061E3F"/>
    <w:rsid w:val="00082B1D"/>
    <w:rsid w:val="000A71ED"/>
    <w:rsid w:val="000C6225"/>
    <w:rsid w:val="000C6F3A"/>
    <w:rsid w:val="000E339D"/>
    <w:rsid w:val="000F7C7E"/>
    <w:rsid w:val="001006F3"/>
    <w:rsid w:val="001018DC"/>
    <w:rsid w:val="00146FF7"/>
    <w:rsid w:val="00190290"/>
    <w:rsid w:val="001E4B93"/>
    <w:rsid w:val="001F17A9"/>
    <w:rsid w:val="00212C36"/>
    <w:rsid w:val="002442D4"/>
    <w:rsid w:val="00262DD0"/>
    <w:rsid w:val="0029152B"/>
    <w:rsid w:val="002C7653"/>
    <w:rsid w:val="002D6852"/>
    <w:rsid w:val="00301B2F"/>
    <w:rsid w:val="00312794"/>
    <w:rsid w:val="00335F03"/>
    <w:rsid w:val="00360EDE"/>
    <w:rsid w:val="0036487E"/>
    <w:rsid w:val="00383677"/>
    <w:rsid w:val="00396865"/>
    <w:rsid w:val="003C1493"/>
    <w:rsid w:val="003E4221"/>
    <w:rsid w:val="00406AED"/>
    <w:rsid w:val="0043516C"/>
    <w:rsid w:val="00470EBE"/>
    <w:rsid w:val="0048622A"/>
    <w:rsid w:val="004B37BA"/>
    <w:rsid w:val="004B6E9D"/>
    <w:rsid w:val="004C494D"/>
    <w:rsid w:val="00501F73"/>
    <w:rsid w:val="005478EF"/>
    <w:rsid w:val="005805C9"/>
    <w:rsid w:val="00584F9C"/>
    <w:rsid w:val="005A7EA7"/>
    <w:rsid w:val="005B24BF"/>
    <w:rsid w:val="005D46BE"/>
    <w:rsid w:val="005D5E77"/>
    <w:rsid w:val="005F296A"/>
    <w:rsid w:val="005F6197"/>
    <w:rsid w:val="00615337"/>
    <w:rsid w:val="00646980"/>
    <w:rsid w:val="006518C6"/>
    <w:rsid w:val="0072343D"/>
    <w:rsid w:val="0074196D"/>
    <w:rsid w:val="007814E0"/>
    <w:rsid w:val="008155D9"/>
    <w:rsid w:val="00843219"/>
    <w:rsid w:val="008B215F"/>
    <w:rsid w:val="008D272C"/>
    <w:rsid w:val="009015DF"/>
    <w:rsid w:val="00961F69"/>
    <w:rsid w:val="009B3ADD"/>
    <w:rsid w:val="00A32B61"/>
    <w:rsid w:val="00A446FE"/>
    <w:rsid w:val="00A95547"/>
    <w:rsid w:val="00AA4EB5"/>
    <w:rsid w:val="00AD46AA"/>
    <w:rsid w:val="00B05C7C"/>
    <w:rsid w:val="00B3689C"/>
    <w:rsid w:val="00B457B7"/>
    <w:rsid w:val="00BA1015"/>
    <w:rsid w:val="00BA16A2"/>
    <w:rsid w:val="00BD19A4"/>
    <w:rsid w:val="00C0099E"/>
    <w:rsid w:val="00C03FA4"/>
    <w:rsid w:val="00C45190"/>
    <w:rsid w:val="00C813A9"/>
    <w:rsid w:val="00CB0FCF"/>
    <w:rsid w:val="00CC4157"/>
    <w:rsid w:val="00CC7F47"/>
    <w:rsid w:val="00CD1C77"/>
    <w:rsid w:val="00CE72AE"/>
    <w:rsid w:val="00CF07AC"/>
    <w:rsid w:val="00D56228"/>
    <w:rsid w:val="00D87F8D"/>
    <w:rsid w:val="00DB07B8"/>
    <w:rsid w:val="00DB7D3B"/>
    <w:rsid w:val="00DC0C55"/>
    <w:rsid w:val="00DD1905"/>
    <w:rsid w:val="00DD26C9"/>
    <w:rsid w:val="00E579A8"/>
    <w:rsid w:val="00E61C47"/>
    <w:rsid w:val="00EB4E22"/>
    <w:rsid w:val="00EC4CAA"/>
    <w:rsid w:val="00EF5185"/>
    <w:rsid w:val="00F65AF5"/>
    <w:rsid w:val="00F82AF7"/>
    <w:rsid w:val="00FC0B0C"/>
    <w:rsid w:val="014D2D1E"/>
    <w:rsid w:val="03660053"/>
    <w:rsid w:val="04932CE9"/>
    <w:rsid w:val="06A50AB1"/>
    <w:rsid w:val="0BA16203"/>
    <w:rsid w:val="0C313C9E"/>
    <w:rsid w:val="0CB321A9"/>
    <w:rsid w:val="0D3A63F7"/>
    <w:rsid w:val="0FC26D15"/>
    <w:rsid w:val="101E5B5C"/>
    <w:rsid w:val="10303755"/>
    <w:rsid w:val="16192D14"/>
    <w:rsid w:val="17490CB9"/>
    <w:rsid w:val="1AC13CB4"/>
    <w:rsid w:val="1DD72984"/>
    <w:rsid w:val="20B41BC5"/>
    <w:rsid w:val="215435AD"/>
    <w:rsid w:val="22105252"/>
    <w:rsid w:val="226700AA"/>
    <w:rsid w:val="22C21293"/>
    <w:rsid w:val="35FA6B8B"/>
    <w:rsid w:val="3904758F"/>
    <w:rsid w:val="3BFD2D78"/>
    <w:rsid w:val="3CE4220C"/>
    <w:rsid w:val="3FF36C63"/>
    <w:rsid w:val="3FF62BA3"/>
    <w:rsid w:val="405D0388"/>
    <w:rsid w:val="40D519B8"/>
    <w:rsid w:val="43B67526"/>
    <w:rsid w:val="43FC551E"/>
    <w:rsid w:val="44D60A83"/>
    <w:rsid w:val="492D6BA4"/>
    <w:rsid w:val="495B7774"/>
    <w:rsid w:val="4A5751EC"/>
    <w:rsid w:val="4B4B4E2A"/>
    <w:rsid w:val="4CE0596C"/>
    <w:rsid w:val="4F191BB2"/>
    <w:rsid w:val="57063A49"/>
    <w:rsid w:val="5F531A31"/>
    <w:rsid w:val="607D4B57"/>
    <w:rsid w:val="60AF1938"/>
    <w:rsid w:val="6146291C"/>
    <w:rsid w:val="68ED6FEF"/>
    <w:rsid w:val="69A80950"/>
    <w:rsid w:val="7042674E"/>
    <w:rsid w:val="72D46C56"/>
    <w:rsid w:val="74AF28DE"/>
    <w:rsid w:val="75184C90"/>
    <w:rsid w:val="76957C09"/>
    <w:rsid w:val="792926D3"/>
    <w:rsid w:val="7A8624C7"/>
    <w:rsid w:val="7E3F39F1"/>
    <w:rsid w:val="7E775A13"/>
    <w:rsid w:val="7E8625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73" w:lineRule="auto"/>
      <w:ind w:firstLine="480" w:firstLineChars="200"/>
      <w:jc w:val="both"/>
    </w:pPr>
    <w:rPr>
      <w:rFonts w:ascii="宋体" w:hAnsi="宋体" w:eastAsia="宋体" w:cs="Times New Roman"/>
      <w:kern w:val="2"/>
      <w:sz w:val="24"/>
      <w:szCs w:val="24"/>
      <w:lang w:val="en-US" w:eastAsia="zh-CN" w:bidi="ar-SA"/>
    </w:rPr>
  </w:style>
  <w:style w:type="paragraph" w:styleId="2">
    <w:name w:val="heading 1"/>
    <w:basedOn w:val="1"/>
    <w:next w:val="1"/>
    <w:link w:val="13"/>
    <w:qFormat/>
    <w:uiPriority w:val="99"/>
    <w:pPr>
      <w:keepNext/>
      <w:spacing w:line="240" w:lineRule="auto"/>
      <w:ind w:firstLine="0" w:firstLineChars="0"/>
      <w:outlineLvl w:val="0"/>
    </w:pPr>
    <w:rPr>
      <w:rFonts w:ascii="黑体" w:hAnsi="黑体" w:eastAsia="黑体"/>
      <w:b/>
      <w:sz w:val="28"/>
      <w:szCs w:val="28"/>
    </w:rPr>
  </w:style>
  <w:style w:type="paragraph" w:styleId="3">
    <w:name w:val="heading 2"/>
    <w:basedOn w:val="1"/>
    <w:next w:val="1"/>
    <w:link w:val="14"/>
    <w:qFormat/>
    <w:uiPriority w:val="99"/>
    <w:pPr>
      <w:keepNext/>
      <w:keepLines/>
      <w:spacing w:line="240" w:lineRule="auto"/>
      <w:ind w:firstLine="0" w:firstLineChars="0"/>
      <w:outlineLvl w:val="1"/>
    </w:pPr>
    <w:rPr>
      <w:rFonts w:ascii="黑体" w:hAnsi="黑体" w:eastAsia="黑体"/>
      <w:b/>
      <w:bCs/>
      <w:sz w:val="28"/>
      <w:szCs w:val="28"/>
    </w:rPr>
  </w:style>
  <w:style w:type="paragraph" w:styleId="4">
    <w:name w:val="heading 3"/>
    <w:basedOn w:val="1"/>
    <w:next w:val="1"/>
    <w:link w:val="15"/>
    <w:qFormat/>
    <w:uiPriority w:val="99"/>
    <w:pPr>
      <w:keepNext/>
      <w:keepLines/>
      <w:spacing w:before="260" w:after="260" w:line="415" w:lineRule="auto"/>
      <w:outlineLvl w:val="2"/>
    </w:pPr>
    <w:rPr>
      <w:b/>
      <w:bCs/>
      <w:sz w:val="32"/>
      <w:szCs w:val="32"/>
    </w:rPr>
  </w:style>
  <w:style w:type="character" w:default="1" w:styleId="10">
    <w:name w:val="Default Paragraph Font"/>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jc w:val="left"/>
    </w:pPr>
  </w:style>
  <w:style w:type="paragraph" w:styleId="6">
    <w:name w:val="footer"/>
    <w:basedOn w:val="1"/>
    <w:link w:val="19"/>
    <w:unhideWhenUsed/>
    <w:qFormat/>
    <w:uiPriority w:val="99"/>
    <w:pPr>
      <w:tabs>
        <w:tab w:val="center" w:pos="4153"/>
        <w:tab w:val="right" w:pos="8306"/>
      </w:tabs>
      <w:snapToGrid w:val="0"/>
      <w:spacing w:line="240" w:lineRule="auto"/>
      <w:jc w:val="left"/>
    </w:pPr>
    <w:rPr>
      <w:sz w:val="18"/>
      <w:szCs w:val="18"/>
    </w:rPr>
  </w:style>
  <w:style w:type="paragraph" w:styleId="7">
    <w:name w:val="header"/>
    <w:basedOn w:val="1"/>
    <w:link w:val="18"/>
    <w:unhideWhenUsed/>
    <w:qFormat/>
    <w:uiPriority w:val="99"/>
    <w:pPr>
      <w:tabs>
        <w:tab w:val="center" w:pos="4153"/>
        <w:tab w:val="right" w:pos="8306"/>
      </w:tabs>
      <w:snapToGrid w:val="0"/>
      <w:spacing w:line="240" w:lineRule="auto"/>
      <w:jc w:val="center"/>
    </w:pPr>
    <w:rPr>
      <w:sz w:val="18"/>
      <w:szCs w:val="18"/>
    </w:rPr>
  </w:style>
  <w:style w:type="table" w:styleId="9">
    <w:name w:val="Table Grid"/>
    <w:basedOn w:val="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basedOn w:val="10"/>
    <w:semiHidden/>
    <w:unhideWhenUsed/>
    <w:qFormat/>
    <w:uiPriority w:val="99"/>
    <w:rPr>
      <w:sz w:val="21"/>
      <w:szCs w:val="21"/>
    </w:rPr>
  </w:style>
  <w:style w:type="paragraph" w:styleId="12">
    <w:name w:val="List Paragraph"/>
    <w:basedOn w:val="1"/>
    <w:qFormat/>
    <w:uiPriority w:val="34"/>
    <w:pPr>
      <w:ind w:firstLine="420"/>
    </w:pPr>
  </w:style>
  <w:style w:type="character" w:customStyle="1" w:styleId="13">
    <w:name w:val="标题 1 字符"/>
    <w:basedOn w:val="10"/>
    <w:link w:val="2"/>
    <w:qFormat/>
    <w:uiPriority w:val="99"/>
    <w:rPr>
      <w:rFonts w:ascii="黑体" w:hAnsi="黑体" w:eastAsia="黑体" w:cs="Times New Roman"/>
      <w:b/>
      <w:sz w:val="28"/>
      <w:szCs w:val="28"/>
    </w:rPr>
  </w:style>
  <w:style w:type="character" w:customStyle="1" w:styleId="14">
    <w:name w:val="标题 2 字符"/>
    <w:basedOn w:val="10"/>
    <w:link w:val="3"/>
    <w:qFormat/>
    <w:uiPriority w:val="99"/>
    <w:rPr>
      <w:rFonts w:ascii="黑体" w:hAnsi="黑体" w:eastAsia="黑体" w:cs="Times New Roman"/>
      <w:b/>
      <w:bCs/>
      <w:sz w:val="28"/>
      <w:szCs w:val="28"/>
    </w:rPr>
  </w:style>
  <w:style w:type="character" w:customStyle="1" w:styleId="15">
    <w:name w:val="标题 3 字符"/>
    <w:basedOn w:val="10"/>
    <w:link w:val="4"/>
    <w:qFormat/>
    <w:uiPriority w:val="99"/>
    <w:rPr>
      <w:rFonts w:ascii="宋体" w:hAnsi="宋体" w:eastAsia="宋体" w:cs="Times New Roman"/>
      <w:b/>
      <w:bCs/>
      <w:sz w:val="32"/>
      <w:szCs w:val="32"/>
    </w:rPr>
  </w:style>
  <w:style w:type="paragraph" w:customStyle="1" w:styleId="16">
    <w:name w:val="List Paragraph1"/>
    <w:basedOn w:val="1"/>
    <w:qFormat/>
    <w:uiPriority w:val="0"/>
    <w:pPr>
      <w:ind w:firstLine="420"/>
    </w:pPr>
  </w:style>
  <w:style w:type="character" w:customStyle="1" w:styleId="17">
    <w:name w:val="font11"/>
    <w:basedOn w:val="10"/>
    <w:qFormat/>
    <w:uiPriority w:val="0"/>
    <w:rPr>
      <w:rFonts w:hint="eastAsia" w:ascii="宋体" w:hAnsi="宋体" w:eastAsia="宋体" w:cs="宋体"/>
      <w:color w:val="000000"/>
      <w:sz w:val="21"/>
      <w:szCs w:val="21"/>
      <w:u w:val="none"/>
    </w:rPr>
  </w:style>
  <w:style w:type="character" w:customStyle="1" w:styleId="18">
    <w:name w:val="页眉 字符"/>
    <w:basedOn w:val="10"/>
    <w:link w:val="7"/>
    <w:qFormat/>
    <w:uiPriority w:val="99"/>
    <w:rPr>
      <w:rFonts w:ascii="宋体" w:hAnsi="宋体" w:eastAsia="宋体" w:cs="Times New Roman"/>
      <w:kern w:val="2"/>
      <w:sz w:val="18"/>
      <w:szCs w:val="18"/>
    </w:rPr>
  </w:style>
  <w:style w:type="character" w:customStyle="1" w:styleId="19">
    <w:name w:val="页脚 字符"/>
    <w:basedOn w:val="10"/>
    <w:link w:val="6"/>
    <w:qFormat/>
    <w:uiPriority w:val="99"/>
    <w:rPr>
      <w:rFonts w:ascii="宋体" w:hAnsi="宋体"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2067</Words>
  <Characters>2276</Characters>
  <Lines>16</Lines>
  <Paragraphs>4</Paragraphs>
  <TotalTime>960</TotalTime>
  <ScaleCrop>false</ScaleCrop>
  <LinksUpToDate>false</LinksUpToDate>
  <CharactersWithSpaces>2342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2026-06-04T00:11:00Z</dcterms:created>
  <dc:creator>guma yeli</dc:creator>
  <cp:lastModifiedBy>毒瘤</cp:lastModifiedBy>
  <dcterms:modified xsi:type="dcterms:W3CDTF">2026-08-22T04:59:15Z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eyJoZGlkIjoiYTA4MGQ0MDQxNDhkYTgxMDY0Nzc0NTdhYjVmNTcyMTMiLCJ1c2VySWQiOiIyNTczMzY2ODEifQ==</vt:lpwstr>
  </property>
  <property fmtid="{D5CDD505-2E9C-101B-9397-08002B2CF9AE}" pid="3" name="KSOProductBuildVer">
    <vt:lpwstr>2052-12.1.0.28043</vt:lpwstr>
  </property>
  <property fmtid="{D5CDD505-2E9C-101B-9397-08002B2CF9AE}" pid="4" name="ICV">
    <vt:lpwstr>A8C4977C18384F3DA98B0C497753A78A_13</vt:lpwstr>
  </property>
</Properties>
</file>